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jc w:val="center"/>
        <w:rPr>
          <w:rFonts w:ascii="Times New Roman" w:hAnsi="Times New Roman" w:eastAsia="微软雅黑"/>
          <w:b w:val="0"/>
          <w:color w:val="333333"/>
          <w:sz w:val="44"/>
          <w:szCs w:val="44"/>
        </w:rPr>
      </w:pPr>
      <w:bookmarkStart w:id="0" w:name="_GoBack"/>
      <w:bookmarkEnd w:id="0"/>
      <w:r>
        <w:rPr>
          <w:rFonts w:hint="eastAsia" w:ascii="Times New Roman" w:hAnsi="Times New Roman" w:eastAsia="微软雅黑"/>
          <w:b w:val="0"/>
          <w:color w:val="333333"/>
          <w:sz w:val="44"/>
          <w:szCs w:val="44"/>
          <w:shd w:val="clear" w:color="auto" w:fill="FFFFFF"/>
        </w:rPr>
        <w:t>新余市</w:t>
      </w:r>
      <w:r>
        <w:rPr>
          <w:rFonts w:ascii="Times New Roman" w:hAnsi="Times New Roman" w:eastAsia="微软雅黑"/>
          <w:b w:val="0"/>
          <w:color w:val="333333"/>
          <w:sz w:val="44"/>
          <w:szCs w:val="44"/>
          <w:shd w:val="clear" w:color="auto" w:fill="FFFFFF"/>
        </w:rPr>
        <w:t>2019</w:t>
      </w:r>
      <w:r>
        <w:rPr>
          <w:rFonts w:hint="eastAsia" w:ascii="Times New Roman" w:hAnsi="Times New Roman" w:eastAsia="微软雅黑"/>
          <w:b w:val="0"/>
          <w:color w:val="333333"/>
          <w:sz w:val="44"/>
          <w:szCs w:val="44"/>
          <w:shd w:val="clear" w:color="auto" w:fill="FFFFFF"/>
        </w:rPr>
        <w:t>年政府信息公开工作年度报告</w:t>
      </w:r>
    </w:p>
    <w:p>
      <w:pPr>
        <w:pStyle w:val="7"/>
        <w:widowControl/>
        <w:shd w:val="clear" w:color="auto" w:fill="FFFFFF"/>
        <w:spacing w:beforeAutospacing="0" w:afterAutospacing="0" w:line="30" w:lineRule="atLeast"/>
        <w:ind w:firstLine="420"/>
        <w:jc w:val="both"/>
        <w:rPr>
          <w:rFonts w:ascii="Times New Roman" w:hAnsi="Times New Roman" w:eastAsia="仿宋"/>
          <w:color w:val="333333"/>
          <w:sz w:val="28"/>
          <w:szCs w:val="28"/>
        </w:rPr>
      </w:pPr>
      <w:r>
        <w:rPr>
          <w:rFonts w:hint="eastAsia" w:ascii="Times New Roman" w:hAnsi="Times New Roman" w:eastAsia="仿宋"/>
          <w:color w:val="333333"/>
          <w:sz w:val="28"/>
          <w:szCs w:val="28"/>
          <w:shd w:val="clear" w:color="auto" w:fill="FFFFFF"/>
        </w:rPr>
        <w:t>　　</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color w:val="333333"/>
          <w:sz w:val="28"/>
          <w:szCs w:val="28"/>
          <w:shd w:val="clear" w:color="auto" w:fill="FFFFFF"/>
        </w:rPr>
        <w:t>本报告根据《中华人民共和国政府信息公开条例》（国务院令</w:t>
      </w:r>
      <w:r>
        <w:rPr>
          <w:rFonts w:ascii="Times New Roman" w:hAnsi="Times New Roman" w:eastAsia="仿宋"/>
          <w:color w:val="333333"/>
          <w:sz w:val="28"/>
          <w:szCs w:val="28"/>
          <w:shd w:val="clear" w:color="auto" w:fill="FFFFFF"/>
        </w:rPr>
        <w:t>711</w:t>
      </w:r>
      <w:r>
        <w:rPr>
          <w:rFonts w:hint="eastAsia" w:ascii="Times New Roman" w:hAnsi="Times New Roman" w:eastAsia="仿宋"/>
          <w:color w:val="333333"/>
          <w:sz w:val="28"/>
          <w:szCs w:val="28"/>
          <w:shd w:val="clear" w:color="auto" w:fill="FFFFFF"/>
        </w:rPr>
        <w:t>号）、《国务院办公厅政府信息与政务公开办公室关于政府信息公开工作年度报告有关事项的通知》（国办公开办函〔</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w:t>
      </w:r>
      <w:r>
        <w:rPr>
          <w:rFonts w:ascii="Times New Roman" w:hAnsi="Times New Roman" w:eastAsia="仿宋"/>
          <w:color w:val="333333"/>
          <w:sz w:val="28"/>
          <w:szCs w:val="28"/>
          <w:shd w:val="clear" w:color="auto" w:fill="FFFFFF"/>
        </w:rPr>
        <w:t>60</w:t>
      </w:r>
      <w:r>
        <w:rPr>
          <w:rFonts w:hint="eastAsia" w:ascii="Times New Roman" w:hAnsi="Times New Roman" w:eastAsia="仿宋"/>
          <w:color w:val="333333"/>
          <w:sz w:val="28"/>
          <w:szCs w:val="28"/>
          <w:shd w:val="clear" w:color="auto" w:fill="FFFFFF"/>
        </w:rPr>
        <w:t>号）的要求，由市政府办公室综合</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年度市政府各部门政府信息公开年度报告编制而成。</w:t>
      </w:r>
      <w:r>
        <w:rPr>
          <w:rFonts w:hint="eastAsia" w:ascii="Times New Roman" w:hAnsi="Times New Roman" w:eastAsia="仿宋"/>
          <w:color w:val="000000"/>
          <w:sz w:val="28"/>
          <w:szCs w:val="28"/>
          <w:shd w:val="clear" w:color="auto" w:fill="FFFFFF"/>
        </w:rPr>
        <w:t>本</w:t>
      </w:r>
      <w:r>
        <w:rPr>
          <w:rFonts w:hint="eastAsia" w:ascii="Times New Roman" w:hAnsi="Times New Roman" w:eastAsia="仿宋"/>
          <w:color w:val="333333"/>
          <w:sz w:val="28"/>
          <w:szCs w:val="28"/>
          <w:shd w:val="clear" w:color="auto" w:fill="FFFFFF"/>
        </w:rPr>
        <w:t>报告主要包括：总体情况、主动公开政府信息情况、收到和处理政府信息公开申请情况、因政府信息公开被申请行政复议和提起行政诉讼情况、政府信息公开工作存在主要问题及改进情况和其他需要报告事项。</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color w:val="333333"/>
          <w:sz w:val="28"/>
          <w:szCs w:val="28"/>
          <w:shd w:val="clear" w:color="auto" w:fill="FFFFFF"/>
        </w:rPr>
        <w:t>数据统计起止时间为</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w:t>
      </w:r>
      <w:r>
        <w:rPr>
          <w:rFonts w:ascii="Times New Roman" w:hAnsi="Times New Roman" w:eastAsia="仿宋"/>
          <w:color w:val="333333"/>
          <w:sz w:val="28"/>
          <w:szCs w:val="28"/>
          <w:shd w:val="clear" w:color="auto" w:fill="FFFFFF"/>
        </w:rPr>
        <w:t>1</w:t>
      </w:r>
      <w:r>
        <w:rPr>
          <w:rFonts w:hint="eastAsia" w:ascii="Times New Roman" w:hAnsi="Times New Roman" w:eastAsia="仿宋"/>
          <w:color w:val="333333"/>
          <w:sz w:val="28"/>
          <w:szCs w:val="28"/>
          <w:shd w:val="clear" w:color="auto" w:fill="FFFFFF"/>
        </w:rPr>
        <w:t>月</w:t>
      </w:r>
      <w:r>
        <w:rPr>
          <w:rFonts w:ascii="Times New Roman" w:hAnsi="Times New Roman" w:eastAsia="仿宋"/>
          <w:color w:val="333333"/>
          <w:sz w:val="28"/>
          <w:szCs w:val="28"/>
          <w:shd w:val="clear" w:color="auto" w:fill="FFFFFF"/>
        </w:rPr>
        <w:t>1</w:t>
      </w:r>
      <w:r>
        <w:rPr>
          <w:rFonts w:hint="eastAsia" w:ascii="Times New Roman" w:hAnsi="Times New Roman" w:eastAsia="仿宋"/>
          <w:color w:val="333333"/>
          <w:sz w:val="28"/>
          <w:szCs w:val="28"/>
          <w:shd w:val="clear" w:color="auto" w:fill="FFFFFF"/>
        </w:rPr>
        <w:t>日至</w:t>
      </w:r>
      <w:r>
        <w:rPr>
          <w:rFonts w:ascii="Times New Roman" w:hAnsi="Times New Roman" w:eastAsia="仿宋"/>
          <w:color w:val="333333"/>
          <w:sz w:val="28"/>
          <w:szCs w:val="28"/>
          <w:shd w:val="clear" w:color="auto" w:fill="FFFFFF"/>
        </w:rPr>
        <w:t>12</w:t>
      </w:r>
      <w:r>
        <w:rPr>
          <w:rFonts w:hint="eastAsia" w:ascii="Times New Roman" w:hAnsi="Times New Roman" w:eastAsia="仿宋"/>
          <w:color w:val="333333"/>
          <w:sz w:val="28"/>
          <w:szCs w:val="28"/>
          <w:shd w:val="clear" w:color="auto" w:fill="FFFFFF"/>
        </w:rPr>
        <w:t>月</w:t>
      </w:r>
      <w:r>
        <w:rPr>
          <w:rFonts w:ascii="Times New Roman" w:hAnsi="Times New Roman" w:eastAsia="仿宋"/>
          <w:color w:val="333333"/>
          <w:sz w:val="28"/>
          <w:szCs w:val="28"/>
          <w:shd w:val="clear" w:color="auto" w:fill="FFFFFF"/>
        </w:rPr>
        <w:t>31</w:t>
      </w:r>
      <w:r>
        <w:rPr>
          <w:rFonts w:hint="eastAsia" w:ascii="Times New Roman" w:hAnsi="Times New Roman" w:eastAsia="仿宋"/>
          <w:color w:val="333333"/>
          <w:sz w:val="28"/>
          <w:szCs w:val="28"/>
          <w:shd w:val="clear" w:color="auto" w:fill="FFFFFF"/>
        </w:rPr>
        <w:t>日。本报告的电子版可在新余市人民政府门户网站（</w:t>
      </w:r>
      <w:r>
        <w:rPr>
          <w:rFonts w:ascii="Times New Roman" w:hAnsi="Times New Roman" w:eastAsia="仿宋"/>
          <w:color w:val="333333"/>
          <w:sz w:val="28"/>
          <w:szCs w:val="28"/>
          <w:shd w:val="clear" w:color="auto" w:fill="FFFFFF"/>
        </w:rPr>
        <w:t>http://www.xinyu.gov.cn</w:t>
      </w:r>
      <w:r>
        <w:rPr>
          <w:rFonts w:hint="eastAsia" w:ascii="Times New Roman" w:hAnsi="Times New Roman" w:eastAsia="仿宋"/>
          <w:color w:val="333333"/>
          <w:sz w:val="28"/>
          <w:szCs w:val="28"/>
          <w:shd w:val="clear" w:color="auto" w:fill="FFFFFF"/>
        </w:rPr>
        <w:t>）下载查阅。如对报告有任何疑问，请与新余市人民政府办公室联系（办公地址：江西省新余市仙来中大道</w:t>
      </w:r>
      <w:r>
        <w:rPr>
          <w:rFonts w:ascii="Times New Roman" w:hAnsi="Times New Roman" w:eastAsia="仿宋"/>
          <w:color w:val="333333"/>
          <w:sz w:val="28"/>
          <w:szCs w:val="28"/>
          <w:shd w:val="clear" w:color="auto" w:fill="FFFFFF"/>
        </w:rPr>
        <w:t>288</w:t>
      </w:r>
      <w:r>
        <w:rPr>
          <w:rFonts w:hint="eastAsia" w:ascii="Times New Roman" w:hAnsi="Times New Roman" w:eastAsia="仿宋"/>
          <w:color w:val="333333"/>
          <w:sz w:val="28"/>
          <w:szCs w:val="28"/>
          <w:shd w:val="clear" w:color="auto" w:fill="FFFFFF"/>
        </w:rPr>
        <w:t>号，邮编：</w:t>
      </w:r>
      <w:r>
        <w:rPr>
          <w:rFonts w:ascii="Times New Roman" w:hAnsi="Times New Roman" w:eastAsia="仿宋"/>
          <w:color w:val="333333"/>
          <w:sz w:val="28"/>
          <w:szCs w:val="28"/>
          <w:shd w:val="clear" w:color="auto" w:fill="FFFFFF"/>
        </w:rPr>
        <w:t>338000</w:t>
      </w:r>
      <w:r>
        <w:rPr>
          <w:rFonts w:hint="eastAsia" w:ascii="Times New Roman" w:hAnsi="Times New Roman" w:eastAsia="仿宋"/>
          <w:color w:val="333333"/>
          <w:sz w:val="28"/>
          <w:szCs w:val="28"/>
          <w:shd w:val="clear" w:color="auto" w:fill="FFFFFF"/>
        </w:rPr>
        <w:t>，电话：</w:t>
      </w:r>
      <w:r>
        <w:rPr>
          <w:rFonts w:ascii="Times New Roman" w:hAnsi="Times New Roman" w:eastAsia="仿宋"/>
          <w:color w:val="333333"/>
          <w:sz w:val="28"/>
          <w:szCs w:val="28"/>
          <w:shd w:val="clear" w:color="auto" w:fill="FFFFFF"/>
        </w:rPr>
        <w:t>0790-6411255</w:t>
      </w:r>
      <w:r>
        <w:rPr>
          <w:rFonts w:hint="eastAsia" w:ascii="Times New Roman" w:hAnsi="Times New Roman" w:eastAsia="仿宋"/>
          <w:color w:val="333333"/>
          <w:sz w:val="28"/>
          <w:szCs w:val="28"/>
          <w:shd w:val="clear" w:color="auto" w:fill="FFFFFF"/>
        </w:rPr>
        <w:t>）。</w:t>
      </w:r>
    </w:p>
    <w:p>
      <w:pPr>
        <w:pStyle w:val="7"/>
        <w:widowControl/>
        <w:shd w:val="clear" w:color="auto" w:fill="FFFFFF"/>
        <w:spacing w:beforeAutospacing="0" w:afterAutospacing="0" w:line="30" w:lineRule="atLeast"/>
        <w:ind w:firstLine="420"/>
        <w:jc w:val="both"/>
        <w:outlineLvl w:val="0"/>
        <w:rPr>
          <w:rFonts w:ascii="Times New Roman" w:hAnsi="Times New Roman" w:eastAsia="微软雅黑"/>
          <w:b/>
          <w:color w:val="333333"/>
          <w:sz w:val="30"/>
          <w:szCs w:val="30"/>
          <w:shd w:val="clear" w:color="auto" w:fill="FFFFFF"/>
        </w:rPr>
      </w:pPr>
      <w:r>
        <w:rPr>
          <w:rFonts w:hint="eastAsia" w:ascii="Times New Roman" w:hAnsi="Times New Roman" w:eastAsia="微软雅黑"/>
          <w:b/>
          <w:color w:val="333333"/>
          <w:sz w:val="30"/>
          <w:szCs w:val="30"/>
          <w:shd w:val="clear" w:color="auto" w:fill="FFFFFF"/>
        </w:rPr>
        <w:t>一、总体情况</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年以来，我市认真贯彻落实《江西省人民政府办公厅关于印发</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年江西省政务公开工作要点的通知》，积极宣传学习</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年新修订后的《中华人民共和国政府信息公开条例》，以推进</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五型</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政府建设为契机，完善我市</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五公开</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政务信息，加强政务公开组织领导，创新工作方法，有效推动了我市政务公开工作迈入新台阶。</w:t>
      </w:r>
    </w:p>
    <w:p>
      <w:pPr>
        <w:pStyle w:val="7"/>
        <w:widowControl/>
        <w:shd w:val="clear" w:color="auto" w:fill="FFFFFF"/>
        <w:spacing w:beforeAutospacing="0" w:afterAutospacing="0" w:line="30" w:lineRule="atLeast"/>
        <w:ind w:firstLine="420"/>
        <w:jc w:val="both"/>
        <w:outlineLvl w:val="1"/>
        <w:rPr>
          <w:rFonts w:ascii="Times New Roman" w:hAnsi="Times New Roman" w:eastAsia="仿宋"/>
          <w:color w:val="333333"/>
          <w:sz w:val="28"/>
          <w:szCs w:val="28"/>
        </w:rPr>
      </w:pPr>
      <w:r>
        <w:rPr>
          <w:rFonts w:hint="eastAsia" w:ascii="Times New Roman" w:hAnsi="Times New Roman" w:eastAsia="仿宋"/>
          <w:b/>
          <w:color w:val="333333"/>
          <w:sz w:val="28"/>
          <w:szCs w:val="28"/>
          <w:shd w:val="clear" w:color="auto" w:fill="FFFFFF"/>
        </w:rPr>
        <w:t>（一）主动公开情况</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年我市坚持以公开为常态、不公开为例外，认真贯彻落实新条例精神，扎实推进政府信息公开，</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年通过我市政府门户网、专题专栏等平台发布政务信息约计</w:t>
      </w:r>
      <w:r>
        <w:rPr>
          <w:rFonts w:ascii="Times New Roman" w:hAnsi="Times New Roman" w:eastAsia="仿宋"/>
          <w:color w:val="333333"/>
          <w:sz w:val="28"/>
          <w:szCs w:val="28"/>
          <w:shd w:val="clear" w:color="auto" w:fill="FFFFFF"/>
        </w:rPr>
        <w:t>8444</w:t>
      </w:r>
      <w:r>
        <w:rPr>
          <w:rFonts w:hint="eastAsia" w:ascii="Times New Roman" w:hAnsi="Times New Roman" w:eastAsia="仿宋"/>
          <w:color w:val="333333"/>
          <w:sz w:val="28"/>
          <w:szCs w:val="28"/>
          <w:shd w:val="clear" w:color="auto" w:fill="FFFFFF"/>
        </w:rPr>
        <w:t>条。</w:t>
      </w:r>
    </w:p>
    <w:p>
      <w:pPr>
        <w:pStyle w:val="7"/>
        <w:widowControl/>
        <w:shd w:val="clear" w:color="auto" w:fill="FFFFFF"/>
        <w:spacing w:beforeAutospacing="0" w:afterAutospacing="0" w:line="30" w:lineRule="atLeast"/>
        <w:ind w:firstLine="562" w:firstLineChars="200"/>
        <w:jc w:val="both"/>
        <w:rPr>
          <w:rFonts w:ascii="Times New Roman" w:hAnsi="Times New Roman" w:eastAsia="仿宋"/>
          <w:b/>
          <w:bCs/>
          <w:color w:val="333333"/>
          <w:sz w:val="28"/>
          <w:szCs w:val="28"/>
          <w:shd w:val="clear" w:color="auto" w:fill="FFFFFF"/>
        </w:rPr>
      </w:pPr>
      <w:r>
        <w:rPr>
          <w:rFonts w:ascii="Times New Roman" w:hAnsi="Times New Roman" w:eastAsia="仿宋"/>
          <w:b/>
          <w:bCs/>
          <w:color w:val="333333"/>
          <w:sz w:val="28"/>
          <w:szCs w:val="28"/>
          <w:shd w:val="clear" w:color="auto" w:fill="FFFFFF"/>
        </w:rPr>
        <w:t>1.</w:t>
      </w:r>
      <w:r>
        <w:rPr>
          <w:rFonts w:hint="eastAsia" w:ascii="Times New Roman" w:hAnsi="Times New Roman" w:eastAsia="仿宋"/>
          <w:b/>
          <w:bCs/>
          <w:color w:val="333333"/>
          <w:sz w:val="28"/>
          <w:szCs w:val="28"/>
          <w:shd w:val="clear" w:color="auto" w:fill="FFFFFF"/>
        </w:rPr>
        <w:t>完善</w:t>
      </w:r>
      <w:r>
        <w:rPr>
          <w:rFonts w:ascii="Times New Roman" w:hAnsi="Times New Roman" w:eastAsia="仿宋"/>
          <w:b/>
          <w:bCs/>
          <w:color w:val="333333"/>
          <w:sz w:val="28"/>
          <w:szCs w:val="28"/>
          <w:shd w:val="clear" w:color="auto" w:fill="FFFFFF"/>
        </w:rPr>
        <w:t>“</w:t>
      </w:r>
      <w:r>
        <w:rPr>
          <w:rFonts w:hint="eastAsia" w:ascii="Times New Roman" w:hAnsi="Times New Roman" w:eastAsia="仿宋"/>
          <w:b/>
          <w:bCs/>
          <w:color w:val="333333"/>
          <w:sz w:val="28"/>
          <w:szCs w:val="28"/>
          <w:shd w:val="clear" w:color="auto" w:fill="FFFFFF"/>
        </w:rPr>
        <w:t>五公开</w:t>
      </w:r>
      <w:r>
        <w:rPr>
          <w:rFonts w:ascii="Times New Roman" w:hAnsi="Times New Roman" w:eastAsia="仿宋"/>
          <w:b/>
          <w:bCs/>
          <w:color w:val="333333"/>
          <w:sz w:val="28"/>
          <w:szCs w:val="28"/>
          <w:shd w:val="clear" w:color="auto" w:fill="FFFFFF"/>
        </w:rPr>
        <w:t>”</w:t>
      </w:r>
      <w:r>
        <w:rPr>
          <w:rFonts w:hint="eastAsia" w:ascii="Times New Roman" w:hAnsi="Times New Roman" w:eastAsia="仿宋"/>
          <w:b/>
          <w:bCs/>
          <w:color w:val="333333"/>
          <w:sz w:val="28"/>
          <w:szCs w:val="28"/>
          <w:shd w:val="clear" w:color="auto" w:fill="FFFFFF"/>
        </w:rPr>
        <w:t>目录体系，推动决策公开、执行公开、管理公开、服务公开、结果公开。</w:t>
      </w:r>
    </w:p>
    <w:p>
      <w:pPr>
        <w:pStyle w:val="7"/>
        <w:widowControl/>
        <w:shd w:val="clear" w:color="auto" w:fill="FFFFFF"/>
        <w:spacing w:beforeAutospacing="0" w:afterAutospacing="0" w:line="30" w:lineRule="atLeast"/>
        <w:ind w:firstLine="562"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b/>
          <w:bCs/>
          <w:color w:val="333333"/>
          <w:sz w:val="28"/>
          <w:szCs w:val="28"/>
          <w:shd w:val="clear" w:color="auto" w:fill="FFFFFF"/>
        </w:rPr>
        <w:t>在决策公开领域：</w:t>
      </w:r>
      <w:r>
        <w:rPr>
          <w:rFonts w:hint="eastAsia" w:ascii="Times New Roman" w:hAnsi="Times New Roman" w:eastAsia="仿宋"/>
          <w:color w:val="333333"/>
          <w:sz w:val="28"/>
          <w:szCs w:val="28"/>
          <w:shd w:val="clear" w:color="auto" w:fill="FFFFFF"/>
        </w:rPr>
        <w:t>全年共发布</w:t>
      </w:r>
      <w:r>
        <w:rPr>
          <w:rFonts w:ascii="Times New Roman" w:hAnsi="Times New Roman" w:eastAsia="仿宋"/>
          <w:color w:val="333333"/>
          <w:sz w:val="28"/>
          <w:szCs w:val="28"/>
          <w:shd w:val="clear" w:color="auto" w:fill="FFFFFF"/>
        </w:rPr>
        <w:t>26</w:t>
      </w:r>
      <w:r>
        <w:rPr>
          <w:rFonts w:hint="eastAsia" w:ascii="Times New Roman" w:hAnsi="Times New Roman" w:eastAsia="仿宋"/>
          <w:color w:val="333333"/>
          <w:sz w:val="28"/>
          <w:szCs w:val="28"/>
          <w:shd w:val="clear" w:color="auto" w:fill="FFFFFF"/>
        </w:rPr>
        <w:t>条政务信息。其中根据《新余市重大行政决策程序规定》等文件，</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年共发布</w:t>
      </w:r>
      <w:r>
        <w:rPr>
          <w:rFonts w:ascii="Times New Roman" w:hAnsi="Times New Roman" w:eastAsia="仿宋"/>
          <w:color w:val="333333"/>
          <w:sz w:val="28"/>
          <w:szCs w:val="28"/>
          <w:shd w:val="clear" w:color="auto" w:fill="FFFFFF"/>
        </w:rPr>
        <w:t>6</w:t>
      </w:r>
      <w:r>
        <w:rPr>
          <w:rFonts w:hint="eastAsia" w:ascii="Times New Roman" w:hAnsi="Times New Roman" w:eastAsia="仿宋"/>
          <w:color w:val="333333"/>
          <w:sz w:val="28"/>
          <w:szCs w:val="28"/>
          <w:shd w:val="clear" w:color="auto" w:fill="FFFFFF"/>
        </w:rPr>
        <w:t>条民意征集信息，其中面向公众征集</w:t>
      </w:r>
      <w:r>
        <w:rPr>
          <w:rFonts w:ascii="Times New Roman" w:hAnsi="Times New Roman" w:eastAsia="仿宋"/>
          <w:color w:val="333333"/>
          <w:sz w:val="28"/>
          <w:szCs w:val="28"/>
          <w:shd w:val="clear" w:color="auto" w:fill="FFFFFF"/>
        </w:rPr>
        <w:t>4</w:t>
      </w:r>
      <w:r>
        <w:rPr>
          <w:rFonts w:hint="eastAsia" w:ascii="Times New Roman" w:hAnsi="Times New Roman" w:eastAsia="仿宋"/>
          <w:color w:val="333333"/>
          <w:sz w:val="28"/>
          <w:szCs w:val="28"/>
          <w:shd w:val="clear" w:color="auto" w:fill="FFFFFF"/>
        </w:rPr>
        <w:t>条，占比</w:t>
      </w:r>
      <w:r>
        <w:rPr>
          <w:rFonts w:ascii="Times New Roman" w:hAnsi="Times New Roman" w:eastAsia="仿宋"/>
          <w:color w:val="333333"/>
          <w:sz w:val="28"/>
          <w:szCs w:val="28"/>
          <w:shd w:val="clear" w:color="auto" w:fill="FFFFFF"/>
        </w:rPr>
        <w:t>66.67%</w:t>
      </w:r>
      <w:r>
        <w:rPr>
          <w:rFonts w:hint="eastAsia" w:ascii="Times New Roman" w:hAnsi="Times New Roman" w:eastAsia="仿宋"/>
          <w:color w:val="333333"/>
          <w:sz w:val="28"/>
          <w:szCs w:val="28"/>
          <w:shd w:val="clear" w:color="auto" w:fill="FFFFFF"/>
        </w:rPr>
        <w:t>，及时反馈意见信息</w:t>
      </w:r>
      <w:r>
        <w:rPr>
          <w:rFonts w:ascii="Times New Roman" w:hAnsi="Times New Roman" w:eastAsia="仿宋"/>
          <w:color w:val="333333"/>
          <w:sz w:val="28"/>
          <w:szCs w:val="28"/>
          <w:shd w:val="clear" w:color="auto" w:fill="FFFFFF"/>
        </w:rPr>
        <w:t>5</w:t>
      </w:r>
      <w:r>
        <w:rPr>
          <w:rFonts w:hint="eastAsia" w:ascii="Times New Roman" w:hAnsi="Times New Roman" w:eastAsia="仿宋"/>
          <w:color w:val="333333"/>
          <w:sz w:val="28"/>
          <w:szCs w:val="28"/>
          <w:shd w:val="clear" w:color="auto" w:fill="FFFFFF"/>
        </w:rPr>
        <w:t>条，基本做到了重大决策全流程公开，注重从预公开着手推动决策信息向社会公众公开。（决策公开数据分析表如表</w:t>
      </w:r>
      <w:r>
        <w:rPr>
          <w:rFonts w:ascii="Times New Roman" w:hAnsi="Times New Roman" w:eastAsia="仿宋"/>
          <w:color w:val="333333"/>
          <w:sz w:val="28"/>
          <w:szCs w:val="28"/>
          <w:shd w:val="clear" w:color="auto" w:fill="FFFFFF"/>
        </w:rPr>
        <w:t>1</w:t>
      </w:r>
      <w:r>
        <w:rPr>
          <w:rFonts w:hint="eastAsia" w:ascii="Times New Roman" w:hAnsi="Times New Roman" w:eastAsia="仿宋"/>
          <w:color w:val="333333"/>
          <w:sz w:val="28"/>
          <w:szCs w:val="28"/>
          <w:shd w:val="clear" w:color="auto" w:fill="FFFFFF"/>
        </w:rPr>
        <w:t>展示）</w:t>
      </w:r>
    </w:p>
    <w:tbl>
      <w:tblPr>
        <w:tblStyle w:val="8"/>
        <w:tblW w:w="8775" w:type="dxa"/>
        <w:tblInd w:w="0" w:type="dxa"/>
        <w:tblLayout w:type="autofit"/>
        <w:tblCellMar>
          <w:top w:w="0" w:type="dxa"/>
          <w:left w:w="0" w:type="dxa"/>
          <w:bottom w:w="0" w:type="dxa"/>
          <w:right w:w="0" w:type="dxa"/>
        </w:tblCellMar>
      </w:tblPr>
      <w:tblGrid>
        <w:gridCol w:w="1755"/>
        <w:gridCol w:w="1755"/>
        <w:gridCol w:w="1755"/>
        <w:gridCol w:w="1755"/>
        <w:gridCol w:w="1755"/>
      </w:tblGrid>
      <w:tr>
        <w:trPr>
          <w:trHeight w:val="400" w:hRule="atLeast"/>
        </w:trPr>
        <w:tc>
          <w:tcPr>
            <w:tcW w:w="1755" w:type="dxa"/>
            <w:tcBorders>
              <w:top w:val="single" w:color="000000" w:sz="4" w:space="0"/>
              <w:left w:val="single" w:color="000000" w:sz="4" w:space="0"/>
              <w:bottom w:val="single" w:color="000000" w:sz="4" w:space="0"/>
              <w:right w:val="single" w:color="000000" w:sz="4" w:space="0"/>
            </w:tcBorders>
            <w:shd w:val="clear" w:color="auto" w:fill="5B9BD5"/>
            <w:noWrap/>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决策公开</w:t>
            </w:r>
          </w:p>
        </w:tc>
        <w:tc>
          <w:tcPr>
            <w:tcW w:w="1755" w:type="dxa"/>
            <w:tcBorders>
              <w:top w:val="single" w:color="000000" w:sz="4" w:space="0"/>
              <w:left w:val="single" w:color="000000" w:sz="4" w:space="0"/>
              <w:bottom w:val="single" w:color="000000" w:sz="4" w:space="0"/>
              <w:right w:val="single" w:color="000000" w:sz="4" w:space="0"/>
            </w:tcBorders>
            <w:shd w:val="clear" w:color="auto" w:fill="5B9BD5"/>
            <w:noWrap/>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意见征集</w:t>
            </w:r>
          </w:p>
        </w:tc>
        <w:tc>
          <w:tcPr>
            <w:tcW w:w="1755" w:type="dxa"/>
            <w:tcBorders>
              <w:top w:val="single" w:color="000000" w:sz="4" w:space="0"/>
              <w:left w:val="single" w:color="000000" w:sz="4" w:space="0"/>
              <w:bottom w:val="single" w:color="000000" w:sz="4" w:space="0"/>
              <w:right w:val="single" w:color="000000" w:sz="4" w:space="0"/>
            </w:tcBorders>
            <w:shd w:val="clear" w:color="auto" w:fill="5B9BD5"/>
            <w:noWrap/>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面向公众</w:t>
            </w:r>
          </w:p>
        </w:tc>
        <w:tc>
          <w:tcPr>
            <w:tcW w:w="1755" w:type="dxa"/>
            <w:tcBorders>
              <w:top w:val="single" w:color="000000" w:sz="4" w:space="0"/>
              <w:left w:val="single" w:color="000000" w:sz="4" w:space="0"/>
              <w:bottom w:val="single" w:color="000000" w:sz="4" w:space="0"/>
              <w:right w:val="single" w:color="000000" w:sz="4" w:space="0"/>
            </w:tcBorders>
            <w:shd w:val="clear" w:color="auto" w:fill="5B9BD5"/>
            <w:noWrap/>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面向单位</w:t>
            </w:r>
          </w:p>
        </w:tc>
        <w:tc>
          <w:tcPr>
            <w:tcW w:w="1755" w:type="dxa"/>
            <w:tcBorders>
              <w:top w:val="single" w:color="000000" w:sz="4" w:space="0"/>
              <w:left w:val="single" w:color="000000" w:sz="4" w:space="0"/>
              <w:bottom w:val="single" w:color="000000" w:sz="4" w:space="0"/>
              <w:right w:val="single" w:color="000000" w:sz="4" w:space="0"/>
            </w:tcBorders>
            <w:shd w:val="clear" w:color="auto" w:fill="5B9BD5"/>
            <w:noWrap/>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意见反馈</w:t>
            </w:r>
          </w:p>
        </w:tc>
      </w:tr>
      <w:tr>
        <w:tblPrEx>
          <w:tblCellMar>
            <w:top w:w="0" w:type="dxa"/>
            <w:left w:w="0" w:type="dxa"/>
            <w:bottom w:w="0" w:type="dxa"/>
            <w:right w:w="0"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条数</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4"/>
              </w:rPr>
            </w:pPr>
            <w:r>
              <w:rPr>
                <w:rFonts w:ascii="宋体" w:hAnsi="宋体" w:cs="宋体"/>
                <w:color w:val="000000"/>
                <w:kern w:val="0"/>
                <w:sz w:val="24"/>
              </w:rPr>
              <w:t>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4"/>
              </w:rPr>
            </w:pPr>
            <w:r>
              <w:rPr>
                <w:rFonts w:ascii="宋体" w:hAnsi="宋体" w:cs="宋体"/>
                <w:color w:val="000000"/>
                <w:kern w:val="0"/>
                <w:sz w:val="24"/>
              </w:rPr>
              <w:t>4</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4"/>
              </w:rPr>
            </w:pPr>
            <w:r>
              <w:rPr>
                <w:rFonts w:ascii="宋体" w:hAnsi="宋体" w:cs="宋体"/>
                <w:color w:val="000000"/>
                <w:kern w:val="0"/>
                <w:sz w:val="24"/>
              </w:rPr>
              <w:t>2</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4"/>
              </w:rPr>
            </w:pPr>
            <w:r>
              <w:rPr>
                <w:rFonts w:ascii="宋体" w:hAnsi="宋体" w:cs="宋体"/>
                <w:color w:val="000000"/>
                <w:kern w:val="0"/>
                <w:sz w:val="24"/>
              </w:rPr>
              <w:t>5</w:t>
            </w:r>
          </w:p>
        </w:tc>
      </w:tr>
      <w:tr>
        <w:tblPrEx>
          <w:tblCellMar>
            <w:top w:w="0" w:type="dxa"/>
            <w:left w:w="0" w:type="dxa"/>
            <w:bottom w:w="0" w:type="dxa"/>
            <w:right w:w="0"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占比</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4"/>
              </w:rPr>
            </w:pPr>
            <w:r>
              <w:rPr>
                <w:rFonts w:ascii="宋体" w:hAnsi="宋体" w:cs="宋体"/>
                <w:color w:val="000000"/>
                <w:kern w:val="0"/>
                <w:sz w:val="24"/>
              </w:rPr>
              <w:t>66.67%</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4"/>
              </w:rPr>
            </w:pPr>
            <w:r>
              <w:rPr>
                <w:rFonts w:ascii="宋体" w:hAnsi="宋体" w:cs="宋体"/>
                <w:color w:val="000000"/>
                <w:kern w:val="0"/>
                <w:sz w:val="24"/>
              </w:rPr>
              <w:t>33.33%</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4"/>
              </w:rPr>
            </w:pPr>
            <w:r>
              <w:rPr>
                <w:rFonts w:ascii="宋体" w:hAnsi="宋体" w:cs="宋体"/>
                <w:color w:val="000000"/>
                <w:kern w:val="0"/>
                <w:sz w:val="24"/>
              </w:rPr>
              <w:t>83.33%</w:t>
            </w:r>
          </w:p>
        </w:tc>
      </w:tr>
    </w:tbl>
    <w:p>
      <w:pPr>
        <w:pStyle w:val="7"/>
        <w:widowControl/>
        <w:shd w:val="clear" w:color="auto" w:fill="FFFFFF"/>
        <w:spacing w:beforeAutospacing="0" w:afterAutospacing="0" w:line="30" w:lineRule="atLeast"/>
        <w:ind w:firstLine="482" w:firstLineChars="200"/>
        <w:jc w:val="center"/>
        <w:rPr>
          <w:rFonts w:ascii="Times New Roman" w:hAnsi="Times New Roman" w:eastAsia="仿宋"/>
          <w:b/>
          <w:bCs/>
          <w:color w:val="333333"/>
          <w:shd w:val="clear" w:color="auto" w:fill="FFFFFF"/>
        </w:rPr>
      </w:pPr>
      <w:r>
        <w:rPr>
          <w:rFonts w:hint="eastAsia" w:ascii="Times New Roman" w:hAnsi="Times New Roman" w:eastAsia="仿宋"/>
          <w:b/>
          <w:bCs/>
          <w:color w:val="333333"/>
          <w:shd w:val="clear" w:color="auto" w:fill="FFFFFF"/>
        </w:rPr>
        <w:t>表</w:t>
      </w:r>
      <w:r>
        <w:rPr>
          <w:rFonts w:ascii="Times New Roman" w:hAnsi="Times New Roman" w:eastAsia="仿宋"/>
          <w:b/>
          <w:bCs/>
          <w:color w:val="333333"/>
          <w:shd w:val="clear" w:color="auto" w:fill="FFFFFF"/>
        </w:rPr>
        <w:t>1</w:t>
      </w:r>
    </w:p>
    <w:p>
      <w:pPr>
        <w:pStyle w:val="7"/>
        <w:widowControl/>
        <w:shd w:val="clear" w:color="auto" w:fill="FFFFFF"/>
        <w:spacing w:beforeAutospacing="0" w:afterAutospacing="0" w:line="30" w:lineRule="atLeast"/>
        <w:ind w:firstLine="562"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b/>
          <w:bCs/>
          <w:color w:val="333333"/>
          <w:sz w:val="28"/>
          <w:szCs w:val="28"/>
          <w:shd w:val="clear" w:color="auto" w:fill="FFFFFF"/>
        </w:rPr>
        <w:t>在执行公开领域：</w:t>
      </w:r>
      <w:r>
        <w:rPr>
          <w:rFonts w:hint="eastAsia" w:ascii="Times New Roman" w:hAnsi="Times New Roman" w:eastAsia="仿宋"/>
          <w:color w:val="333333"/>
          <w:sz w:val="28"/>
          <w:szCs w:val="28"/>
          <w:shd w:val="clear" w:color="auto" w:fill="FFFFFF"/>
        </w:rPr>
        <w:t>全年共发布</w:t>
      </w:r>
      <w:r>
        <w:rPr>
          <w:rFonts w:ascii="Times New Roman" w:hAnsi="Times New Roman" w:eastAsia="仿宋"/>
          <w:color w:val="333333"/>
          <w:sz w:val="28"/>
          <w:szCs w:val="28"/>
          <w:shd w:val="clear" w:color="auto" w:fill="FFFFFF"/>
        </w:rPr>
        <w:t>151</w:t>
      </w:r>
      <w:r>
        <w:rPr>
          <w:rFonts w:hint="eastAsia" w:ascii="Times New Roman" w:hAnsi="Times New Roman" w:eastAsia="仿宋"/>
          <w:color w:val="333333"/>
          <w:sz w:val="28"/>
          <w:szCs w:val="28"/>
          <w:shd w:val="clear" w:color="auto" w:fill="FFFFFF"/>
        </w:rPr>
        <w:t>条政务信息，主要包括食品监管、养老服务、土地征收、精准脱贫、环境保护、公共服务、营商环境、抗旱减灾、重大项目建设、保障性住房等领域的工作开展信息，</w:t>
      </w:r>
      <w:r>
        <w:rPr>
          <w:rFonts w:hint="eastAsia" w:ascii="Times New Roman" w:hAnsi="Times New Roman" w:eastAsia="仿宋"/>
          <w:color w:val="000000"/>
          <w:sz w:val="28"/>
          <w:szCs w:val="28"/>
          <w:shd w:val="clear" w:color="auto" w:fill="FFFFFF"/>
        </w:rPr>
        <w:t>全力推进各领域执行信息公开。</w:t>
      </w:r>
    </w:p>
    <w:p>
      <w:pPr>
        <w:pStyle w:val="7"/>
        <w:widowControl/>
        <w:shd w:val="clear" w:color="auto" w:fill="FFFFFF"/>
        <w:spacing w:beforeAutospacing="0" w:afterAutospacing="0" w:line="30" w:lineRule="atLeast"/>
        <w:ind w:firstLine="562"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b/>
          <w:bCs/>
          <w:color w:val="333333"/>
          <w:sz w:val="28"/>
          <w:szCs w:val="28"/>
          <w:shd w:val="clear" w:color="auto" w:fill="FFFFFF"/>
        </w:rPr>
        <w:t>在管理公开领域：</w:t>
      </w:r>
      <w:r>
        <w:rPr>
          <w:rFonts w:hint="eastAsia" w:ascii="Times New Roman" w:hAnsi="Times New Roman" w:eastAsia="仿宋"/>
          <w:color w:val="333333"/>
          <w:sz w:val="28"/>
          <w:szCs w:val="28"/>
          <w:shd w:val="clear" w:color="auto" w:fill="FFFFFF"/>
        </w:rPr>
        <w:t>我市通过江西政务服务网集中展示了行政权力清单、公共服务清单、市场准入清单、</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一次不跑</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事项清单、</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只跑一次</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事项清单，发布了部门责任清单、行政事业性收费清单、行政审批中介服务清单等清单，认真落实了《江西省人民政府关于进一步精简省级行政权力事项的决定》、《江西省人民政府关于衔接国务院取消一批行政许可等事项的通知》、《江西省进一步深化</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放管服</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改革推进政务服务便民化若干措施》等政策文件，规范行政执法行为，深入推动我市</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放管服</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改革，提升企业群众办事便捷性和灵活性。</w:t>
      </w:r>
    </w:p>
    <w:p>
      <w:pPr>
        <w:pStyle w:val="7"/>
        <w:widowControl/>
        <w:shd w:val="clear" w:color="auto" w:fill="FFFFFF"/>
        <w:spacing w:beforeAutospacing="0" w:afterAutospacing="0" w:line="30" w:lineRule="atLeast"/>
        <w:ind w:firstLine="562"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b/>
          <w:bCs/>
          <w:color w:val="333333"/>
          <w:sz w:val="28"/>
          <w:szCs w:val="28"/>
          <w:shd w:val="clear" w:color="auto" w:fill="FFFFFF"/>
        </w:rPr>
        <w:t>在服务公开领域：</w:t>
      </w:r>
      <w:r>
        <w:rPr>
          <w:rFonts w:hint="eastAsia" w:ascii="Times New Roman" w:hAnsi="Times New Roman" w:eastAsia="仿宋"/>
          <w:color w:val="333333"/>
          <w:sz w:val="28"/>
          <w:szCs w:val="28"/>
          <w:shd w:val="clear" w:color="auto" w:fill="FFFFFF"/>
        </w:rPr>
        <w:t>我市门户网站全年共发布</w:t>
      </w:r>
      <w:r>
        <w:rPr>
          <w:rFonts w:ascii="Times New Roman" w:hAnsi="Times New Roman" w:eastAsia="仿宋"/>
          <w:color w:val="333333"/>
          <w:sz w:val="28"/>
          <w:szCs w:val="28"/>
          <w:shd w:val="clear" w:color="auto" w:fill="FFFFFF"/>
        </w:rPr>
        <w:t>92</w:t>
      </w:r>
      <w:r>
        <w:rPr>
          <w:rFonts w:hint="eastAsia" w:ascii="Times New Roman" w:hAnsi="Times New Roman" w:eastAsia="仿宋"/>
          <w:color w:val="333333"/>
          <w:sz w:val="28"/>
          <w:szCs w:val="28"/>
          <w:shd w:val="clear" w:color="auto" w:fill="FFFFFF"/>
        </w:rPr>
        <w:t>条信息，主要通过江西政务服务网梳理编制政务服务事项和办事指南，推进服务事项全领域公开，着力提升政务服务公开质量和实效，加快推进服务公开标准化、规范化。</w:t>
      </w:r>
    </w:p>
    <w:p>
      <w:pPr>
        <w:pStyle w:val="7"/>
        <w:widowControl/>
        <w:shd w:val="clear" w:color="auto" w:fill="FFFFFF"/>
        <w:spacing w:beforeAutospacing="0" w:afterAutospacing="0" w:line="30" w:lineRule="atLeast"/>
        <w:ind w:firstLine="562"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b/>
          <w:bCs/>
          <w:color w:val="333333"/>
          <w:sz w:val="28"/>
          <w:szCs w:val="28"/>
          <w:shd w:val="clear" w:color="auto" w:fill="FFFFFF"/>
        </w:rPr>
        <w:t>在结果公开领域：</w:t>
      </w:r>
      <w:r>
        <w:rPr>
          <w:rFonts w:hint="eastAsia" w:ascii="Times New Roman" w:hAnsi="Times New Roman" w:eastAsia="仿宋"/>
          <w:color w:val="333333"/>
          <w:sz w:val="28"/>
          <w:szCs w:val="28"/>
          <w:shd w:val="clear" w:color="auto" w:fill="FFFFFF"/>
        </w:rPr>
        <w:t>通过日常督查通报，加大对国家、省、市重大决策部署贯彻落实结果的公开力度，督促各地各部门及时公开重大决策、重要政策落实情况及办理结果信息，并通过我市政务微信、微博、智能问答及报刊媒体、新闻发布等多种渠道向社会实时公开结果信息，接受社会监督，显著提升了人民群众的获得感、认同力。</w:t>
      </w:r>
    </w:p>
    <w:p>
      <w:pPr>
        <w:pStyle w:val="7"/>
        <w:widowControl/>
        <w:shd w:val="clear" w:color="auto" w:fill="FFFFFF"/>
        <w:spacing w:beforeAutospacing="0" w:afterAutospacing="0" w:line="30" w:lineRule="atLeast"/>
        <w:ind w:firstLine="562" w:firstLineChars="200"/>
        <w:jc w:val="both"/>
        <w:rPr>
          <w:rFonts w:ascii="Times New Roman" w:hAnsi="Times New Roman" w:eastAsia="仿宋"/>
          <w:b/>
          <w:bCs/>
          <w:color w:val="333333"/>
          <w:sz w:val="28"/>
          <w:szCs w:val="28"/>
          <w:shd w:val="clear" w:color="auto" w:fill="FFFFFF"/>
        </w:rPr>
      </w:pPr>
      <w:r>
        <w:rPr>
          <w:rFonts w:ascii="Times New Roman" w:hAnsi="Times New Roman" w:eastAsia="仿宋"/>
          <w:b/>
          <w:bCs/>
          <w:color w:val="333333"/>
          <w:sz w:val="28"/>
          <w:szCs w:val="28"/>
          <w:shd w:val="clear" w:color="auto" w:fill="FFFFFF"/>
        </w:rPr>
        <w:t>2.</w:t>
      </w:r>
      <w:r>
        <w:rPr>
          <w:rFonts w:hint="eastAsia" w:ascii="Times New Roman" w:hAnsi="Times New Roman" w:eastAsia="仿宋"/>
          <w:b/>
          <w:bCs/>
          <w:color w:val="333333"/>
          <w:sz w:val="28"/>
          <w:szCs w:val="28"/>
          <w:shd w:val="clear" w:color="auto" w:fill="FFFFFF"/>
        </w:rPr>
        <w:t>开展</w:t>
      </w:r>
      <w:r>
        <w:rPr>
          <w:rFonts w:ascii="Times New Roman" w:hAnsi="Times New Roman" w:eastAsia="仿宋"/>
          <w:b/>
          <w:bCs/>
          <w:color w:val="333333"/>
          <w:sz w:val="28"/>
          <w:szCs w:val="28"/>
          <w:shd w:val="clear" w:color="auto" w:fill="FFFFFF"/>
        </w:rPr>
        <w:t xml:space="preserve"> “</w:t>
      </w:r>
      <w:r>
        <w:rPr>
          <w:rFonts w:hint="eastAsia" w:ascii="Times New Roman" w:hAnsi="Times New Roman" w:eastAsia="仿宋"/>
          <w:b/>
          <w:bCs/>
          <w:color w:val="333333"/>
          <w:sz w:val="28"/>
          <w:szCs w:val="28"/>
          <w:shd w:val="clear" w:color="auto" w:fill="FFFFFF"/>
        </w:rPr>
        <w:t>五型</w:t>
      </w:r>
      <w:r>
        <w:rPr>
          <w:rFonts w:ascii="Times New Roman" w:hAnsi="Times New Roman" w:eastAsia="仿宋"/>
          <w:b/>
          <w:bCs/>
          <w:color w:val="333333"/>
          <w:sz w:val="28"/>
          <w:szCs w:val="28"/>
          <w:shd w:val="clear" w:color="auto" w:fill="FFFFFF"/>
        </w:rPr>
        <w:t>”</w:t>
      </w:r>
      <w:r>
        <w:rPr>
          <w:rFonts w:hint="eastAsia" w:ascii="Times New Roman" w:hAnsi="Times New Roman" w:eastAsia="仿宋"/>
          <w:b/>
          <w:bCs/>
          <w:color w:val="333333"/>
          <w:sz w:val="28"/>
          <w:szCs w:val="28"/>
          <w:shd w:val="clear" w:color="auto" w:fill="FFFFFF"/>
        </w:rPr>
        <w:t>政府建设，推动高质量跨越式发展。</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color w:val="333333"/>
          <w:sz w:val="28"/>
          <w:szCs w:val="28"/>
          <w:shd w:val="clear" w:color="auto" w:fill="FFFFFF"/>
        </w:rPr>
        <w:t>根据我市出台的《关于在全市政府系统大力开展忠诚型创新型担当型服务型过硬型政府建设加快推动新余高质量跨越式发展的实施意见》，建设</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五型</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政府专题网站，树立忠诚型、担当型、创新型、服务型、过硬型政府形象。我市通过以忠诚之心引导和推动全市政府系统坚定信念，贯穿在政府工作的全过程、各方面；坚持把创新创造作为做好政府工作的第一动力，激励全市政府系统及其工作人员在实践中勇于创新，大力推动政府全面创新；在全市政府系统大力倡导担当精神，以实干立身、凭实绩说话，努力交出高质量、跨越式发展成果；以为民服务作为政府天职，不断深化改革，努力推动政府角色向</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服务者</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转变，全力建设人民满意的服务型政府；加强和改进全市政府系统党组织建设，持续优化政治环境，着力锻造信念过硬、政治过硬、责任过硬、能力过硬、作风过硬的干部队伍，确保政府工作向高质量发展。</w:t>
      </w:r>
    </w:p>
    <w:p>
      <w:pPr>
        <w:pStyle w:val="7"/>
        <w:widowControl/>
        <w:shd w:val="clear" w:color="auto" w:fill="FFFFFF"/>
        <w:spacing w:beforeAutospacing="0" w:afterAutospacing="0" w:line="30" w:lineRule="atLeast"/>
        <w:ind w:left="700"/>
        <w:jc w:val="both"/>
        <w:rPr>
          <w:rFonts w:ascii="Times New Roman" w:hAnsi="Times New Roman" w:eastAsia="仿宋"/>
          <w:b/>
          <w:bCs/>
          <w:color w:val="333333"/>
          <w:sz w:val="28"/>
          <w:szCs w:val="28"/>
          <w:shd w:val="clear" w:color="auto" w:fill="FFFFFF"/>
        </w:rPr>
      </w:pPr>
      <w:r>
        <w:rPr>
          <w:rFonts w:ascii="Times New Roman" w:hAnsi="Times New Roman" w:eastAsia="仿宋"/>
          <w:b/>
          <w:bCs/>
          <w:color w:val="333333"/>
          <w:sz w:val="28"/>
          <w:szCs w:val="28"/>
          <w:shd w:val="clear" w:color="auto" w:fill="FFFFFF"/>
        </w:rPr>
        <w:t>3.</w:t>
      </w:r>
      <w:r>
        <w:rPr>
          <w:rFonts w:hint="eastAsia" w:ascii="Times New Roman" w:hAnsi="Times New Roman" w:eastAsia="仿宋"/>
          <w:b/>
          <w:bCs/>
          <w:color w:val="333333"/>
          <w:sz w:val="28"/>
          <w:szCs w:val="28"/>
          <w:shd w:val="clear" w:color="auto" w:fill="FFFFFF"/>
        </w:rPr>
        <w:t>全面推进政务公开，加强政策解读，积极回应社会关切。</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color w:val="333333"/>
          <w:sz w:val="28"/>
          <w:szCs w:val="28"/>
          <w:shd w:val="clear" w:color="auto" w:fill="FFFFFF"/>
        </w:rPr>
        <w:t>一是根据《</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年江西省政务公开工作要点》的要求，我市按照</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谁起草、谁解读</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的原则，深入解读本市政策</w:t>
      </w:r>
      <w:r>
        <w:rPr>
          <w:rFonts w:ascii="Times New Roman" w:hAnsi="Times New Roman" w:eastAsia="仿宋"/>
          <w:color w:val="333333"/>
          <w:sz w:val="28"/>
          <w:szCs w:val="28"/>
          <w:shd w:val="clear" w:color="auto" w:fill="FFFFFF"/>
        </w:rPr>
        <w:t>24</w:t>
      </w:r>
      <w:r>
        <w:rPr>
          <w:rFonts w:hint="eastAsia" w:ascii="Times New Roman" w:hAnsi="Times New Roman" w:eastAsia="仿宋"/>
          <w:color w:val="333333"/>
          <w:sz w:val="28"/>
          <w:szCs w:val="28"/>
          <w:shd w:val="clear" w:color="auto" w:fill="FFFFFF"/>
        </w:rPr>
        <w:t>篇，其中包括</w:t>
      </w:r>
      <w:r>
        <w:rPr>
          <w:rFonts w:ascii="Times New Roman" w:hAnsi="Times New Roman" w:eastAsia="仿宋"/>
          <w:color w:val="333333"/>
          <w:sz w:val="28"/>
          <w:szCs w:val="28"/>
          <w:shd w:val="clear" w:color="auto" w:fill="FFFFFF"/>
        </w:rPr>
        <w:t>14</w:t>
      </w:r>
      <w:r>
        <w:rPr>
          <w:rFonts w:hint="eastAsia" w:ascii="Times New Roman" w:hAnsi="Times New Roman" w:eastAsia="仿宋"/>
          <w:color w:val="333333"/>
          <w:sz w:val="28"/>
          <w:szCs w:val="28"/>
          <w:shd w:val="clear" w:color="auto" w:fill="FFFFFF"/>
        </w:rPr>
        <w:t>份图文解读，真正让群众看得到、能理解，提升了解读的准确性、权威性、贴近性。二是通过</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好问政</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专栏、新余新闻网等平台，全年发布</w:t>
      </w:r>
      <w:r>
        <w:rPr>
          <w:rFonts w:ascii="Times New Roman" w:hAnsi="Times New Roman" w:eastAsia="仿宋"/>
          <w:color w:val="333333"/>
          <w:sz w:val="28"/>
          <w:szCs w:val="28"/>
          <w:shd w:val="clear" w:color="auto" w:fill="FFFFFF"/>
        </w:rPr>
        <w:t>104</w:t>
      </w:r>
      <w:r>
        <w:rPr>
          <w:rFonts w:hint="eastAsia" w:ascii="Times New Roman" w:hAnsi="Times New Roman" w:eastAsia="仿宋"/>
          <w:color w:val="333333"/>
          <w:sz w:val="28"/>
          <w:szCs w:val="28"/>
          <w:shd w:val="clear" w:color="auto" w:fill="FFFFFF"/>
        </w:rPr>
        <w:t>条主动回应信息，其中包括热点回应</w:t>
      </w:r>
      <w:r>
        <w:rPr>
          <w:rFonts w:ascii="Times New Roman" w:hAnsi="Times New Roman" w:eastAsia="仿宋"/>
          <w:color w:val="333333"/>
          <w:sz w:val="28"/>
          <w:szCs w:val="28"/>
          <w:shd w:val="clear" w:color="auto" w:fill="FFFFFF"/>
        </w:rPr>
        <w:t>4</w:t>
      </w:r>
      <w:r>
        <w:rPr>
          <w:rFonts w:hint="eastAsia" w:ascii="Times New Roman" w:hAnsi="Times New Roman" w:eastAsia="仿宋"/>
          <w:color w:val="333333"/>
          <w:sz w:val="28"/>
          <w:szCs w:val="28"/>
          <w:shd w:val="clear" w:color="auto" w:fill="FFFFFF"/>
        </w:rPr>
        <w:t>条，在线访谈</w:t>
      </w:r>
      <w:r>
        <w:rPr>
          <w:rFonts w:ascii="Times New Roman" w:hAnsi="Times New Roman" w:eastAsia="仿宋"/>
          <w:color w:val="333333"/>
          <w:sz w:val="28"/>
          <w:szCs w:val="28"/>
          <w:shd w:val="clear" w:color="auto" w:fill="FFFFFF"/>
        </w:rPr>
        <w:t>15</w:t>
      </w:r>
      <w:r>
        <w:rPr>
          <w:rFonts w:hint="eastAsia" w:ascii="Times New Roman" w:hAnsi="Times New Roman" w:eastAsia="仿宋"/>
          <w:color w:val="333333"/>
          <w:sz w:val="28"/>
          <w:szCs w:val="28"/>
          <w:shd w:val="clear" w:color="auto" w:fill="FFFFFF"/>
        </w:rPr>
        <w:t>期、新闻实录</w:t>
      </w:r>
      <w:r>
        <w:rPr>
          <w:rFonts w:ascii="Times New Roman" w:hAnsi="Times New Roman" w:eastAsia="仿宋"/>
          <w:color w:val="333333"/>
          <w:sz w:val="28"/>
          <w:szCs w:val="28"/>
          <w:shd w:val="clear" w:color="auto" w:fill="FFFFFF"/>
        </w:rPr>
        <w:t>85</w:t>
      </w:r>
      <w:r>
        <w:rPr>
          <w:rFonts w:hint="eastAsia" w:ascii="Times New Roman" w:hAnsi="Times New Roman" w:eastAsia="仿宋"/>
          <w:color w:val="333333"/>
          <w:sz w:val="28"/>
          <w:szCs w:val="28"/>
          <w:shd w:val="clear" w:color="auto" w:fill="FFFFFF"/>
        </w:rPr>
        <w:t>条。（解读与回应数据分析图如图</w:t>
      </w:r>
      <w:r>
        <w:rPr>
          <w:rFonts w:ascii="Times New Roman" w:hAnsi="Times New Roman" w:eastAsia="仿宋"/>
          <w:color w:val="333333"/>
          <w:sz w:val="28"/>
          <w:szCs w:val="28"/>
          <w:shd w:val="clear" w:color="auto" w:fill="FFFFFF"/>
        </w:rPr>
        <w:t>1</w:t>
      </w:r>
      <w:r>
        <w:rPr>
          <w:rFonts w:hint="eastAsia" w:ascii="Times New Roman" w:hAnsi="Times New Roman" w:eastAsia="仿宋"/>
          <w:color w:val="333333"/>
          <w:sz w:val="28"/>
          <w:szCs w:val="28"/>
          <w:shd w:val="clear" w:color="auto" w:fill="FFFFFF"/>
        </w:rPr>
        <w:t>展示）</w:t>
      </w:r>
    </w:p>
    <w:p>
      <w:pPr>
        <w:pStyle w:val="7"/>
        <w:widowControl/>
        <w:shd w:val="clear" w:color="auto" w:fill="FFFFFF"/>
        <w:spacing w:beforeAutospacing="0" w:afterAutospacing="0" w:line="30" w:lineRule="atLeast"/>
        <w:ind w:firstLine="480" w:firstLineChars="200"/>
        <w:jc w:val="both"/>
        <w:rPr>
          <w:rFonts w:ascii="Times New Roman" w:hAnsi="Times New Roman" w:eastAsia="仿宋"/>
          <w:color w:val="333333"/>
          <w:sz w:val="28"/>
          <w:szCs w:val="28"/>
          <w:shd w:val="clear" w:color="auto" w:fill="FFFFFF"/>
        </w:rPr>
      </w:pPr>
      <w:r>
        <w:drawing>
          <wp:anchor distT="0" distB="0" distL="114300" distR="114300" simplePos="0" relativeHeight="251660288" behindDoc="0" locked="0" layoutInCell="1" allowOverlap="1">
            <wp:simplePos x="0" y="0"/>
            <wp:positionH relativeFrom="column">
              <wp:posOffset>185420</wp:posOffset>
            </wp:positionH>
            <wp:positionV relativeFrom="paragraph">
              <wp:posOffset>57785</wp:posOffset>
            </wp:positionV>
            <wp:extent cx="5020310" cy="2637790"/>
            <wp:effectExtent l="4445" t="4445" r="23495" b="571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left="700"/>
        <w:jc w:val="both"/>
        <w:rPr>
          <w:rFonts w:ascii="Times New Roman" w:hAnsi="Times New Roman" w:eastAsia="仿宋"/>
          <w:b/>
          <w:bCs/>
          <w:color w:val="333333"/>
          <w:sz w:val="28"/>
          <w:szCs w:val="28"/>
          <w:shd w:val="clear" w:color="auto" w:fill="FFFFFF"/>
        </w:rPr>
      </w:pPr>
    </w:p>
    <w:p>
      <w:pPr>
        <w:pStyle w:val="7"/>
        <w:widowControl/>
        <w:shd w:val="clear" w:color="auto" w:fill="FFFFFF"/>
        <w:spacing w:beforeAutospacing="0" w:afterAutospacing="0" w:line="30" w:lineRule="atLeast"/>
        <w:jc w:val="center"/>
        <w:rPr>
          <w:rFonts w:ascii="Times New Roman" w:hAnsi="Times New Roman" w:eastAsia="仿宋"/>
          <w:color w:val="333333"/>
          <w:sz w:val="28"/>
          <w:szCs w:val="28"/>
          <w:shd w:val="clear" w:color="auto" w:fill="FFFFFF"/>
        </w:rPr>
      </w:pPr>
      <w:r>
        <w:rPr>
          <w:rFonts w:hint="eastAsia" w:ascii="Times New Roman" w:hAnsi="Times New Roman" w:eastAsia="仿宋"/>
          <w:b/>
          <w:bCs/>
          <w:color w:val="333333"/>
          <w:shd w:val="clear" w:color="auto" w:fill="FFFFFF"/>
        </w:rPr>
        <w:t>图</w:t>
      </w:r>
      <w:r>
        <w:rPr>
          <w:rFonts w:ascii="Times New Roman" w:hAnsi="Times New Roman" w:eastAsia="仿宋"/>
          <w:b/>
          <w:bCs/>
          <w:color w:val="333333"/>
          <w:shd w:val="clear" w:color="auto" w:fill="FFFFFF"/>
        </w:rPr>
        <w:t>1</w:t>
      </w:r>
    </w:p>
    <w:p>
      <w:pPr>
        <w:pStyle w:val="7"/>
        <w:widowControl/>
        <w:shd w:val="clear" w:color="auto" w:fill="FFFFFF"/>
        <w:spacing w:beforeAutospacing="0" w:afterAutospacing="0" w:line="30" w:lineRule="atLeast"/>
        <w:ind w:firstLine="562" w:firstLineChars="200"/>
        <w:jc w:val="both"/>
        <w:rPr>
          <w:rFonts w:ascii="Times New Roman" w:hAnsi="Times New Roman" w:eastAsia="仿宋"/>
          <w:b/>
          <w:bCs/>
          <w:color w:val="333333"/>
          <w:sz w:val="28"/>
          <w:szCs w:val="28"/>
          <w:shd w:val="clear" w:color="auto" w:fill="FFFFFF"/>
        </w:rPr>
      </w:pPr>
      <w:r>
        <w:rPr>
          <w:rFonts w:ascii="Times New Roman" w:hAnsi="Times New Roman" w:eastAsia="仿宋"/>
          <w:b/>
          <w:bCs/>
          <w:color w:val="333333"/>
          <w:sz w:val="28"/>
          <w:szCs w:val="28"/>
          <w:shd w:val="clear" w:color="auto" w:fill="FFFFFF"/>
        </w:rPr>
        <w:t>4.</w:t>
      </w:r>
      <w:r>
        <w:rPr>
          <w:rFonts w:hint="eastAsia" w:ascii="Times New Roman" w:hAnsi="Times New Roman" w:eastAsia="仿宋"/>
          <w:b/>
          <w:bCs/>
          <w:color w:val="333333"/>
          <w:sz w:val="28"/>
          <w:szCs w:val="28"/>
          <w:shd w:val="clear" w:color="auto" w:fill="FFFFFF"/>
        </w:rPr>
        <w:t>深化重点领域公开力度，全面提升政府信息发布质量。</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年我市建设重点领域政府信息公开专栏，助力重点领域信息高质量公开。通过新余市财政预决算和</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三公</w:t>
      </w:r>
      <w:r>
        <w:rPr>
          <w:rFonts w:ascii="Times New Roman" w:hAnsi="Times New Roman" w:eastAsia="仿宋"/>
          <w:color w:val="333333"/>
          <w:sz w:val="28"/>
          <w:szCs w:val="28"/>
          <w:shd w:val="clear" w:color="auto" w:fill="FFFFFF"/>
        </w:rPr>
        <w:t>”</w:t>
      </w:r>
      <w:r>
        <w:rPr>
          <w:rFonts w:hint="eastAsia" w:ascii="Times New Roman" w:hAnsi="Times New Roman" w:eastAsia="仿宋"/>
          <w:color w:val="333333"/>
          <w:sz w:val="28"/>
          <w:szCs w:val="28"/>
          <w:shd w:val="clear" w:color="auto" w:fill="FFFFFF"/>
        </w:rPr>
        <w:t>经费公开专栏，集中展示了我市</w:t>
      </w:r>
      <w:r>
        <w:rPr>
          <w:rFonts w:ascii="Times New Roman" w:hAnsi="Times New Roman" w:eastAsia="仿宋"/>
          <w:color w:val="333333"/>
          <w:sz w:val="28"/>
          <w:szCs w:val="28"/>
          <w:shd w:val="clear" w:color="auto" w:fill="FFFFFF"/>
        </w:rPr>
        <w:t>84</w:t>
      </w:r>
      <w:r>
        <w:rPr>
          <w:rFonts w:hint="eastAsia" w:ascii="Times New Roman" w:hAnsi="Times New Roman" w:eastAsia="仿宋"/>
          <w:color w:val="333333"/>
          <w:sz w:val="28"/>
          <w:szCs w:val="28"/>
          <w:shd w:val="clear" w:color="auto" w:fill="FFFFFF"/>
        </w:rPr>
        <w:t>家单位的财政信息。在重点领域政府信息公开专栏下，全年共发布</w:t>
      </w:r>
      <w:r>
        <w:rPr>
          <w:rFonts w:ascii="Times New Roman" w:hAnsi="Times New Roman" w:eastAsia="仿宋"/>
          <w:color w:val="333333"/>
          <w:sz w:val="28"/>
          <w:szCs w:val="28"/>
          <w:shd w:val="clear" w:color="auto" w:fill="FFFFFF"/>
        </w:rPr>
        <w:t>6223</w:t>
      </w:r>
      <w:r>
        <w:rPr>
          <w:rFonts w:hint="eastAsia" w:ascii="Times New Roman" w:hAnsi="Times New Roman" w:eastAsia="仿宋"/>
          <w:color w:val="333333"/>
          <w:sz w:val="28"/>
          <w:szCs w:val="28"/>
          <w:shd w:val="clear" w:color="auto" w:fill="FFFFFF"/>
        </w:rPr>
        <w:t>条重点领域信息，其中包括</w:t>
      </w:r>
      <w:r>
        <w:rPr>
          <w:rFonts w:ascii="Times New Roman" w:hAnsi="Times New Roman" w:eastAsia="仿宋"/>
          <w:color w:val="333333"/>
          <w:sz w:val="28"/>
          <w:szCs w:val="28"/>
          <w:shd w:val="clear" w:color="auto" w:fill="FFFFFF"/>
        </w:rPr>
        <w:t>5786</w:t>
      </w:r>
      <w:r>
        <w:rPr>
          <w:rFonts w:hint="eastAsia" w:ascii="Times New Roman" w:hAnsi="Times New Roman" w:eastAsia="仿宋"/>
          <w:color w:val="333333"/>
          <w:sz w:val="28"/>
          <w:szCs w:val="28"/>
          <w:shd w:val="clear" w:color="auto" w:fill="FFFFFF"/>
        </w:rPr>
        <w:t>条公共资源配置领</w:t>
      </w:r>
      <w:r>
        <w:drawing>
          <wp:anchor distT="0" distB="2540" distL="114300" distR="114300" simplePos="0" relativeHeight="251659264" behindDoc="0" locked="0" layoutInCell="1" allowOverlap="1">
            <wp:simplePos x="0" y="0"/>
            <wp:positionH relativeFrom="column">
              <wp:posOffset>213995</wp:posOffset>
            </wp:positionH>
            <wp:positionV relativeFrom="paragraph">
              <wp:posOffset>1977390</wp:posOffset>
            </wp:positionV>
            <wp:extent cx="4963160" cy="2928620"/>
            <wp:effectExtent l="4445" t="4445" r="23495" b="19685"/>
            <wp:wrapNone/>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Times New Roman" w:hAnsi="Times New Roman" w:eastAsia="仿宋"/>
          <w:color w:val="333333"/>
          <w:sz w:val="28"/>
          <w:szCs w:val="28"/>
          <w:shd w:val="clear" w:color="auto" w:fill="FFFFFF"/>
        </w:rPr>
        <w:t>域信息、</w:t>
      </w:r>
      <w:r>
        <w:rPr>
          <w:rFonts w:ascii="Times New Roman" w:hAnsi="Times New Roman" w:eastAsia="仿宋"/>
          <w:color w:val="333333"/>
          <w:sz w:val="28"/>
          <w:szCs w:val="28"/>
          <w:shd w:val="clear" w:color="auto" w:fill="FFFFFF"/>
        </w:rPr>
        <w:t>246</w:t>
      </w:r>
      <w:r>
        <w:rPr>
          <w:rFonts w:hint="eastAsia" w:ascii="Times New Roman" w:hAnsi="Times New Roman" w:eastAsia="仿宋"/>
          <w:color w:val="333333"/>
          <w:sz w:val="28"/>
          <w:szCs w:val="28"/>
          <w:shd w:val="clear" w:color="auto" w:fill="FFFFFF"/>
        </w:rPr>
        <w:t>条社会公益事业领域信息、</w:t>
      </w:r>
      <w:r>
        <w:rPr>
          <w:rFonts w:ascii="Times New Roman" w:hAnsi="Times New Roman" w:eastAsia="仿宋"/>
          <w:color w:val="333333"/>
          <w:sz w:val="28"/>
          <w:szCs w:val="28"/>
          <w:shd w:val="clear" w:color="auto" w:fill="FFFFFF"/>
        </w:rPr>
        <w:t>106</w:t>
      </w:r>
      <w:r>
        <w:rPr>
          <w:rFonts w:hint="eastAsia" w:ascii="Times New Roman" w:hAnsi="Times New Roman" w:eastAsia="仿宋"/>
          <w:color w:val="333333"/>
          <w:sz w:val="28"/>
          <w:szCs w:val="28"/>
          <w:shd w:val="clear" w:color="auto" w:fill="FFFFFF"/>
        </w:rPr>
        <w:t>条监督检查信息、</w:t>
      </w:r>
      <w:r>
        <w:rPr>
          <w:rFonts w:ascii="Times New Roman" w:hAnsi="Times New Roman" w:eastAsia="仿宋"/>
          <w:color w:val="333333"/>
          <w:sz w:val="28"/>
          <w:szCs w:val="28"/>
          <w:shd w:val="clear" w:color="auto" w:fill="FFFFFF"/>
        </w:rPr>
        <w:t>85</w:t>
      </w:r>
      <w:r>
        <w:rPr>
          <w:rFonts w:hint="eastAsia" w:ascii="Times New Roman" w:hAnsi="Times New Roman" w:eastAsia="仿宋"/>
          <w:color w:val="333333"/>
          <w:sz w:val="28"/>
          <w:szCs w:val="28"/>
          <w:shd w:val="clear" w:color="auto" w:fill="FFFFFF"/>
        </w:rPr>
        <w:t>条重大建设项目领域信息。在住房保障、公共资源交易、精准脱贫、社会保障、环境保护、基本医疗卫生、安全生产、教育、食品药品安全等领域全方位、深层次加强重点领域信息公开，提高政府信息公开水平。（全年我市重点领域信息数据及分析如图</w:t>
      </w:r>
      <w:r>
        <w:rPr>
          <w:rFonts w:ascii="Times New Roman" w:hAnsi="Times New Roman" w:eastAsia="仿宋"/>
          <w:color w:val="333333"/>
          <w:sz w:val="28"/>
          <w:szCs w:val="28"/>
          <w:shd w:val="clear" w:color="auto" w:fill="FFFFFF"/>
        </w:rPr>
        <w:t>2</w:t>
      </w:r>
      <w:r>
        <w:rPr>
          <w:rFonts w:hint="eastAsia" w:ascii="Times New Roman" w:hAnsi="Times New Roman" w:eastAsia="仿宋"/>
          <w:color w:val="333333"/>
          <w:sz w:val="28"/>
          <w:szCs w:val="28"/>
          <w:shd w:val="clear" w:color="auto" w:fill="FFFFFF"/>
        </w:rPr>
        <w:t>展示）</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jc w:val="both"/>
        <w:rPr>
          <w:rFonts w:ascii="Times New Roman" w:hAnsi="Times New Roman" w:eastAsia="黑体"/>
          <w:color w:val="333333"/>
          <w:sz w:val="28"/>
          <w:szCs w:val="28"/>
          <w:shd w:val="clear" w:color="auto" w:fill="FFFFFF"/>
        </w:rPr>
      </w:pPr>
    </w:p>
    <w:p>
      <w:pPr>
        <w:pStyle w:val="7"/>
        <w:widowControl/>
        <w:shd w:val="clear" w:color="auto" w:fill="FFFFFF"/>
        <w:spacing w:beforeAutospacing="0" w:afterAutospacing="0" w:line="30" w:lineRule="atLeast"/>
        <w:ind w:firstLine="482" w:firstLineChars="200"/>
        <w:jc w:val="center"/>
        <w:rPr>
          <w:rFonts w:ascii="Times New Roman" w:hAnsi="Times New Roman" w:eastAsia="仿宋"/>
          <w:b/>
          <w:bCs/>
          <w:color w:val="333333"/>
          <w:shd w:val="clear" w:color="auto" w:fill="FFFFFF"/>
        </w:rPr>
      </w:pPr>
    </w:p>
    <w:p>
      <w:pPr>
        <w:pStyle w:val="7"/>
        <w:widowControl/>
        <w:shd w:val="clear" w:color="auto" w:fill="FFFFFF"/>
        <w:spacing w:beforeAutospacing="0" w:afterAutospacing="0" w:line="30" w:lineRule="atLeast"/>
        <w:ind w:firstLine="482" w:firstLineChars="200"/>
        <w:jc w:val="center"/>
        <w:rPr>
          <w:rFonts w:ascii="Times New Roman" w:hAnsi="Times New Roman" w:eastAsia="仿宋"/>
          <w:b/>
          <w:bCs/>
          <w:color w:val="333333"/>
          <w:shd w:val="clear" w:color="auto" w:fill="FFFFFF"/>
        </w:rPr>
      </w:pPr>
      <w:r>
        <w:rPr>
          <w:rFonts w:hint="eastAsia" w:ascii="Times New Roman" w:hAnsi="Times New Roman" w:eastAsia="仿宋"/>
          <w:b/>
          <w:bCs/>
          <w:color w:val="333333"/>
          <w:shd w:val="clear" w:color="auto" w:fill="FFFFFF"/>
        </w:rPr>
        <w:t>图</w:t>
      </w:r>
      <w:r>
        <w:rPr>
          <w:rFonts w:ascii="Times New Roman" w:hAnsi="Times New Roman" w:eastAsia="仿宋"/>
          <w:b/>
          <w:bCs/>
          <w:color w:val="333333"/>
          <w:shd w:val="clear" w:color="auto" w:fill="FFFFFF"/>
        </w:rPr>
        <w:t>2</w:t>
      </w:r>
    </w:p>
    <w:p>
      <w:pPr>
        <w:pStyle w:val="7"/>
        <w:widowControl/>
        <w:shd w:val="clear" w:color="auto" w:fill="FFFFFF"/>
        <w:spacing w:beforeAutospacing="0" w:afterAutospacing="0" w:line="30" w:lineRule="atLeast"/>
        <w:ind w:firstLine="562" w:firstLineChars="200"/>
        <w:jc w:val="both"/>
        <w:rPr>
          <w:rFonts w:ascii="Times New Roman" w:hAnsi="Times New Roman" w:eastAsia="仿宋"/>
          <w:b/>
          <w:bCs/>
          <w:color w:val="333333"/>
          <w:sz w:val="28"/>
          <w:szCs w:val="28"/>
          <w:shd w:val="clear" w:color="auto" w:fill="FFFFFF"/>
        </w:rPr>
      </w:pPr>
      <w:r>
        <w:rPr>
          <w:rFonts w:ascii="Times New Roman" w:hAnsi="Times New Roman" w:eastAsia="仿宋"/>
          <w:b/>
          <w:bCs/>
          <w:color w:val="333333"/>
          <w:sz w:val="28"/>
          <w:szCs w:val="28"/>
          <w:shd w:val="clear" w:color="auto" w:fill="FFFFFF"/>
        </w:rPr>
        <w:t>5.</w:t>
      </w:r>
      <w:r>
        <w:rPr>
          <w:rFonts w:hint="eastAsia" w:ascii="Times New Roman" w:hAnsi="Times New Roman" w:eastAsia="仿宋"/>
          <w:b/>
          <w:bCs/>
          <w:color w:val="333333"/>
          <w:sz w:val="28"/>
          <w:szCs w:val="28"/>
          <w:shd w:val="clear" w:color="auto" w:fill="FFFFFF"/>
        </w:rPr>
        <w:t>加强组织领导，贯彻落实新条例</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color w:val="333333"/>
          <w:sz w:val="28"/>
          <w:szCs w:val="28"/>
          <w:shd w:val="clear" w:color="auto" w:fill="FFFFFF"/>
        </w:rPr>
        <w:t>我市政府信息公开工作由市政府常务副市长分管，市政府办公室具体负责，加强人力、物力的配备，保障政务公开工作经费，聚焦问题短板，对照</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年省政府政务公开工作要点，定期开展自查评估，查缺补漏。</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ascii="Times New Roman" w:hAnsi="Times New Roman" w:eastAsia="仿宋"/>
          <w:color w:val="333333"/>
          <w:sz w:val="28"/>
          <w:szCs w:val="28"/>
          <w:shd w:val="clear" w:color="auto" w:fill="FFFFFF"/>
        </w:rPr>
        <w:t xml:space="preserve"> 2019</w:t>
      </w:r>
      <w:r>
        <w:rPr>
          <w:rFonts w:hint="eastAsia" w:ascii="Times New Roman" w:hAnsi="Times New Roman" w:eastAsia="仿宋"/>
          <w:color w:val="333333"/>
          <w:sz w:val="28"/>
          <w:szCs w:val="28"/>
          <w:shd w:val="clear" w:color="auto" w:fill="FFFFFF"/>
        </w:rPr>
        <w:t>年</w:t>
      </w:r>
      <w:r>
        <w:rPr>
          <w:rFonts w:ascii="Times New Roman" w:hAnsi="Times New Roman" w:eastAsia="仿宋"/>
          <w:color w:val="333333"/>
          <w:sz w:val="28"/>
          <w:szCs w:val="28"/>
          <w:shd w:val="clear" w:color="auto" w:fill="FFFFFF"/>
        </w:rPr>
        <w:t>5</w:t>
      </w:r>
      <w:r>
        <w:rPr>
          <w:rFonts w:hint="eastAsia" w:ascii="Times New Roman" w:hAnsi="Times New Roman" w:eastAsia="仿宋"/>
          <w:color w:val="333333"/>
          <w:sz w:val="28"/>
          <w:szCs w:val="28"/>
          <w:shd w:val="clear" w:color="auto" w:fill="FFFFFF"/>
        </w:rPr>
        <w:t>月份以来，按照省政务公开办统一部署，针对新修订的《中华人民共和国政府信息公开条例》组织网上答题。全市统一培训，并要求各县区、市直部门认真贯彻落实《新条例》，以确保宣传贯彻认识到位。</w:t>
      </w:r>
    </w:p>
    <w:p>
      <w:pPr>
        <w:pStyle w:val="7"/>
        <w:widowControl/>
        <w:shd w:val="clear" w:color="auto" w:fill="FFFFFF"/>
        <w:spacing w:beforeAutospacing="0" w:afterAutospacing="0" w:line="30" w:lineRule="atLeast"/>
        <w:ind w:firstLine="420"/>
        <w:jc w:val="both"/>
        <w:outlineLvl w:val="1"/>
        <w:rPr>
          <w:rFonts w:ascii="Times New Roman" w:hAnsi="Times New Roman" w:eastAsia="仿宋"/>
          <w:b/>
          <w:color w:val="333333"/>
          <w:sz w:val="28"/>
          <w:szCs w:val="28"/>
          <w:shd w:val="clear" w:color="auto" w:fill="FFFFFF"/>
        </w:rPr>
      </w:pPr>
      <w:r>
        <w:rPr>
          <w:rFonts w:hint="eastAsia" w:ascii="Times New Roman" w:hAnsi="Times New Roman" w:eastAsia="仿宋"/>
          <w:b/>
          <w:color w:val="333333"/>
          <w:sz w:val="28"/>
          <w:szCs w:val="28"/>
          <w:shd w:val="clear" w:color="auto" w:fill="FFFFFF"/>
        </w:rPr>
        <w:t>（二）依申请公开情况</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color w:val="333333"/>
          <w:sz w:val="28"/>
          <w:szCs w:val="28"/>
          <w:shd w:val="clear" w:color="auto" w:fill="FFFFFF"/>
        </w:rPr>
        <w:t>不断加强对依申请疑难问题和典型案例的分析研究，规范政府信息依申请公开工作中受理、办理、答复等程序，切实提升答复的准确性、规范性和合法性，进一步提高依申请公开工作效率和服务质量。</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年我市各部门受理政府信息公开申请</w:t>
      </w:r>
      <w:r>
        <w:rPr>
          <w:rFonts w:ascii="Times New Roman" w:hAnsi="Times New Roman" w:eastAsia="仿宋"/>
          <w:color w:val="333333"/>
          <w:sz w:val="28"/>
          <w:szCs w:val="28"/>
          <w:shd w:val="clear" w:color="auto" w:fill="FFFFFF"/>
        </w:rPr>
        <w:t>35</w:t>
      </w:r>
      <w:r>
        <w:rPr>
          <w:rFonts w:hint="eastAsia" w:ascii="Times New Roman" w:hAnsi="Times New Roman" w:eastAsia="仿宋"/>
          <w:color w:val="333333"/>
          <w:sz w:val="28"/>
          <w:szCs w:val="28"/>
          <w:shd w:val="clear" w:color="auto" w:fill="FFFFFF"/>
        </w:rPr>
        <w:t>件，其中</w:t>
      </w:r>
      <w:r>
        <w:rPr>
          <w:rFonts w:ascii="Times New Roman" w:hAnsi="Times New Roman" w:eastAsia="仿宋"/>
          <w:color w:val="333333"/>
          <w:sz w:val="28"/>
          <w:szCs w:val="28"/>
          <w:shd w:val="clear" w:color="auto" w:fill="FFFFFF"/>
        </w:rPr>
        <w:t>28</w:t>
      </w:r>
      <w:r>
        <w:rPr>
          <w:rFonts w:hint="eastAsia" w:ascii="Times New Roman" w:hAnsi="Times New Roman" w:eastAsia="仿宋"/>
          <w:color w:val="333333"/>
          <w:sz w:val="28"/>
          <w:szCs w:val="28"/>
          <w:shd w:val="clear" w:color="auto" w:fill="FFFFFF"/>
        </w:rPr>
        <w:t>件及时予以公开、不予公开</w:t>
      </w:r>
      <w:r>
        <w:rPr>
          <w:rFonts w:ascii="Times New Roman" w:hAnsi="Times New Roman" w:eastAsia="仿宋"/>
          <w:color w:val="333333"/>
          <w:sz w:val="28"/>
          <w:szCs w:val="28"/>
          <w:shd w:val="clear" w:color="auto" w:fill="FFFFFF"/>
        </w:rPr>
        <w:t>2</w:t>
      </w:r>
      <w:r>
        <w:rPr>
          <w:rFonts w:hint="eastAsia" w:ascii="Times New Roman" w:hAnsi="Times New Roman" w:eastAsia="仿宋"/>
          <w:color w:val="333333"/>
          <w:sz w:val="28"/>
          <w:szCs w:val="28"/>
          <w:shd w:val="clear" w:color="auto" w:fill="FFFFFF"/>
        </w:rPr>
        <w:t>件、无法提供政府信息的</w:t>
      </w:r>
      <w:r>
        <w:rPr>
          <w:rFonts w:ascii="Times New Roman" w:hAnsi="Times New Roman" w:eastAsia="仿宋"/>
          <w:color w:val="333333"/>
          <w:sz w:val="28"/>
          <w:szCs w:val="28"/>
          <w:shd w:val="clear" w:color="auto" w:fill="FFFFFF"/>
        </w:rPr>
        <w:t>2</w:t>
      </w:r>
      <w:r>
        <w:rPr>
          <w:rFonts w:hint="eastAsia" w:ascii="Times New Roman" w:hAnsi="Times New Roman" w:eastAsia="仿宋"/>
          <w:color w:val="333333"/>
          <w:sz w:val="28"/>
          <w:szCs w:val="28"/>
          <w:shd w:val="clear" w:color="auto" w:fill="FFFFFF"/>
        </w:rPr>
        <w:t>件、不予处理</w:t>
      </w:r>
      <w:r>
        <w:rPr>
          <w:rFonts w:ascii="Times New Roman" w:hAnsi="Times New Roman" w:eastAsia="仿宋"/>
          <w:color w:val="333333"/>
          <w:sz w:val="28"/>
          <w:szCs w:val="28"/>
          <w:shd w:val="clear" w:color="auto" w:fill="FFFFFF"/>
        </w:rPr>
        <w:t>1</w:t>
      </w:r>
      <w:r>
        <w:rPr>
          <w:rFonts w:hint="eastAsia" w:ascii="Times New Roman" w:hAnsi="Times New Roman" w:eastAsia="仿宋"/>
          <w:color w:val="333333"/>
          <w:sz w:val="28"/>
          <w:szCs w:val="28"/>
          <w:shd w:val="clear" w:color="auto" w:fill="FFFFFF"/>
        </w:rPr>
        <w:t>件、其他处理</w:t>
      </w:r>
      <w:r>
        <w:rPr>
          <w:rFonts w:ascii="Times New Roman" w:hAnsi="Times New Roman" w:eastAsia="仿宋"/>
          <w:color w:val="333333"/>
          <w:sz w:val="28"/>
          <w:szCs w:val="28"/>
          <w:shd w:val="clear" w:color="auto" w:fill="FFFFFF"/>
        </w:rPr>
        <w:t>2</w:t>
      </w:r>
      <w:r>
        <w:rPr>
          <w:rFonts w:hint="eastAsia" w:ascii="Times New Roman" w:hAnsi="Times New Roman" w:eastAsia="仿宋"/>
          <w:color w:val="333333"/>
          <w:sz w:val="28"/>
          <w:szCs w:val="28"/>
          <w:shd w:val="clear" w:color="auto" w:fill="FFFFFF"/>
        </w:rPr>
        <w:t>件。</w:t>
      </w:r>
    </w:p>
    <w:p>
      <w:pPr>
        <w:pStyle w:val="7"/>
        <w:widowControl/>
        <w:shd w:val="clear" w:color="auto" w:fill="FFFFFF"/>
        <w:spacing w:beforeAutospacing="0" w:afterAutospacing="0" w:line="30" w:lineRule="atLeast"/>
        <w:ind w:firstLine="420"/>
        <w:jc w:val="both"/>
        <w:outlineLvl w:val="1"/>
        <w:rPr>
          <w:rFonts w:ascii="Times New Roman" w:hAnsi="Times New Roman" w:eastAsia="仿宋"/>
          <w:b/>
          <w:color w:val="333333"/>
          <w:sz w:val="28"/>
          <w:szCs w:val="28"/>
          <w:shd w:val="clear" w:color="auto" w:fill="FFFFFF"/>
        </w:rPr>
      </w:pPr>
      <w:r>
        <w:rPr>
          <w:rFonts w:hint="eastAsia" w:ascii="Times New Roman" w:hAnsi="Times New Roman" w:eastAsia="仿宋"/>
          <w:b/>
          <w:color w:val="333333"/>
          <w:sz w:val="28"/>
          <w:szCs w:val="28"/>
          <w:shd w:val="clear" w:color="auto" w:fill="FFFFFF"/>
        </w:rPr>
        <w:t>（三）依申请政府信息公开的收费及减免情况</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年我市因依申请公开的政府信息均未收费。</w:t>
      </w:r>
    </w:p>
    <w:p>
      <w:pPr>
        <w:pStyle w:val="7"/>
        <w:widowControl/>
        <w:shd w:val="clear" w:color="auto" w:fill="FFFFFF"/>
        <w:spacing w:beforeAutospacing="0" w:afterAutospacing="0" w:line="30" w:lineRule="atLeast"/>
        <w:ind w:firstLine="420"/>
        <w:jc w:val="both"/>
        <w:outlineLvl w:val="1"/>
        <w:rPr>
          <w:rFonts w:ascii="Times New Roman" w:hAnsi="Times New Roman" w:eastAsia="仿宋"/>
          <w:b/>
          <w:color w:val="333333"/>
          <w:sz w:val="28"/>
          <w:szCs w:val="28"/>
          <w:shd w:val="clear" w:color="auto" w:fill="FFFFFF"/>
        </w:rPr>
      </w:pPr>
      <w:r>
        <w:rPr>
          <w:rFonts w:hint="eastAsia" w:ascii="Times New Roman" w:hAnsi="Times New Roman" w:eastAsia="仿宋"/>
          <w:b/>
          <w:color w:val="333333"/>
          <w:sz w:val="28"/>
          <w:szCs w:val="28"/>
          <w:shd w:val="clear" w:color="auto" w:fill="FFFFFF"/>
        </w:rPr>
        <w:t>（四）政府信息公开行政复议、行政诉讼情况</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年，全市政府信息公开行政复议</w:t>
      </w:r>
      <w:r>
        <w:rPr>
          <w:rFonts w:ascii="Times New Roman" w:hAnsi="Times New Roman" w:eastAsia="仿宋"/>
          <w:color w:val="333333"/>
          <w:sz w:val="28"/>
          <w:szCs w:val="28"/>
          <w:shd w:val="clear" w:color="auto" w:fill="FFFFFF"/>
        </w:rPr>
        <w:t>8</w:t>
      </w:r>
      <w:r>
        <w:rPr>
          <w:rFonts w:hint="eastAsia" w:ascii="Times New Roman" w:hAnsi="Times New Roman" w:eastAsia="仿宋"/>
          <w:color w:val="333333"/>
          <w:sz w:val="28"/>
          <w:szCs w:val="28"/>
          <w:shd w:val="clear" w:color="auto" w:fill="FFFFFF"/>
        </w:rPr>
        <w:t>件，其中结果维持</w:t>
      </w:r>
      <w:r>
        <w:rPr>
          <w:rFonts w:ascii="Times New Roman" w:hAnsi="Times New Roman" w:eastAsia="仿宋"/>
          <w:color w:val="333333"/>
          <w:sz w:val="28"/>
          <w:szCs w:val="28"/>
          <w:shd w:val="clear" w:color="auto" w:fill="FFFFFF"/>
        </w:rPr>
        <w:t>5</w:t>
      </w:r>
      <w:r>
        <w:rPr>
          <w:rFonts w:hint="eastAsia" w:ascii="Times New Roman" w:hAnsi="Times New Roman" w:eastAsia="仿宋"/>
          <w:color w:val="333333"/>
          <w:sz w:val="28"/>
          <w:szCs w:val="28"/>
          <w:shd w:val="clear" w:color="auto" w:fill="FFFFFF"/>
        </w:rPr>
        <w:t>件、其它结果</w:t>
      </w:r>
      <w:r>
        <w:rPr>
          <w:rFonts w:ascii="Times New Roman" w:hAnsi="Times New Roman" w:eastAsia="仿宋"/>
          <w:color w:val="333333"/>
          <w:sz w:val="28"/>
          <w:szCs w:val="28"/>
          <w:shd w:val="clear" w:color="auto" w:fill="FFFFFF"/>
        </w:rPr>
        <w:t>1</w:t>
      </w:r>
      <w:r>
        <w:rPr>
          <w:rFonts w:hint="eastAsia" w:ascii="Times New Roman" w:hAnsi="Times New Roman" w:eastAsia="仿宋"/>
          <w:color w:val="333333"/>
          <w:sz w:val="28"/>
          <w:szCs w:val="28"/>
          <w:shd w:val="clear" w:color="auto" w:fill="FFFFFF"/>
        </w:rPr>
        <w:t>件、尚未审结</w:t>
      </w:r>
      <w:r>
        <w:rPr>
          <w:rFonts w:ascii="Times New Roman" w:hAnsi="Times New Roman" w:eastAsia="仿宋"/>
          <w:color w:val="333333"/>
          <w:sz w:val="28"/>
          <w:szCs w:val="28"/>
          <w:shd w:val="clear" w:color="auto" w:fill="FFFFFF"/>
        </w:rPr>
        <w:t>2</w:t>
      </w:r>
      <w:r>
        <w:rPr>
          <w:rFonts w:hint="eastAsia" w:ascii="Times New Roman" w:hAnsi="Times New Roman" w:eastAsia="仿宋"/>
          <w:color w:val="333333"/>
          <w:sz w:val="28"/>
          <w:szCs w:val="28"/>
          <w:shd w:val="clear" w:color="auto" w:fill="FFFFFF"/>
        </w:rPr>
        <w:t>件；全市政府信息公开行政应诉案件</w:t>
      </w:r>
      <w:r>
        <w:rPr>
          <w:rFonts w:ascii="Times New Roman" w:hAnsi="Times New Roman" w:eastAsia="仿宋"/>
          <w:color w:val="333333"/>
          <w:sz w:val="28"/>
          <w:szCs w:val="28"/>
          <w:shd w:val="clear" w:color="auto" w:fill="FFFFFF"/>
        </w:rPr>
        <w:t>6</w:t>
      </w:r>
      <w:r>
        <w:rPr>
          <w:rFonts w:hint="eastAsia" w:ascii="Times New Roman" w:hAnsi="Times New Roman" w:eastAsia="仿宋"/>
          <w:color w:val="333333"/>
          <w:sz w:val="28"/>
          <w:szCs w:val="28"/>
          <w:shd w:val="clear" w:color="auto" w:fill="FFFFFF"/>
        </w:rPr>
        <w:t>件，被人民法院维持</w:t>
      </w:r>
      <w:r>
        <w:rPr>
          <w:rFonts w:ascii="Times New Roman" w:hAnsi="Times New Roman" w:eastAsia="仿宋"/>
          <w:color w:val="333333"/>
          <w:sz w:val="28"/>
          <w:szCs w:val="28"/>
          <w:shd w:val="clear" w:color="auto" w:fill="FFFFFF"/>
        </w:rPr>
        <w:t>5</w:t>
      </w:r>
      <w:r>
        <w:rPr>
          <w:rFonts w:hint="eastAsia" w:ascii="Times New Roman" w:hAnsi="Times New Roman" w:eastAsia="仿宋"/>
          <w:color w:val="333333"/>
          <w:sz w:val="28"/>
          <w:szCs w:val="28"/>
          <w:shd w:val="clear" w:color="auto" w:fill="FFFFFF"/>
        </w:rPr>
        <w:t>件，尚未审结</w:t>
      </w:r>
      <w:r>
        <w:rPr>
          <w:rFonts w:ascii="Times New Roman" w:hAnsi="Times New Roman" w:eastAsia="仿宋"/>
          <w:color w:val="333333"/>
          <w:sz w:val="28"/>
          <w:szCs w:val="28"/>
          <w:shd w:val="clear" w:color="auto" w:fill="FFFFFF"/>
        </w:rPr>
        <w:t>1</w:t>
      </w:r>
      <w:r>
        <w:rPr>
          <w:rFonts w:hint="eastAsia" w:ascii="Times New Roman" w:hAnsi="Times New Roman" w:eastAsia="仿宋"/>
          <w:color w:val="333333"/>
          <w:sz w:val="28"/>
          <w:szCs w:val="28"/>
          <w:shd w:val="clear" w:color="auto" w:fill="FFFFFF"/>
        </w:rPr>
        <w:t>件。</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p>
    <w:p>
      <w:pPr>
        <w:pStyle w:val="7"/>
        <w:widowControl/>
        <w:shd w:val="clear" w:color="auto" w:fill="FFFFFF"/>
        <w:spacing w:beforeAutospacing="0" w:afterAutospacing="0" w:line="30" w:lineRule="atLeast"/>
        <w:jc w:val="both"/>
        <w:rPr>
          <w:rFonts w:ascii="Times New Roman" w:hAnsi="Times New Roman" w:eastAsia="仿宋"/>
          <w:b/>
          <w:bCs/>
          <w:color w:val="333333"/>
          <w:shd w:val="clear" w:color="auto" w:fill="FFFFFF"/>
        </w:rPr>
      </w:pPr>
    </w:p>
    <w:p>
      <w:pPr>
        <w:pStyle w:val="7"/>
        <w:widowControl/>
        <w:shd w:val="clear" w:color="auto" w:fill="FFFFFF"/>
        <w:spacing w:beforeAutospacing="0" w:afterAutospacing="0" w:line="30" w:lineRule="atLeast"/>
        <w:ind w:firstLine="420"/>
        <w:jc w:val="both"/>
        <w:outlineLvl w:val="0"/>
        <w:rPr>
          <w:rFonts w:ascii="Times New Roman" w:hAnsi="Times New Roman" w:eastAsia="仿宋"/>
          <w:b/>
          <w:bCs/>
          <w:color w:val="333333"/>
          <w:shd w:val="clear" w:color="auto" w:fill="FFFFFF"/>
        </w:rPr>
      </w:pPr>
    </w:p>
    <w:p>
      <w:pPr>
        <w:pStyle w:val="7"/>
        <w:widowControl/>
        <w:shd w:val="clear" w:color="auto" w:fill="FFFFFF"/>
        <w:spacing w:beforeAutospacing="0" w:afterAutospacing="0" w:line="30" w:lineRule="atLeast"/>
        <w:ind w:firstLine="420"/>
        <w:jc w:val="both"/>
        <w:outlineLvl w:val="0"/>
        <w:rPr>
          <w:rFonts w:ascii="Times New Roman" w:hAnsi="Times New Roman" w:eastAsia="仿宋"/>
          <w:b/>
          <w:bCs/>
          <w:color w:val="333333"/>
          <w:shd w:val="clear" w:color="auto" w:fill="FFFFFF"/>
        </w:rPr>
      </w:pPr>
    </w:p>
    <w:p>
      <w:pPr>
        <w:pStyle w:val="7"/>
        <w:widowControl/>
        <w:shd w:val="clear" w:color="auto" w:fill="FFFFFF"/>
        <w:spacing w:beforeAutospacing="0" w:afterAutospacing="0" w:line="30" w:lineRule="atLeast"/>
        <w:ind w:firstLine="420"/>
        <w:jc w:val="both"/>
        <w:outlineLvl w:val="0"/>
        <w:rPr>
          <w:rFonts w:ascii="Times New Roman" w:hAnsi="Times New Roman" w:eastAsia="微软雅黑"/>
          <w:b/>
          <w:color w:val="333333"/>
          <w:sz w:val="30"/>
          <w:szCs w:val="30"/>
          <w:shd w:val="clear" w:color="auto" w:fill="FFFFFF"/>
        </w:rPr>
      </w:pPr>
      <w:r>
        <w:rPr>
          <w:rFonts w:hint="eastAsia" w:ascii="Times New Roman" w:hAnsi="Times New Roman" w:eastAsia="微软雅黑"/>
          <w:b/>
          <w:color w:val="333333"/>
          <w:sz w:val="30"/>
          <w:szCs w:val="30"/>
          <w:shd w:val="clear" w:color="auto" w:fill="FFFFFF"/>
        </w:rPr>
        <w:t>二、主动公开政府信息情况</w:t>
      </w:r>
    </w:p>
    <w:tbl>
      <w:tblPr>
        <w:tblStyle w:val="8"/>
        <w:tblW w:w="8140" w:type="dxa"/>
        <w:jc w:val="center"/>
        <w:tblLayout w:type="fixed"/>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本年新</w:t>
            </w:r>
            <w:r>
              <w:rPr>
                <w:rFonts w:ascii="Times New Roman" w:hAnsi="Times New Roman"/>
                <w:color w:val="000000"/>
                <w:kern w:val="0"/>
                <w:sz w:val="20"/>
                <w:szCs w:val="20"/>
              </w:rPr>
              <w:br w:type="textWrapping"/>
            </w:r>
            <w:r>
              <w:rPr>
                <w:rFonts w:hint="eastAsia" w:ascii="Times New Roman" w:hAnsi="Times New Roman"/>
                <w:kern w:val="0"/>
                <w:sz w:val="20"/>
                <w:szCs w:val="20"/>
              </w:rPr>
              <w:t>制作数量</w:t>
            </w:r>
          </w:p>
        </w:tc>
        <w:tc>
          <w:tcPr>
            <w:tcW w:w="1271"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本年新</w:t>
            </w:r>
            <w:r>
              <w:rPr>
                <w:rFonts w:ascii="Times New Roman" w:hAnsi="Times New Roman"/>
                <w:color w:val="000000"/>
                <w:kern w:val="0"/>
                <w:sz w:val="20"/>
                <w:szCs w:val="20"/>
              </w:rPr>
              <w:br w:type="textWrapping"/>
            </w:r>
            <w:r>
              <w:rPr>
                <w:rFonts w:hint="eastAsia" w:ascii="Times New Roman" w:hAnsi="Times New Roman"/>
                <w:kern w:val="0"/>
                <w:sz w:val="20"/>
                <w:szCs w:val="20"/>
              </w:rPr>
              <w:t>公开数量</w:t>
            </w:r>
          </w:p>
        </w:tc>
        <w:tc>
          <w:tcPr>
            <w:tcW w:w="1881"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规章</w:t>
            </w:r>
          </w:p>
        </w:tc>
        <w:tc>
          <w:tcPr>
            <w:tcW w:w="187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rPr>
                <w:rFonts w:ascii="Times New Roman" w:hAnsi="Times New Roman"/>
              </w:rPr>
            </w:pPr>
            <w:r>
              <w:rPr>
                <w:rFonts w:ascii="Times New Roman" w:hAnsi="Times New Roman"/>
                <w:color w:val="000000"/>
                <w:kern w:val="0"/>
                <w:sz w:val="20"/>
                <w:szCs w:val="20"/>
              </w:rPr>
              <w:t>48</w:t>
            </w:r>
          </w:p>
        </w:tc>
        <w:tc>
          <w:tcPr>
            <w:tcW w:w="1271"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rPr>
                <w:rFonts w:ascii="Times New Roman" w:hAnsi="Times New Roman"/>
              </w:rPr>
            </w:pPr>
            <w:r>
              <w:rPr>
                <w:rFonts w:ascii="Times New Roman" w:hAnsi="Times New Roman"/>
                <w:color w:val="000000"/>
                <w:kern w:val="0"/>
                <w:sz w:val="20"/>
                <w:szCs w:val="20"/>
              </w:rPr>
              <w:t>48</w:t>
            </w:r>
          </w:p>
        </w:tc>
        <w:tc>
          <w:tcPr>
            <w:tcW w:w="1881"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rPr>
                <w:rFonts w:ascii="Times New Roman" w:hAnsi="Times New Roman"/>
              </w:rPr>
            </w:pPr>
            <w:r>
              <w:rPr>
                <w:rFonts w:ascii="Times New Roman" w:hAnsi="Times New Roman"/>
                <w:color w:val="000000"/>
                <w:kern w:val="0"/>
                <w:sz w:val="20"/>
                <w:szCs w:val="20"/>
              </w:rPr>
              <w:t>61</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规范性文件</w:t>
            </w:r>
          </w:p>
        </w:tc>
        <w:tc>
          <w:tcPr>
            <w:tcW w:w="187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rPr>
                <w:rFonts w:ascii="Times New Roman" w:hAnsi="Times New Roman"/>
              </w:rPr>
            </w:pPr>
            <w:r>
              <w:rPr>
                <w:rFonts w:ascii="Times New Roman" w:hAnsi="Times New Roman"/>
                <w:color w:val="000000"/>
                <w:kern w:val="0"/>
                <w:sz w:val="20"/>
                <w:szCs w:val="20"/>
              </w:rPr>
              <w:t>191</w:t>
            </w:r>
          </w:p>
        </w:tc>
        <w:tc>
          <w:tcPr>
            <w:tcW w:w="1271"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rPr>
                <w:rFonts w:ascii="Times New Roman" w:hAnsi="Times New Roman"/>
              </w:rPr>
            </w:pPr>
            <w:r>
              <w:rPr>
                <w:rFonts w:ascii="Times New Roman" w:hAnsi="Times New Roman"/>
                <w:color w:val="000000"/>
                <w:kern w:val="0"/>
                <w:sz w:val="20"/>
                <w:szCs w:val="20"/>
              </w:rPr>
              <w:t>155</w:t>
            </w:r>
          </w:p>
        </w:tc>
        <w:tc>
          <w:tcPr>
            <w:tcW w:w="1881"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rPr>
                <w:rFonts w:ascii="Times New Roman" w:hAnsi="Times New Roman"/>
              </w:rPr>
            </w:pPr>
            <w:r>
              <w:rPr>
                <w:rFonts w:ascii="Times New Roman" w:hAnsi="Times New Roman"/>
                <w:color w:val="000000"/>
                <w:kern w:val="0"/>
                <w:sz w:val="20"/>
                <w:szCs w:val="20"/>
              </w:rPr>
              <w:t>172</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本年增</w:t>
            </w:r>
            <w:r>
              <w:rPr>
                <w:rFonts w:ascii="Times New Roman" w:hAnsi="Times New Roman"/>
                <w:color w:val="000000"/>
                <w:kern w:val="0"/>
                <w:sz w:val="20"/>
                <w:szCs w:val="20"/>
              </w:rPr>
              <w:t>/</w:t>
            </w:r>
            <w:r>
              <w:rPr>
                <w:rFonts w:hint="eastAsia" w:ascii="Times New Roman" w:hAnsi="Times New Roman"/>
                <w:color w:val="000000"/>
                <w:kern w:val="0"/>
                <w:sz w:val="20"/>
                <w:szCs w:val="20"/>
              </w:rPr>
              <w:t>减</w:t>
            </w:r>
          </w:p>
        </w:tc>
        <w:tc>
          <w:tcPr>
            <w:tcW w:w="1881"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行政许可</w:t>
            </w:r>
          </w:p>
        </w:tc>
        <w:tc>
          <w:tcPr>
            <w:tcW w:w="1881"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ascii="Times New Roman" w:hAnsi="Times New Roman"/>
                <w:color w:val="000000"/>
                <w:kern w:val="0"/>
                <w:sz w:val="20"/>
                <w:szCs w:val="20"/>
              </w:rPr>
              <w:t>311</w:t>
            </w:r>
          </w:p>
        </w:tc>
        <w:tc>
          <w:tcPr>
            <w:tcW w:w="126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　</w:t>
            </w:r>
            <w:r>
              <w:rPr>
                <w:rFonts w:ascii="Times New Roman" w:hAnsi="Times New Roman"/>
                <w:color w:val="000000"/>
                <w:kern w:val="0"/>
                <w:sz w:val="20"/>
                <w:szCs w:val="20"/>
              </w:rPr>
              <w:t>10</w:t>
            </w:r>
          </w:p>
        </w:tc>
        <w:tc>
          <w:tcPr>
            <w:tcW w:w="1881"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ascii="Times New Roman" w:hAnsi="Times New Roman"/>
                <w:color w:val="000000"/>
                <w:kern w:val="0"/>
                <w:sz w:val="20"/>
                <w:szCs w:val="20"/>
              </w:rPr>
              <w:t>9649</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ascii="Times New Roman" w:hAnsi="Times New Roman"/>
                <w:color w:val="000000"/>
                <w:kern w:val="0"/>
                <w:sz w:val="20"/>
                <w:szCs w:val="20"/>
              </w:rPr>
              <w:t>52</w:t>
            </w:r>
          </w:p>
        </w:tc>
        <w:tc>
          <w:tcPr>
            <w:tcW w:w="126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　</w:t>
            </w:r>
            <w:r>
              <w:rPr>
                <w:rFonts w:ascii="Times New Roman" w:hAnsi="Times New Roman"/>
                <w:color w:val="000000"/>
                <w:kern w:val="0"/>
                <w:sz w:val="20"/>
                <w:szCs w:val="20"/>
              </w:rPr>
              <w:t>-14</w:t>
            </w:r>
          </w:p>
        </w:tc>
        <w:tc>
          <w:tcPr>
            <w:tcW w:w="1881"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ascii="Times New Roman" w:hAnsi="Times New Roman"/>
                <w:color w:val="000000"/>
                <w:kern w:val="0"/>
                <w:sz w:val="20"/>
                <w:szCs w:val="20"/>
              </w:rPr>
              <w:t>38</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本年增</w:t>
            </w:r>
            <w:r>
              <w:rPr>
                <w:rFonts w:ascii="Times New Roman" w:hAnsi="Times New Roman"/>
                <w:color w:val="000000"/>
                <w:kern w:val="0"/>
                <w:sz w:val="20"/>
                <w:szCs w:val="20"/>
              </w:rPr>
              <w:t>/</w:t>
            </w:r>
            <w:r>
              <w:rPr>
                <w:rFonts w:hint="eastAsia" w:ascii="Times New Roman" w:hAnsi="Times New Roman"/>
                <w:color w:val="000000"/>
                <w:kern w:val="0"/>
                <w:sz w:val="20"/>
                <w:szCs w:val="20"/>
              </w:rPr>
              <w:t>减</w:t>
            </w:r>
          </w:p>
        </w:tc>
        <w:tc>
          <w:tcPr>
            <w:tcW w:w="1881"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行政处罚</w:t>
            </w:r>
          </w:p>
        </w:tc>
        <w:tc>
          <w:tcPr>
            <w:tcW w:w="1881"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　</w:t>
            </w:r>
            <w:r>
              <w:rPr>
                <w:rFonts w:ascii="Times New Roman" w:hAnsi="Times New Roman"/>
                <w:color w:val="000000"/>
                <w:kern w:val="0"/>
                <w:sz w:val="20"/>
                <w:szCs w:val="20"/>
              </w:rPr>
              <w:t>448</w:t>
            </w:r>
          </w:p>
        </w:tc>
        <w:tc>
          <w:tcPr>
            <w:tcW w:w="126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ascii="Times New Roman" w:hAnsi="Times New Roman"/>
                <w:color w:val="000000"/>
                <w:kern w:val="0"/>
                <w:sz w:val="20"/>
                <w:szCs w:val="20"/>
              </w:rPr>
              <w:t>-119</w:t>
            </w:r>
          </w:p>
        </w:tc>
        <w:tc>
          <w:tcPr>
            <w:tcW w:w="1881"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ascii="Times New Roman" w:hAnsi="Times New Roman"/>
              </w:rPr>
              <w:t>676</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行政强制</w:t>
            </w:r>
          </w:p>
        </w:tc>
        <w:tc>
          <w:tcPr>
            <w:tcW w:w="1881"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ascii="Times New Roman" w:hAnsi="Times New Roman"/>
                <w:color w:val="000000"/>
                <w:kern w:val="0"/>
                <w:sz w:val="20"/>
                <w:szCs w:val="20"/>
              </w:rPr>
              <w:t>21</w:t>
            </w:r>
          </w:p>
        </w:tc>
        <w:tc>
          <w:tcPr>
            <w:tcW w:w="1265"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ascii="Times New Roman" w:hAnsi="Times New Roman"/>
              </w:rPr>
              <w:t>11</w:t>
            </w:r>
          </w:p>
        </w:tc>
        <w:tc>
          <w:tcPr>
            <w:tcW w:w="1881" w:type="dxa"/>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ascii="Times New Roman" w:hAnsi="Times New Roman"/>
              </w:rPr>
              <w:t>34</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信息内容</w:t>
            </w:r>
          </w:p>
        </w:tc>
        <w:tc>
          <w:tcPr>
            <w:tcW w:w="1881"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本年增</w:t>
            </w:r>
            <w:r>
              <w:rPr>
                <w:rFonts w:ascii="Times New Roman" w:hAnsi="Times New Roman"/>
                <w:color w:val="000000"/>
                <w:kern w:val="0"/>
                <w:sz w:val="20"/>
                <w:szCs w:val="20"/>
              </w:rPr>
              <w:t>/</w:t>
            </w:r>
            <w:r>
              <w:rPr>
                <w:rFonts w:hint="eastAsia" w:ascii="Times New Roman" w:hAnsi="Times New Roman"/>
                <w:color w:val="000000"/>
                <w:kern w:val="0"/>
                <w:sz w:val="20"/>
                <w:szCs w:val="20"/>
              </w:rPr>
              <w:t>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行政事业性收费</w:t>
            </w:r>
          </w:p>
        </w:tc>
        <w:tc>
          <w:tcPr>
            <w:tcW w:w="1881"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color w:val="000000"/>
                <w:kern w:val="0"/>
                <w:sz w:val="20"/>
                <w:szCs w:val="20"/>
              </w:rPr>
              <w:t>　</w:t>
            </w:r>
            <w:r>
              <w:rPr>
                <w:rFonts w:ascii="Times New Roman" w:hAnsi="Times New Roman"/>
                <w:color w:val="000000"/>
                <w:kern w:val="0"/>
                <w:sz w:val="20"/>
                <w:szCs w:val="20"/>
              </w:rPr>
              <w:t>20</w:t>
            </w:r>
          </w:p>
        </w:tc>
        <w:tc>
          <w:tcPr>
            <w:tcW w:w="3146" w:type="dxa"/>
            <w:gridSpan w:val="2"/>
            <w:tcBorders>
              <w:top w:val="nil"/>
              <w:left w:val="nil"/>
              <w:bottom w:val="single" w:color="auto" w:sz="8" w:space="0"/>
              <w:right w:val="single" w:color="000000"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color w:val="000000"/>
                <w:kern w:val="0"/>
                <w:sz w:val="20"/>
                <w:szCs w:val="20"/>
              </w:rPr>
              <w:t>1 </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tcPr>
          <w:p>
            <w:pPr>
              <w:widowControl/>
              <w:spacing w:line="600" w:lineRule="exact"/>
              <w:jc w:val="left"/>
              <w:rPr>
                <w:rFonts w:ascii="Times New Roman" w:hAnsi="Times New Roman"/>
              </w:rPr>
            </w:pPr>
            <w:r>
              <w:rPr>
                <w:rFonts w:hint="eastAsia" w:ascii="Times New Roman" w:hAnsi="Times New Roman"/>
                <w:color w:val="000000"/>
                <w:kern w:val="0"/>
                <w:sz w:val="20"/>
                <w:szCs w:val="20"/>
              </w:rPr>
              <w:t>信息内容</w:t>
            </w:r>
          </w:p>
        </w:tc>
        <w:tc>
          <w:tcPr>
            <w:tcW w:w="1881"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tcPr>
          <w:p>
            <w:pPr>
              <w:widowControl/>
              <w:spacing w:line="600" w:lineRule="exact"/>
              <w:jc w:val="left"/>
              <w:rPr>
                <w:rFonts w:ascii="Times New Roman" w:hAnsi="Times New Roman"/>
              </w:rPr>
            </w:pPr>
            <w:r>
              <w:rPr>
                <w:rFonts w:hint="eastAsia" w:ascii="Times New Roman" w:hAnsi="Times New Roman"/>
                <w:color w:val="000000"/>
                <w:kern w:val="0"/>
                <w:sz w:val="20"/>
                <w:szCs w:val="20"/>
              </w:rPr>
              <w:t>采购项目数量</w:t>
            </w:r>
          </w:p>
        </w:tc>
        <w:tc>
          <w:tcPr>
            <w:tcW w:w="3146"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tcPr>
          <w:p>
            <w:pPr>
              <w:widowControl/>
              <w:spacing w:line="600" w:lineRule="exact"/>
              <w:jc w:val="left"/>
              <w:rPr>
                <w:rFonts w:ascii="Times New Roman" w:hAnsi="Times New Roman"/>
              </w:rPr>
            </w:pPr>
            <w:r>
              <w:rPr>
                <w:rFonts w:hint="eastAsia" w:ascii="Times New Roman" w:hAnsi="Times New Roman"/>
                <w:color w:val="000000"/>
                <w:kern w:val="0"/>
                <w:sz w:val="20"/>
                <w:szCs w:val="20"/>
              </w:rPr>
              <w:t>采购总金额</w:t>
            </w:r>
          </w:p>
        </w:tc>
      </w:tr>
      <w:tr>
        <w:tblPrEx>
          <w:tblCellMar>
            <w:top w:w="0" w:type="dxa"/>
            <w:left w:w="0" w:type="dxa"/>
            <w:bottom w:w="0" w:type="dxa"/>
            <w:right w:w="0" w:type="dxa"/>
          </w:tblCellMar>
        </w:tblPrEx>
        <w:trPr>
          <w:trHeight w:val="539" w:hRule="atLeast"/>
          <w:jc w:val="center"/>
        </w:trPr>
        <w:tc>
          <w:tcPr>
            <w:tcW w:w="3113"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tcPr>
          <w:p>
            <w:pPr>
              <w:widowControl/>
              <w:spacing w:line="600" w:lineRule="exact"/>
              <w:jc w:val="left"/>
              <w:rPr>
                <w:rFonts w:ascii="Times New Roman" w:hAnsi="Times New Roman"/>
              </w:rPr>
            </w:pPr>
            <w:r>
              <w:rPr>
                <w:rFonts w:hint="eastAsia" w:ascii="Times New Roman" w:hAnsi="Times New Roman"/>
                <w:color w:val="000000"/>
                <w:kern w:val="0"/>
                <w:sz w:val="20"/>
                <w:szCs w:val="20"/>
              </w:rPr>
              <w:t>政府集中采购</w:t>
            </w:r>
          </w:p>
        </w:tc>
        <w:tc>
          <w:tcPr>
            <w:tcW w:w="1881"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tcPr>
          <w:p>
            <w:pPr>
              <w:widowControl/>
              <w:spacing w:line="600" w:lineRule="exact"/>
              <w:jc w:val="left"/>
              <w:rPr>
                <w:rFonts w:ascii="Times New Roman" w:hAnsi="Times New Roman"/>
              </w:rPr>
            </w:pPr>
            <w:r>
              <w:rPr>
                <w:rFonts w:ascii="Times New Roman" w:hAnsi="Times New Roman"/>
                <w:color w:val="000000"/>
                <w:kern w:val="0"/>
                <w:sz w:val="20"/>
                <w:szCs w:val="20"/>
              </w:rPr>
              <w:t>227</w:t>
            </w:r>
          </w:p>
        </w:tc>
        <w:tc>
          <w:tcPr>
            <w:tcW w:w="3146"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tcPr>
          <w:p>
            <w:pPr>
              <w:spacing w:line="600" w:lineRule="exact"/>
              <w:jc w:val="left"/>
              <w:rPr>
                <w:rFonts w:ascii="Times New Roman" w:hAnsi="Times New Roman"/>
                <w:sz w:val="24"/>
              </w:rPr>
            </w:pPr>
            <w:r>
              <w:rPr>
                <w:rFonts w:ascii="Times New Roman" w:hAnsi="Times New Roman"/>
                <w:sz w:val="24"/>
              </w:rPr>
              <w:t>6820.361</w:t>
            </w:r>
          </w:p>
        </w:tc>
      </w:tr>
    </w:tbl>
    <w:p>
      <w:pPr>
        <w:pStyle w:val="7"/>
        <w:shd w:val="clear" w:color="auto" w:fill="FFFFFF"/>
        <w:spacing w:beforeAutospacing="0" w:afterAutospacing="0" w:line="600" w:lineRule="exact"/>
        <w:ind w:firstLine="420"/>
        <w:jc w:val="both"/>
        <w:rPr>
          <w:rFonts w:ascii="Times New Roman" w:hAnsi="Times New Roman" w:eastAsia="黑体"/>
          <w:bCs/>
          <w:color w:val="333333"/>
          <w:sz w:val="32"/>
          <w:szCs w:val="32"/>
          <w:shd w:val="clear" w:color="auto" w:fill="FFFFFF"/>
        </w:rPr>
      </w:pPr>
    </w:p>
    <w:p>
      <w:pPr>
        <w:pStyle w:val="7"/>
        <w:shd w:val="clear" w:color="auto" w:fill="FFFFFF"/>
        <w:spacing w:beforeAutospacing="0" w:afterAutospacing="0" w:line="600" w:lineRule="exact"/>
        <w:ind w:firstLine="420"/>
        <w:jc w:val="both"/>
        <w:rPr>
          <w:rFonts w:ascii="Times New Roman" w:hAnsi="Times New Roman" w:eastAsia="黑体"/>
          <w:bCs/>
          <w:color w:val="333333"/>
          <w:sz w:val="32"/>
          <w:szCs w:val="32"/>
          <w:shd w:val="clear" w:color="auto" w:fill="FFFFFF"/>
        </w:rPr>
      </w:pPr>
    </w:p>
    <w:p>
      <w:pPr>
        <w:pStyle w:val="7"/>
        <w:widowControl/>
        <w:shd w:val="clear" w:color="auto" w:fill="FFFFFF"/>
        <w:spacing w:beforeAutospacing="0" w:afterAutospacing="0" w:line="30" w:lineRule="atLeast"/>
        <w:ind w:firstLine="420"/>
        <w:jc w:val="both"/>
        <w:outlineLvl w:val="0"/>
        <w:rPr>
          <w:rFonts w:ascii="Times New Roman" w:hAnsi="Times New Roman" w:eastAsia="微软雅黑"/>
          <w:b/>
          <w:color w:val="333333"/>
          <w:sz w:val="30"/>
          <w:szCs w:val="30"/>
          <w:shd w:val="clear" w:color="auto" w:fill="FFFFFF"/>
        </w:rPr>
      </w:pPr>
      <w:r>
        <w:rPr>
          <w:rFonts w:hint="eastAsia" w:ascii="Times New Roman" w:hAnsi="Times New Roman" w:eastAsia="微软雅黑"/>
          <w:b/>
          <w:color w:val="333333"/>
          <w:sz w:val="30"/>
          <w:szCs w:val="30"/>
          <w:shd w:val="clear" w:color="auto" w:fill="FFFFFF"/>
        </w:rPr>
        <w:t>三、收到和处理政府信息公开申请情况</w:t>
      </w:r>
    </w:p>
    <w:tbl>
      <w:tblPr>
        <w:tblStyle w:val="8"/>
        <w:tblW w:w="973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50"/>
        <w:gridCol w:w="765"/>
        <w:gridCol w:w="2920"/>
        <w:gridCol w:w="765"/>
        <w:gridCol w:w="690"/>
        <w:gridCol w:w="750"/>
        <w:gridCol w:w="855"/>
        <w:gridCol w:w="990"/>
        <w:gridCol w:w="675"/>
        <w:gridCol w:w="67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335"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（本列数据的勾稽关系为：第一项加第二项之和，等于第三项加第四项之和）</w:t>
            </w:r>
          </w:p>
        </w:tc>
        <w:tc>
          <w:tcPr>
            <w:tcW w:w="5395" w:type="dxa"/>
            <w:gridSpan w:val="7"/>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335"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自然人</w:t>
            </w:r>
          </w:p>
        </w:tc>
        <w:tc>
          <w:tcPr>
            <w:tcW w:w="3960"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法人或其他组织</w:t>
            </w:r>
          </w:p>
        </w:tc>
        <w:tc>
          <w:tcPr>
            <w:tcW w:w="670"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335"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continue"/>
            <w:tcBorders>
              <w:top w:val="nil"/>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商业企业</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科研机构</w:t>
            </w:r>
          </w:p>
        </w:tc>
        <w:tc>
          <w:tcPr>
            <w:tcW w:w="85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社会公益组织</w:t>
            </w:r>
          </w:p>
        </w:tc>
        <w:tc>
          <w:tcPr>
            <w:tcW w:w="9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法律服务机构</w:t>
            </w:r>
          </w:p>
        </w:tc>
        <w:tc>
          <w:tcPr>
            <w:tcW w:w="67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其他</w:t>
            </w:r>
          </w:p>
        </w:tc>
        <w:tc>
          <w:tcPr>
            <w:tcW w:w="670"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335"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kern w:val="0"/>
                <w:sz w:val="20"/>
                <w:szCs w:val="20"/>
              </w:rPr>
              <w:t>一、本年新收政府信息公开申请数量</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33</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2</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335"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kern w:val="0"/>
                <w:sz w:val="20"/>
                <w:szCs w:val="20"/>
              </w:rPr>
              <w:t>二、上年结转政府信息公开申请数量</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restart"/>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hint="eastAsia" w:ascii="Times New Roman" w:hAnsi="Times New Roman"/>
                <w:kern w:val="0"/>
                <w:sz w:val="20"/>
                <w:szCs w:val="20"/>
              </w:rPr>
              <w:t>三、本年度办理结果</w:t>
            </w:r>
          </w:p>
        </w:tc>
        <w:tc>
          <w:tcPr>
            <w:tcW w:w="3685" w:type="dxa"/>
            <w:gridSpan w:val="2"/>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hint="eastAsia" w:ascii="Times New Roman" w:hAnsi="Times New Roman" w:eastAsia="楷体"/>
                <w:kern w:val="0"/>
                <w:sz w:val="20"/>
                <w:szCs w:val="20"/>
              </w:rPr>
              <w:t>（一）予以公开</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26</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2</w:t>
            </w:r>
          </w:p>
        </w:tc>
        <w:tc>
          <w:tcPr>
            <w:tcW w:w="9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28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3685" w:type="dxa"/>
            <w:gridSpan w:val="2"/>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hint="eastAsia" w:ascii="Times New Roman" w:hAnsi="Times New Roman" w:eastAsia="楷体"/>
                <w:kern w:val="0"/>
                <w:sz w:val="20"/>
                <w:szCs w:val="20"/>
              </w:rPr>
              <w:t>（二）部分公开（区分处理的，只计这一情形，不计其他情形）</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765" w:type="dxa"/>
            <w:vMerge w:val="restart"/>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hint="eastAsia" w:ascii="Times New Roman" w:hAnsi="Times New Roman" w:eastAsia="楷体"/>
                <w:kern w:val="0"/>
                <w:sz w:val="20"/>
                <w:szCs w:val="20"/>
              </w:rPr>
              <w:t>（三）不予公开</w:t>
            </w:r>
          </w:p>
        </w:tc>
        <w:tc>
          <w:tcPr>
            <w:tcW w:w="2920"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ascii="Times New Roman" w:hAnsi="Times New Roman" w:eastAsia="楷体"/>
                <w:kern w:val="0"/>
                <w:sz w:val="20"/>
                <w:szCs w:val="20"/>
              </w:rPr>
              <w:t>1.</w:t>
            </w:r>
            <w:r>
              <w:rPr>
                <w:rFonts w:hint="eastAsia" w:ascii="Times New Roman" w:hAnsi="Times New Roman" w:eastAsia="楷体"/>
                <w:kern w:val="0"/>
                <w:sz w:val="20"/>
                <w:szCs w:val="20"/>
              </w:rPr>
              <w:t>属于国家秘密</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1</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765"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2920"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ascii="Times New Roman" w:hAnsi="Times New Roman" w:eastAsia="楷体"/>
                <w:kern w:val="0"/>
                <w:sz w:val="20"/>
                <w:szCs w:val="20"/>
              </w:rPr>
              <w:t>2.</w:t>
            </w:r>
            <w:r>
              <w:rPr>
                <w:rFonts w:hint="eastAsia" w:ascii="Times New Roman" w:hAnsi="Times New Roman" w:eastAsia="楷体"/>
                <w:kern w:val="0"/>
                <w:sz w:val="20"/>
                <w:szCs w:val="20"/>
              </w:rPr>
              <w:t>其他法律行政法规禁止公开</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765"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2920"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ascii="Times New Roman" w:hAnsi="Times New Roman" w:eastAsia="楷体"/>
                <w:kern w:val="0"/>
                <w:sz w:val="20"/>
                <w:szCs w:val="20"/>
              </w:rPr>
              <w:t>3.</w:t>
            </w:r>
            <w:r>
              <w:rPr>
                <w:rFonts w:hint="eastAsia" w:ascii="Times New Roman" w:hAnsi="Times New Roman" w:eastAsia="楷体"/>
                <w:kern w:val="0"/>
                <w:sz w:val="20"/>
                <w:szCs w:val="20"/>
              </w:rPr>
              <w:t>危及</w:t>
            </w:r>
            <w:r>
              <w:rPr>
                <w:rFonts w:ascii="Times New Roman" w:hAnsi="Times New Roman" w:eastAsia="楷体"/>
                <w:kern w:val="0"/>
                <w:sz w:val="20"/>
                <w:szCs w:val="20"/>
              </w:rPr>
              <w:t>“</w:t>
            </w:r>
            <w:r>
              <w:rPr>
                <w:rFonts w:hint="eastAsia" w:ascii="Times New Roman" w:hAnsi="Times New Roman" w:eastAsia="楷体"/>
                <w:kern w:val="0"/>
                <w:sz w:val="20"/>
                <w:szCs w:val="20"/>
              </w:rPr>
              <w:t>三安全一稳定</w:t>
            </w:r>
            <w:r>
              <w:rPr>
                <w:rFonts w:ascii="Times New Roman" w:hAnsi="Times New Roman" w:eastAsia="楷体"/>
                <w:kern w:val="0"/>
                <w:sz w:val="20"/>
                <w:szCs w:val="20"/>
              </w:rPr>
              <w:t>”</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765"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2920"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ascii="Times New Roman" w:hAnsi="Times New Roman" w:eastAsia="楷体"/>
                <w:kern w:val="0"/>
                <w:sz w:val="20"/>
                <w:szCs w:val="20"/>
              </w:rPr>
              <w:t>4.</w:t>
            </w:r>
            <w:r>
              <w:rPr>
                <w:rFonts w:hint="eastAsia" w:ascii="Times New Roman" w:hAnsi="Times New Roman" w:eastAsia="楷体"/>
                <w:kern w:val="0"/>
                <w:sz w:val="20"/>
                <w:szCs w:val="20"/>
              </w:rPr>
              <w:t>保护第三方合法权益</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1</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765"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2920"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ascii="Times New Roman" w:hAnsi="Times New Roman" w:eastAsia="楷体"/>
                <w:kern w:val="0"/>
                <w:sz w:val="20"/>
                <w:szCs w:val="20"/>
              </w:rPr>
              <w:t>5.</w:t>
            </w:r>
            <w:r>
              <w:rPr>
                <w:rFonts w:hint="eastAsia" w:ascii="Times New Roman" w:hAnsi="Times New Roman" w:eastAsia="楷体"/>
                <w:kern w:val="0"/>
                <w:sz w:val="20"/>
                <w:szCs w:val="20"/>
              </w:rPr>
              <w:t>属于三类内部事务信息</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765"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2920" w:type="dxa"/>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ascii="Times New Roman" w:hAnsi="Times New Roman" w:eastAsia="楷体"/>
                <w:kern w:val="0"/>
                <w:sz w:val="20"/>
                <w:szCs w:val="20"/>
              </w:rPr>
              <w:t>6.</w:t>
            </w:r>
            <w:r>
              <w:rPr>
                <w:rFonts w:hint="eastAsia" w:ascii="Times New Roman" w:hAnsi="Times New Roman" w:eastAsia="楷体"/>
                <w:kern w:val="0"/>
                <w:sz w:val="20"/>
                <w:szCs w:val="20"/>
              </w:rPr>
              <w:t>属于四类过程性信息</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CellMar>
            <w:top w:w="0" w:type="dxa"/>
            <w:left w:w="0" w:type="dxa"/>
            <w:bottom w:w="0" w:type="dxa"/>
            <w:right w:w="0" w:type="dxa"/>
          </w:tblCellMar>
        </w:tblPrEx>
        <w:trPr>
          <w:jc w:val="center"/>
        </w:trPr>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292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ascii="Times New Roman" w:hAnsi="Times New Roman" w:eastAsia="楷体"/>
                <w:kern w:val="0"/>
                <w:sz w:val="20"/>
                <w:szCs w:val="20"/>
              </w:rPr>
              <w:t>7.</w:t>
            </w:r>
            <w:r>
              <w:rPr>
                <w:rFonts w:hint="eastAsia" w:ascii="Times New Roman" w:hAnsi="Times New Roman" w:eastAsia="楷体"/>
                <w:kern w:val="0"/>
                <w:sz w:val="20"/>
                <w:szCs w:val="20"/>
              </w:rPr>
              <w:t>属于行政执法案卷</w:t>
            </w:r>
          </w:p>
        </w:tc>
        <w:tc>
          <w:tcPr>
            <w:tcW w:w="76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continue"/>
            <w:tcBorders>
              <w:top w:val="nil"/>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292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ascii="Times New Roman" w:hAnsi="Times New Roman" w:eastAsia="楷体"/>
                <w:kern w:val="0"/>
                <w:sz w:val="20"/>
                <w:szCs w:val="20"/>
              </w:rPr>
              <w:t>8.</w:t>
            </w:r>
            <w:r>
              <w:rPr>
                <w:rFonts w:hint="eastAsia" w:ascii="Times New Roman" w:hAnsi="Times New Roman" w:eastAsia="楷体"/>
                <w:kern w:val="0"/>
                <w:sz w:val="20"/>
                <w:szCs w:val="20"/>
              </w:rPr>
              <w:t>属于行政查询事项</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eastAsia="楷体"/>
                <w:kern w:val="0"/>
                <w:sz w:val="20"/>
                <w:szCs w:val="20"/>
              </w:rPr>
              <w:t>（四）无法提供</w:t>
            </w:r>
          </w:p>
        </w:tc>
        <w:tc>
          <w:tcPr>
            <w:tcW w:w="292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ascii="Times New Roman" w:hAnsi="Times New Roman" w:eastAsia="楷体"/>
                <w:kern w:val="0"/>
                <w:sz w:val="20"/>
                <w:szCs w:val="20"/>
              </w:rPr>
              <w:t>1.</w:t>
            </w:r>
            <w:r>
              <w:rPr>
                <w:rFonts w:hint="eastAsia" w:ascii="Times New Roman" w:hAnsi="Times New Roman" w:eastAsia="楷体"/>
                <w:kern w:val="0"/>
                <w:sz w:val="20"/>
                <w:szCs w:val="20"/>
              </w:rPr>
              <w:t>本机关不掌握相关政府信息</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2</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continue"/>
            <w:tcBorders>
              <w:top w:val="nil"/>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292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ascii="Times New Roman" w:hAnsi="Times New Roman" w:eastAsia="楷体"/>
                <w:kern w:val="0"/>
                <w:sz w:val="20"/>
                <w:szCs w:val="20"/>
              </w:rPr>
              <w:t>2.</w:t>
            </w:r>
            <w:r>
              <w:rPr>
                <w:rFonts w:hint="eastAsia" w:ascii="Times New Roman" w:hAnsi="Times New Roman" w:eastAsia="楷体"/>
                <w:kern w:val="0"/>
                <w:sz w:val="20"/>
                <w:szCs w:val="20"/>
              </w:rPr>
              <w:t>没有现成信息需要另行制作</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continue"/>
            <w:tcBorders>
              <w:top w:val="nil"/>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292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ascii="Times New Roman" w:hAnsi="Times New Roman" w:eastAsia="楷体"/>
                <w:kern w:val="0"/>
                <w:sz w:val="20"/>
                <w:szCs w:val="20"/>
              </w:rPr>
              <w:t>3.</w:t>
            </w:r>
            <w:r>
              <w:rPr>
                <w:rFonts w:hint="eastAsia" w:ascii="Times New Roman" w:hAnsi="Times New Roman" w:eastAsia="楷体"/>
                <w:kern w:val="0"/>
                <w:sz w:val="20"/>
                <w:szCs w:val="20"/>
              </w:rPr>
              <w:t>补正后申请内容仍不明确</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eastAsia="楷体"/>
                <w:kern w:val="0"/>
                <w:sz w:val="20"/>
                <w:szCs w:val="20"/>
              </w:rPr>
              <w:t>（五）不予处理</w:t>
            </w:r>
          </w:p>
        </w:tc>
        <w:tc>
          <w:tcPr>
            <w:tcW w:w="292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ascii="Times New Roman" w:hAnsi="Times New Roman" w:eastAsia="楷体"/>
                <w:kern w:val="0"/>
                <w:sz w:val="20"/>
                <w:szCs w:val="20"/>
              </w:rPr>
              <w:t>1.</w:t>
            </w:r>
            <w:r>
              <w:rPr>
                <w:rFonts w:hint="eastAsia" w:ascii="Times New Roman" w:hAnsi="Times New Roman" w:eastAsia="楷体"/>
                <w:kern w:val="0"/>
                <w:sz w:val="20"/>
                <w:szCs w:val="20"/>
              </w:rPr>
              <w:t>信访举报投诉类申请</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continue"/>
            <w:tcBorders>
              <w:top w:val="nil"/>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292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ascii="Times New Roman" w:hAnsi="Times New Roman" w:eastAsia="楷体"/>
                <w:kern w:val="0"/>
                <w:sz w:val="20"/>
                <w:szCs w:val="20"/>
              </w:rPr>
              <w:t>2.</w:t>
            </w:r>
            <w:r>
              <w:rPr>
                <w:rFonts w:hint="eastAsia" w:ascii="Times New Roman" w:hAnsi="Times New Roman" w:eastAsia="楷体"/>
                <w:kern w:val="0"/>
                <w:sz w:val="20"/>
                <w:szCs w:val="20"/>
              </w:rPr>
              <w:t>重复申请</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1</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continue"/>
            <w:tcBorders>
              <w:top w:val="nil"/>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292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ascii="Times New Roman" w:hAnsi="Times New Roman" w:eastAsia="楷体"/>
                <w:kern w:val="0"/>
                <w:sz w:val="20"/>
                <w:szCs w:val="20"/>
              </w:rPr>
              <w:t>3.</w:t>
            </w:r>
            <w:r>
              <w:rPr>
                <w:rFonts w:hint="eastAsia" w:ascii="Times New Roman" w:hAnsi="Times New Roman" w:eastAsia="楷体"/>
                <w:kern w:val="0"/>
                <w:sz w:val="20"/>
                <w:szCs w:val="20"/>
              </w:rPr>
              <w:t>要求提供公开出版物</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continue"/>
            <w:tcBorders>
              <w:top w:val="nil"/>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292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ascii="Times New Roman" w:hAnsi="Times New Roman" w:eastAsia="楷体"/>
                <w:kern w:val="0"/>
                <w:sz w:val="20"/>
                <w:szCs w:val="20"/>
              </w:rPr>
              <w:t>4.</w:t>
            </w:r>
            <w:r>
              <w:rPr>
                <w:rFonts w:hint="eastAsia" w:ascii="Times New Roman" w:hAnsi="Times New Roman" w:eastAsia="楷体"/>
                <w:kern w:val="0"/>
                <w:sz w:val="20"/>
                <w:szCs w:val="20"/>
              </w:rPr>
              <w:t>无正当理由大量反复申请</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765" w:type="dxa"/>
            <w:vMerge w:val="continue"/>
            <w:tcBorders>
              <w:top w:val="nil"/>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292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ascii="Times New Roman" w:hAnsi="Times New Roman" w:eastAsia="楷体"/>
                <w:kern w:val="0"/>
                <w:sz w:val="20"/>
                <w:szCs w:val="20"/>
              </w:rPr>
              <w:t>5.</w:t>
            </w:r>
            <w:r>
              <w:rPr>
                <w:rFonts w:hint="eastAsia" w:ascii="Times New Roman" w:hAnsi="Times New Roman" w:eastAsia="楷体"/>
                <w:kern w:val="0"/>
                <w:sz w:val="20"/>
                <w:szCs w:val="20"/>
              </w:rPr>
              <w:t>要求行政机关确认或重新出具已获取信息</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3685" w:type="dxa"/>
            <w:gridSpan w:val="2"/>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left"/>
              <w:rPr>
                <w:rFonts w:ascii="Times New Roman" w:hAnsi="Times New Roman"/>
              </w:rPr>
            </w:pPr>
            <w:r>
              <w:rPr>
                <w:rFonts w:hint="eastAsia" w:ascii="Times New Roman" w:hAnsi="Times New Roman" w:eastAsia="楷体"/>
                <w:kern w:val="0"/>
                <w:sz w:val="20"/>
                <w:szCs w:val="20"/>
              </w:rPr>
              <w:t>（六）其他处理</w:t>
            </w:r>
          </w:p>
        </w:tc>
        <w:tc>
          <w:tcPr>
            <w:tcW w:w="76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2</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85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99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tcPr>
          <w:p>
            <w:pPr>
              <w:spacing w:line="600" w:lineRule="exact"/>
              <w:jc w:val="left"/>
              <w:rPr>
                <w:rFonts w:ascii="Times New Roman" w:hAnsi="Times New Roman"/>
                <w:sz w:val="24"/>
              </w:rPr>
            </w:pPr>
          </w:p>
        </w:tc>
        <w:tc>
          <w:tcPr>
            <w:tcW w:w="3685" w:type="dxa"/>
            <w:gridSpan w:val="2"/>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hint="eastAsia" w:ascii="Times New Roman" w:hAnsi="Times New Roman" w:eastAsia="楷体"/>
                <w:kern w:val="0"/>
                <w:sz w:val="20"/>
                <w:szCs w:val="20"/>
              </w:rPr>
              <w:t>（七）总计</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335" w:type="dxa"/>
            <w:gridSpan w:val="3"/>
            <w:tcBorders>
              <w:top w:val="single" w:color="auto" w:sz="8" w:space="0"/>
              <w:left w:val="single" w:color="auto" w:sz="8" w:space="0"/>
              <w:bottom w:val="single" w:color="auto" w:sz="8" w:space="0"/>
              <w:right w:val="single" w:color="auto" w:sz="8" w:space="0"/>
            </w:tcBorders>
            <w:tcMar>
              <w:left w:w="108" w:type="dxa"/>
              <w:right w:w="108" w:type="dxa"/>
            </w:tcMar>
          </w:tcPr>
          <w:p>
            <w:pPr>
              <w:widowControl/>
              <w:spacing w:line="600" w:lineRule="exact"/>
              <w:jc w:val="left"/>
              <w:rPr>
                <w:rFonts w:ascii="Times New Roman" w:hAnsi="Times New Roman"/>
              </w:rPr>
            </w:pPr>
            <w:r>
              <w:rPr>
                <w:rFonts w:hint="eastAsia" w:ascii="Times New Roman" w:hAnsi="Times New Roman"/>
                <w:kern w:val="0"/>
                <w:sz w:val="20"/>
                <w:szCs w:val="20"/>
              </w:rPr>
              <w:t>四、结转下年度继续办理</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7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9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7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w:t>
            </w:r>
          </w:p>
        </w:tc>
        <w:tc>
          <w:tcPr>
            <w:tcW w:w="67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r>
    </w:tbl>
    <w:p>
      <w:pPr>
        <w:pStyle w:val="7"/>
        <w:widowControl/>
        <w:shd w:val="clear" w:color="auto" w:fill="FFFFFF"/>
        <w:spacing w:beforeAutospacing="0" w:afterAutospacing="0" w:line="30" w:lineRule="atLeast"/>
        <w:ind w:firstLine="420"/>
        <w:jc w:val="both"/>
        <w:outlineLvl w:val="0"/>
        <w:rPr>
          <w:rFonts w:ascii="Times New Roman" w:hAnsi="Times New Roman" w:eastAsia="微软雅黑"/>
          <w:b/>
          <w:color w:val="333333"/>
          <w:sz w:val="30"/>
          <w:szCs w:val="30"/>
          <w:shd w:val="clear" w:color="auto" w:fill="FFFFFF"/>
        </w:rPr>
      </w:pPr>
      <w:r>
        <w:rPr>
          <w:rFonts w:hint="eastAsia" w:ascii="Times New Roman" w:hAnsi="Times New Roman" w:eastAsia="微软雅黑"/>
          <w:b/>
          <w:color w:val="333333"/>
          <w:sz w:val="30"/>
          <w:szCs w:val="30"/>
          <w:shd w:val="clear" w:color="auto" w:fill="FFFFFF"/>
        </w:rPr>
        <w:t>四、政府信息公开行政复议、行政诉讼情况</w:t>
      </w:r>
    </w:p>
    <w:tbl>
      <w:tblPr>
        <w:tblStyle w:val="8"/>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结果维持</w:t>
            </w:r>
          </w:p>
        </w:tc>
        <w:tc>
          <w:tcPr>
            <w:tcW w:w="604"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总计</w:t>
            </w:r>
          </w:p>
        </w:tc>
        <w:tc>
          <w:tcPr>
            <w:tcW w:w="2970"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604" w:type="dxa"/>
            <w:vMerge w:val="continue"/>
            <w:tcBorders>
              <w:top w:val="nil"/>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sz w:val="24"/>
              </w:rPr>
            </w:pPr>
          </w:p>
        </w:tc>
        <w:tc>
          <w:tcPr>
            <w:tcW w:w="5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结果维持</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其他结果</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尚未审结</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结果维持</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kern w:val="0"/>
                <w:sz w:val="20"/>
                <w:szCs w:val="20"/>
              </w:rPr>
              <w:t>尚未审结</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hint="eastAsia" w:ascii="Times New Roman" w:hAnsi="Times New Roman"/>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5</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1 </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2</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8</w:t>
            </w:r>
          </w:p>
        </w:tc>
        <w:tc>
          <w:tcPr>
            <w:tcW w:w="550"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2</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 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1 </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color w:val="000000"/>
                <w:kern w:val="0"/>
                <w:sz w:val="20"/>
                <w:szCs w:val="20"/>
              </w:rPr>
              <w:t> 3</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3</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color w:val="000000"/>
                <w:kern w:val="0"/>
                <w:sz w:val="20"/>
                <w:szCs w:val="20"/>
              </w:rPr>
              <w:t>0 </w:t>
            </w:r>
          </w:p>
        </w:tc>
        <w:tc>
          <w:tcPr>
            <w:tcW w:w="606" w:type="dxa"/>
            <w:tcBorders>
              <w:top w:val="nil"/>
              <w:left w:val="nil"/>
              <w:bottom w:val="single" w:color="auto" w:sz="8" w:space="0"/>
              <w:right w:val="single" w:color="auto" w:sz="8" w:space="0"/>
            </w:tcBorders>
            <w:tcMar>
              <w:left w:w="108" w:type="dxa"/>
              <w:right w:w="108" w:type="dxa"/>
            </w:tcMar>
            <w:vAlign w:val="center"/>
          </w:tcPr>
          <w:p>
            <w:pPr>
              <w:widowControl/>
              <w:spacing w:line="600" w:lineRule="exact"/>
              <w:jc w:val="center"/>
              <w:rPr>
                <w:rFonts w:ascii="Times New Roman" w:hAnsi="Times New Roman"/>
              </w:rPr>
            </w:pPr>
            <w:r>
              <w:rPr>
                <w:rFonts w:ascii="Times New Roman" w:hAnsi="Times New Roman"/>
                <w:kern w:val="0"/>
                <w:sz w:val="20"/>
                <w:szCs w:val="20"/>
              </w:rPr>
              <w:t>0 </w:t>
            </w:r>
          </w:p>
        </w:tc>
        <w:tc>
          <w:tcPr>
            <w:tcW w:w="606" w:type="dxa"/>
            <w:tcBorders>
              <w:top w:val="nil"/>
              <w:left w:val="nil"/>
              <w:bottom w:val="single" w:color="auto" w:sz="8" w:space="0"/>
              <w:right w:val="single" w:color="auto" w:sz="8" w:space="0"/>
            </w:tcBorders>
            <w:tcMar>
              <w:left w:w="108" w:type="dxa"/>
              <w:right w:w="108" w:type="dxa"/>
            </w:tcMar>
            <w:vAlign w:val="center"/>
          </w:tcPr>
          <w:p>
            <w:pPr>
              <w:spacing w:line="600" w:lineRule="exact"/>
              <w:rPr>
                <w:rFonts w:ascii="Times New Roman" w:hAnsi="Times New Roman"/>
              </w:rPr>
            </w:pPr>
            <w:r>
              <w:rPr>
                <w:rFonts w:ascii="Times New Roman" w:hAnsi="Times New Roman"/>
              </w:rPr>
              <w:t>3</w:t>
            </w:r>
          </w:p>
        </w:tc>
      </w:tr>
    </w:tbl>
    <w:p>
      <w:pPr>
        <w:spacing w:line="600" w:lineRule="exact"/>
        <w:ind w:firstLine="640" w:firstLineChars="200"/>
        <w:rPr>
          <w:rFonts w:ascii="Times New Roman" w:hAnsi="Times New Roman" w:eastAsia="仿宋_GB2312"/>
          <w:sz w:val="32"/>
          <w:szCs w:val="32"/>
        </w:rPr>
      </w:pPr>
    </w:p>
    <w:p>
      <w:pPr>
        <w:pStyle w:val="2"/>
        <w:rPr>
          <w:rFonts w:ascii="Times New Roman" w:hAnsi="Times New Roman" w:eastAsia="仿宋_GB2312"/>
          <w:sz w:val="32"/>
          <w:szCs w:val="32"/>
        </w:rPr>
      </w:pPr>
    </w:p>
    <w:p>
      <w:pPr>
        <w:pStyle w:val="2"/>
        <w:rPr>
          <w:rFonts w:ascii="Times New Roman" w:hAnsi="Times New Roman" w:eastAsia="仿宋_GB2312"/>
          <w:sz w:val="32"/>
          <w:szCs w:val="32"/>
        </w:rPr>
      </w:pPr>
    </w:p>
    <w:p>
      <w:pPr>
        <w:pStyle w:val="2"/>
        <w:rPr>
          <w:rFonts w:ascii="Times New Roman" w:hAnsi="Times New Roman" w:eastAsia="仿宋_GB2312"/>
          <w:sz w:val="32"/>
          <w:szCs w:val="32"/>
        </w:rPr>
      </w:pPr>
    </w:p>
    <w:p>
      <w:pPr>
        <w:pStyle w:val="2"/>
        <w:rPr>
          <w:rFonts w:ascii="Times New Roman" w:hAnsi="Times New Roman" w:eastAsia="仿宋_GB2312"/>
          <w:sz w:val="32"/>
          <w:szCs w:val="32"/>
        </w:rPr>
      </w:pPr>
    </w:p>
    <w:p>
      <w:pPr>
        <w:pStyle w:val="2"/>
        <w:rPr>
          <w:rFonts w:ascii="Times New Roman" w:hAnsi="Times New Roman" w:eastAsia="仿宋_GB2312"/>
          <w:sz w:val="32"/>
          <w:szCs w:val="32"/>
        </w:rPr>
      </w:pPr>
    </w:p>
    <w:p>
      <w:pPr>
        <w:pStyle w:val="7"/>
        <w:widowControl/>
        <w:shd w:val="clear" w:color="auto" w:fill="FFFFFF"/>
        <w:spacing w:beforeAutospacing="0" w:afterAutospacing="0" w:line="30" w:lineRule="atLeast"/>
        <w:ind w:firstLine="420"/>
        <w:jc w:val="both"/>
        <w:outlineLvl w:val="0"/>
        <w:rPr>
          <w:rFonts w:ascii="Times New Roman" w:hAnsi="Times New Roman" w:eastAsia="微软雅黑"/>
          <w:b/>
          <w:color w:val="333333"/>
          <w:sz w:val="30"/>
          <w:szCs w:val="30"/>
          <w:shd w:val="clear" w:color="auto" w:fill="FFFFFF"/>
        </w:rPr>
      </w:pPr>
      <w:r>
        <w:rPr>
          <w:rFonts w:hint="eastAsia" w:ascii="Times New Roman" w:hAnsi="Times New Roman" w:eastAsia="微软雅黑"/>
          <w:b/>
          <w:color w:val="333333"/>
          <w:sz w:val="30"/>
          <w:szCs w:val="30"/>
          <w:shd w:val="clear" w:color="auto" w:fill="FFFFFF"/>
        </w:rPr>
        <w:t>五、政府信息公开工作存在问题及改进措施</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hint="eastAsia" w:ascii="Times New Roman" w:hAnsi="Times New Roman" w:eastAsia="仿宋"/>
          <w:color w:val="333333"/>
          <w:sz w:val="28"/>
          <w:szCs w:val="28"/>
          <w:shd w:val="clear" w:color="auto" w:fill="FFFFFF"/>
        </w:rPr>
        <w:t>我市狠抓</w:t>
      </w:r>
      <w:r>
        <w:rPr>
          <w:rFonts w:ascii="Times New Roman" w:hAnsi="Times New Roman" w:eastAsia="仿宋"/>
          <w:color w:val="333333"/>
          <w:sz w:val="28"/>
          <w:szCs w:val="28"/>
          <w:shd w:val="clear" w:color="auto" w:fill="FFFFFF"/>
        </w:rPr>
        <w:t>2019</w:t>
      </w:r>
      <w:r>
        <w:rPr>
          <w:rFonts w:hint="eastAsia" w:ascii="Times New Roman" w:hAnsi="Times New Roman" w:eastAsia="仿宋"/>
          <w:color w:val="333333"/>
          <w:sz w:val="28"/>
          <w:szCs w:val="28"/>
          <w:shd w:val="clear" w:color="auto" w:fill="FFFFFF"/>
        </w:rPr>
        <w:t>年省政务公开工作要点，认真贯彻落实《新条例》，取得了较好的成果，政务公开水平上升到新台阶，但依然存在一些问题：</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ascii="Times New Roman" w:hAnsi="Times New Roman" w:eastAsia="仿宋"/>
          <w:color w:val="333333"/>
          <w:sz w:val="28"/>
          <w:szCs w:val="28"/>
          <w:shd w:val="clear" w:color="auto" w:fill="FFFFFF"/>
        </w:rPr>
        <w:t>1.</w:t>
      </w:r>
      <w:r>
        <w:rPr>
          <w:rFonts w:hint="eastAsia" w:ascii="Times New Roman" w:hAnsi="Times New Roman" w:eastAsia="仿宋"/>
          <w:color w:val="333333"/>
          <w:sz w:val="28"/>
          <w:szCs w:val="28"/>
          <w:shd w:val="clear" w:color="auto" w:fill="FFFFFF"/>
        </w:rPr>
        <w:t>政府信息主动公开意识和专业性不够，导致政府信息更新不及时或信息质量不高；</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ascii="Times New Roman" w:hAnsi="Times New Roman" w:eastAsia="仿宋"/>
          <w:color w:val="333333"/>
          <w:sz w:val="28"/>
          <w:szCs w:val="28"/>
          <w:shd w:val="clear" w:color="auto" w:fill="FFFFFF"/>
        </w:rPr>
        <w:t>2.</w:t>
      </w:r>
      <w:r>
        <w:rPr>
          <w:rFonts w:hint="eastAsia" w:ascii="Times New Roman" w:hAnsi="Times New Roman" w:eastAsia="仿宋"/>
          <w:color w:val="333333"/>
          <w:sz w:val="28"/>
          <w:szCs w:val="28"/>
          <w:shd w:val="clear" w:color="auto" w:fill="FFFFFF"/>
        </w:rPr>
        <w:t>政府信息工作量大、难度大，人手不够，信息公开水平不稳定；</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ascii="Times New Roman" w:hAnsi="Times New Roman" w:eastAsia="仿宋"/>
          <w:color w:val="333333"/>
          <w:sz w:val="28"/>
          <w:szCs w:val="28"/>
          <w:shd w:val="clear" w:color="auto" w:fill="FFFFFF"/>
        </w:rPr>
        <w:t>3.</w:t>
      </w:r>
      <w:r>
        <w:rPr>
          <w:rFonts w:hint="eastAsia" w:ascii="Times New Roman" w:hAnsi="Times New Roman" w:eastAsia="仿宋"/>
          <w:color w:val="333333"/>
          <w:sz w:val="28"/>
          <w:szCs w:val="28"/>
          <w:shd w:val="clear" w:color="auto" w:fill="FFFFFF"/>
        </w:rPr>
        <w:t>政府信息公开规范化、标准化程度不高。</w:t>
      </w:r>
    </w:p>
    <w:p>
      <w:pPr>
        <w:pStyle w:val="7"/>
        <w:widowControl/>
        <w:shd w:val="clear" w:color="auto" w:fill="FFFFFF"/>
        <w:spacing w:beforeAutospacing="0" w:afterAutospacing="0" w:line="30" w:lineRule="atLeast"/>
        <w:ind w:firstLine="560" w:firstLineChars="200"/>
        <w:jc w:val="both"/>
        <w:rPr>
          <w:rFonts w:ascii="Times New Roman" w:hAnsi="Times New Roman" w:eastAsia="仿宋"/>
          <w:color w:val="333333"/>
          <w:sz w:val="28"/>
          <w:szCs w:val="28"/>
          <w:shd w:val="clear" w:color="auto" w:fill="FFFFFF"/>
        </w:rPr>
      </w:pPr>
      <w:r>
        <w:rPr>
          <w:rFonts w:ascii="Times New Roman" w:hAnsi="Times New Roman" w:eastAsia="仿宋"/>
          <w:color w:val="333333"/>
          <w:sz w:val="28"/>
          <w:szCs w:val="28"/>
          <w:shd w:val="clear" w:color="auto" w:fill="FFFFFF"/>
        </w:rPr>
        <w:t>2020</w:t>
      </w:r>
      <w:r>
        <w:rPr>
          <w:rFonts w:hint="eastAsia" w:ascii="Times New Roman" w:hAnsi="Times New Roman" w:eastAsia="仿宋"/>
          <w:color w:val="333333"/>
          <w:sz w:val="28"/>
          <w:szCs w:val="28"/>
          <w:shd w:val="clear" w:color="auto" w:fill="FFFFFF"/>
        </w:rPr>
        <w:t>年，我市将强化推进政务公开，夯实基础，认真学习借鉴先进单位的优秀做法，创新信息公开形式，力争我市</w:t>
      </w:r>
      <w:r>
        <w:rPr>
          <w:rFonts w:ascii="Times New Roman" w:hAnsi="Times New Roman" w:eastAsia="仿宋"/>
          <w:color w:val="333333"/>
          <w:sz w:val="28"/>
          <w:szCs w:val="28"/>
          <w:shd w:val="clear" w:color="auto" w:fill="FFFFFF"/>
        </w:rPr>
        <w:t>2020</w:t>
      </w:r>
      <w:r>
        <w:rPr>
          <w:rFonts w:hint="eastAsia" w:ascii="Times New Roman" w:hAnsi="Times New Roman" w:eastAsia="仿宋"/>
          <w:color w:val="333333"/>
          <w:sz w:val="28"/>
          <w:szCs w:val="28"/>
          <w:shd w:val="clear" w:color="auto" w:fill="FFFFFF"/>
        </w:rPr>
        <w:t>年再上新台阶。具体改进措施如下：</w:t>
      </w:r>
    </w:p>
    <w:p>
      <w:pPr>
        <w:pStyle w:val="2"/>
        <w:ind w:firstLine="562" w:firstLineChars="200"/>
        <w:rPr>
          <w:rFonts w:ascii="Times New Roman" w:hAnsi="Times New Roman" w:eastAsia="仿宋"/>
          <w:color w:val="333333"/>
          <w:kern w:val="0"/>
          <w:sz w:val="28"/>
          <w:szCs w:val="28"/>
          <w:shd w:val="clear" w:color="auto" w:fill="FFFFFF"/>
        </w:rPr>
      </w:pPr>
      <w:r>
        <w:rPr>
          <w:rFonts w:hint="eastAsia" w:ascii="Times New Roman" w:hAnsi="Times New Roman" w:eastAsia="仿宋"/>
          <w:b/>
          <w:bCs/>
          <w:color w:val="333333"/>
          <w:kern w:val="0"/>
          <w:sz w:val="28"/>
          <w:szCs w:val="28"/>
          <w:shd w:val="clear" w:color="auto" w:fill="FFFFFF"/>
        </w:rPr>
        <w:t>一是提高政务公开重视度，强化培训督查指导工作。</w:t>
      </w:r>
      <w:r>
        <w:rPr>
          <w:rFonts w:hint="eastAsia" w:ascii="Times New Roman" w:hAnsi="Times New Roman" w:eastAsia="仿宋"/>
          <w:color w:val="333333"/>
          <w:kern w:val="0"/>
          <w:sz w:val="28"/>
          <w:szCs w:val="28"/>
          <w:shd w:val="clear" w:color="auto" w:fill="FFFFFF"/>
        </w:rPr>
        <w:t>通过定期开展业务培训和新政策研讨会，提高政府信息公开工作人员的主动公开意识和专业水平。加强对薄弱环节的改善力度，定期开展督查及考核工作，整体促进全市政务公开向高质量水平发展。</w:t>
      </w:r>
    </w:p>
    <w:p>
      <w:pPr>
        <w:ind w:firstLine="562" w:firstLineChars="200"/>
        <w:rPr>
          <w:rFonts w:ascii="Times New Roman" w:hAnsi="Times New Roman" w:eastAsia="仿宋"/>
          <w:color w:val="333333"/>
          <w:kern w:val="0"/>
          <w:sz w:val="28"/>
          <w:szCs w:val="28"/>
          <w:shd w:val="clear" w:color="auto" w:fill="FFFFFF"/>
        </w:rPr>
      </w:pPr>
      <w:r>
        <w:rPr>
          <w:rFonts w:hint="eastAsia" w:ascii="Times New Roman" w:hAnsi="Times New Roman" w:eastAsia="仿宋"/>
          <w:b/>
          <w:bCs/>
          <w:color w:val="333333"/>
          <w:kern w:val="0"/>
          <w:sz w:val="28"/>
          <w:szCs w:val="28"/>
          <w:shd w:val="clear" w:color="auto" w:fill="FFFFFF"/>
        </w:rPr>
        <w:t>二是健全组织管理体系，完善政务公开制度。</w:t>
      </w:r>
      <w:r>
        <w:rPr>
          <w:rFonts w:hint="eastAsia" w:ascii="Times New Roman" w:hAnsi="Times New Roman" w:eastAsia="仿宋"/>
          <w:color w:val="333333"/>
          <w:kern w:val="0"/>
          <w:sz w:val="28"/>
          <w:szCs w:val="28"/>
          <w:shd w:val="clear" w:color="auto" w:fill="FFFFFF"/>
        </w:rPr>
        <w:t>建立健全政务公开工作保障制度，明确政务公开责任分工，保证政务公开工作人员的相对稳定性，加强基层队伍专业素质建设，着力提升政府信息工作水平。</w:t>
      </w:r>
    </w:p>
    <w:p>
      <w:pPr>
        <w:ind w:firstLine="562" w:firstLineChars="200"/>
        <w:rPr>
          <w:rFonts w:ascii="Times New Roman" w:hAnsi="Times New Roman" w:eastAsia="仿宋"/>
          <w:color w:val="333333"/>
          <w:kern w:val="0"/>
          <w:sz w:val="28"/>
          <w:szCs w:val="28"/>
          <w:shd w:val="clear" w:color="auto" w:fill="FFFFFF"/>
        </w:rPr>
      </w:pPr>
      <w:r>
        <w:rPr>
          <w:rFonts w:hint="eastAsia" w:ascii="Times New Roman" w:hAnsi="Times New Roman" w:eastAsia="仿宋"/>
          <w:b/>
          <w:bCs/>
          <w:color w:val="333333"/>
          <w:kern w:val="0"/>
          <w:sz w:val="28"/>
          <w:szCs w:val="28"/>
          <w:shd w:val="clear" w:color="auto" w:fill="FFFFFF"/>
        </w:rPr>
        <w:t>三是积极响应基层政务公开规范化标准化指引工作，全面推动政务公开规范化标准化。</w:t>
      </w:r>
      <w:r>
        <w:rPr>
          <w:rFonts w:hint="eastAsia" w:ascii="Times New Roman" w:hAnsi="Times New Roman" w:eastAsia="仿宋"/>
          <w:color w:val="333333"/>
          <w:kern w:val="0"/>
          <w:sz w:val="28"/>
          <w:szCs w:val="28"/>
          <w:shd w:val="clear" w:color="auto" w:fill="FFFFFF"/>
        </w:rPr>
        <w:t>认真落实国务院办公厅及各部委印发的相关文件，紧跟国家政务公开行动步伐，打通政务公开</w:t>
      </w:r>
      <w:r>
        <w:rPr>
          <w:rFonts w:hint="eastAsia" w:ascii="Times New Roman" w:hAnsi="Times New Roman" w:eastAsia="仿宋"/>
          <w:color w:val="333333"/>
          <w:kern w:val="0"/>
          <w:sz w:val="28"/>
          <w:szCs w:val="28"/>
          <w:shd w:val="clear" w:color="auto" w:fill="FFFFFF"/>
          <w:lang w:eastAsia="zh-CN"/>
        </w:rPr>
        <w:t>“最后一公里”</w:t>
      </w:r>
      <w:r>
        <w:rPr>
          <w:rFonts w:hint="eastAsia" w:ascii="Times New Roman" w:hAnsi="Times New Roman" w:eastAsia="仿宋"/>
          <w:color w:val="333333"/>
          <w:kern w:val="0"/>
          <w:sz w:val="28"/>
          <w:szCs w:val="28"/>
          <w:shd w:val="clear" w:color="auto" w:fill="FFFFFF"/>
        </w:rPr>
        <w:t>，进一步完善政府政务公开工作机制、公开平台、专业队伍，大幅提高政务公开标准化规范化水平。</w:t>
      </w:r>
      <w:r>
        <w:rPr>
          <w:rFonts w:ascii="Times New Roman" w:hAnsi="Times New Roman" w:eastAsia="仿宋"/>
          <w:color w:val="333333"/>
          <w:kern w:val="0"/>
          <w:sz w:val="28"/>
          <w:szCs w:val="28"/>
          <w:shd w:val="clear" w:color="auto" w:fill="FFFFFF"/>
        </w:rPr>
        <w:t xml:space="preserve">  </w:t>
      </w:r>
    </w:p>
    <w:p>
      <w:pPr>
        <w:ind w:firstLine="600" w:firstLineChars="200"/>
        <w:rPr>
          <w:rFonts w:ascii="Times New Roman" w:hAnsi="Times New Roman" w:eastAsia="微软雅黑"/>
          <w:b/>
          <w:color w:val="333333"/>
          <w:kern w:val="0"/>
          <w:sz w:val="30"/>
          <w:szCs w:val="30"/>
          <w:shd w:val="clear" w:color="auto" w:fill="FFFFFF"/>
        </w:rPr>
      </w:pPr>
      <w:r>
        <w:rPr>
          <w:rFonts w:hint="eastAsia" w:ascii="Times New Roman" w:hAnsi="Times New Roman" w:eastAsia="微软雅黑"/>
          <w:b/>
          <w:color w:val="333333"/>
          <w:kern w:val="0"/>
          <w:sz w:val="30"/>
          <w:szCs w:val="30"/>
          <w:shd w:val="clear" w:color="auto" w:fill="FFFFFF"/>
        </w:rPr>
        <w:t>六、其他需要报告事项</w:t>
      </w:r>
    </w:p>
    <w:p>
      <w:pPr>
        <w:ind w:firstLine="560" w:firstLineChars="200"/>
        <w:rPr>
          <w:rFonts w:ascii="Times New Roman" w:hAnsi="Times New Roman" w:eastAsia="仿宋"/>
          <w:color w:val="333333"/>
          <w:kern w:val="0"/>
          <w:sz w:val="28"/>
          <w:szCs w:val="28"/>
          <w:shd w:val="clear" w:color="auto" w:fill="FFFFFF"/>
        </w:rPr>
      </w:pPr>
      <w:r>
        <w:rPr>
          <w:rFonts w:hint="eastAsia" w:ascii="Times New Roman" w:hAnsi="Times New Roman" w:eastAsia="仿宋"/>
          <w:color w:val="333333"/>
          <w:kern w:val="0"/>
          <w:sz w:val="28"/>
          <w:szCs w:val="28"/>
          <w:shd w:val="clear" w:color="auto" w:fill="FFFFFF"/>
        </w:rPr>
        <w:t>无。</w:t>
      </w:r>
    </w:p>
    <w:p>
      <w:pPr>
        <w:pStyle w:val="2"/>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hNmVhYWEzMjdmZjAzNDlhMTVlOGVhMjVhOTE4MzMifQ=="/>
  </w:docVars>
  <w:rsids>
    <w:rsidRoot w:val="3B04157E"/>
    <w:rsid w:val="00012D03"/>
    <w:rsid w:val="00066B9C"/>
    <w:rsid w:val="001007AD"/>
    <w:rsid w:val="00111326"/>
    <w:rsid w:val="00490CF6"/>
    <w:rsid w:val="0055378B"/>
    <w:rsid w:val="005C0508"/>
    <w:rsid w:val="005D4A67"/>
    <w:rsid w:val="00602F3E"/>
    <w:rsid w:val="006C0A9B"/>
    <w:rsid w:val="006E4C71"/>
    <w:rsid w:val="00750CD4"/>
    <w:rsid w:val="007831F7"/>
    <w:rsid w:val="007C263D"/>
    <w:rsid w:val="00900234"/>
    <w:rsid w:val="009B6CC4"/>
    <w:rsid w:val="00A874C5"/>
    <w:rsid w:val="00AC37EF"/>
    <w:rsid w:val="00AC5C2C"/>
    <w:rsid w:val="00B20CE4"/>
    <w:rsid w:val="00B520CD"/>
    <w:rsid w:val="00C1732D"/>
    <w:rsid w:val="00C60473"/>
    <w:rsid w:val="00C74ECC"/>
    <w:rsid w:val="00CA2ECE"/>
    <w:rsid w:val="00CB1E71"/>
    <w:rsid w:val="00D66FBD"/>
    <w:rsid w:val="00E427E0"/>
    <w:rsid w:val="00ED1835"/>
    <w:rsid w:val="00F91D93"/>
    <w:rsid w:val="02F739D9"/>
    <w:rsid w:val="038726C9"/>
    <w:rsid w:val="06B87D35"/>
    <w:rsid w:val="0A2500C9"/>
    <w:rsid w:val="0D1029A1"/>
    <w:rsid w:val="120A16AA"/>
    <w:rsid w:val="13433AF9"/>
    <w:rsid w:val="19997EEC"/>
    <w:rsid w:val="1ADD5E42"/>
    <w:rsid w:val="1BFA790A"/>
    <w:rsid w:val="1EFB03AA"/>
    <w:rsid w:val="20061FF4"/>
    <w:rsid w:val="21571D9C"/>
    <w:rsid w:val="254966F7"/>
    <w:rsid w:val="26587C2B"/>
    <w:rsid w:val="292F5783"/>
    <w:rsid w:val="2CB3795C"/>
    <w:rsid w:val="2D752921"/>
    <w:rsid w:val="320B7C23"/>
    <w:rsid w:val="37190888"/>
    <w:rsid w:val="3AA65619"/>
    <w:rsid w:val="3B04157E"/>
    <w:rsid w:val="3B3909A7"/>
    <w:rsid w:val="3C7D492E"/>
    <w:rsid w:val="413B2BEE"/>
    <w:rsid w:val="45D94AEE"/>
    <w:rsid w:val="46035931"/>
    <w:rsid w:val="48FB567E"/>
    <w:rsid w:val="4DF33FD5"/>
    <w:rsid w:val="4E242AFA"/>
    <w:rsid w:val="52D25992"/>
    <w:rsid w:val="53EC22D8"/>
    <w:rsid w:val="576E2E77"/>
    <w:rsid w:val="581E7A60"/>
    <w:rsid w:val="585277D4"/>
    <w:rsid w:val="58AC4889"/>
    <w:rsid w:val="59441CF1"/>
    <w:rsid w:val="5B40434A"/>
    <w:rsid w:val="5C965844"/>
    <w:rsid w:val="5CBE2414"/>
    <w:rsid w:val="5D08173A"/>
    <w:rsid w:val="5EEF1264"/>
    <w:rsid w:val="61E55FE2"/>
    <w:rsid w:val="6A34533D"/>
    <w:rsid w:val="6ECD7A83"/>
    <w:rsid w:val="6F256DD9"/>
    <w:rsid w:val="6FA66843"/>
    <w:rsid w:val="70293960"/>
    <w:rsid w:val="743A2006"/>
    <w:rsid w:val="78A216C8"/>
    <w:rsid w:val="78B67460"/>
    <w:rsid w:val="7985509D"/>
    <w:rsid w:val="7A30415F"/>
    <w:rsid w:val="7C67474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nhideWhenUsed="0" w:uiPriority="99" w:semiHidden="0" w:name="Hyperlink"/>
    <w:lsdException w:unhideWhenUsed="0" w:uiPriority="99" w:semiHidden="0" w:name="FollowedHyperlink"/>
    <w:lsdException w:qFormat="1" w:unhideWhenUsed="0" w:uiPriority="99" w:semiHidden="0" w:name="Strong"/>
    <w:lsdException w:qFormat="1" w:unhideWhenUsed="0" w:uiPriority="0" w:semiHidden="0" w:name="Emphasis"/>
    <w:lsdException w:uiPriority="99" w:name="Document Map" w:locked="1"/>
    <w:lsdException w:unhideWhenUsed="0" w:uiPriority="99" w:semiHidden="0" w:name="Plain Text"/>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link w:val="13"/>
    <w:qFormat/>
    <w:uiPriority w:val="99"/>
    <w:pPr>
      <w:jc w:val="left"/>
      <w:outlineLvl w:val="1"/>
    </w:pPr>
    <w:rPr>
      <w:rFonts w:ascii="宋体" w:hAnsi="宋体"/>
      <w:kern w:val="0"/>
      <w:sz w:val="18"/>
      <w:szCs w:val="18"/>
    </w:rPr>
  </w:style>
  <w:style w:type="paragraph" w:styleId="4">
    <w:name w:val="heading 3"/>
    <w:basedOn w:val="1"/>
    <w:next w:val="1"/>
    <w:link w:val="14"/>
    <w:qFormat/>
    <w:uiPriority w:val="99"/>
    <w:pPr>
      <w:spacing w:beforeAutospacing="1" w:afterAutospacing="1"/>
      <w:jc w:val="left"/>
      <w:outlineLvl w:val="2"/>
    </w:pPr>
    <w:rPr>
      <w:rFonts w:ascii="宋体" w:hAnsi="宋体"/>
      <w:b/>
      <w:kern w:val="0"/>
      <w:sz w:val="27"/>
      <w:szCs w:val="27"/>
    </w:rPr>
  </w:style>
  <w:style w:type="character" w:default="1" w:styleId="9">
    <w:name w:val="Default Paragraph Font"/>
    <w:semiHidden/>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5"/>
    <w:uiPriority w:val="99"/>
    <w:rPr>
      <w:rFonts w:ascii="宋体" w:hAnsi="Courier New"/>
    </w:rPr>
  </w:style>
  <w:style w:type="paragraph" w:styleId="5">
    <w:name w:val="footer"/>
    <w:basedOn w:val="1"/>
    <w:link w:val="16"/>
    <w:uiPriority w:val="99"/>
    <w:pPr>
      <w:tabs>
        <w:tab w:val="center" w:pos="4153"/>
        <w:tab w:val="right" w:pos="8306"/>
      </w:tabs>
      <w:snapToGrid w:val="0"/>
      <w:jc w:val="left"/>
    </w:pPr>
    <w:rPr>
      <w:sz w:val="18"/>
      <w:szCs w:val="18"/>
    </w:rPr>
  </w:style>
  <w:style w:type="paragraph" w:styleId="6">
    <w:name w:val="header"/>
    <w:basedOn w:val="1"/>
    <w:link w:val="17"/>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99"/>
    <w:pPr>
      <w:spacing w:beforeAutospacing="1" w:afterAutospacing="1"/>
      <w:jc w:val="left"/>
    </w:pPr>
    <w:rPr>
      <w:kern w:val="0"/>
      <w:sz w:val="24"/>
    </w:rPr>
  </w:style>
  <w:style w:type="character" w:styleId="10">
    <w:name w:val="Strong"/>
    <w:basedOn w:val="9"/>
    <w:qFormat/>
    <w:uiPriority w:val="99"/>
    <w:rPr>
      <w:rFonts w:cs="Times New Roman"/>
      <w:b/>
    </w:rPr>
  </w:style>
  <w:style w:type="character" w:styleId="11">
    <w:name w:val="FollowedHyperlink"/>
    <w:basedOn w:val="9"/>
    <w:uiPriority w:val="99"/>
    <w:rPr>
      <w:rFonts w:cs="Times New Roman"/>
      <w:color w:val="333333"/>
      <w:u w:val="none"/>
    </w:rPr>
  </w:style>
  <w:style w:type="character" w:styleId="12">
    <w:name w:val="Hyperlink"/>
    <w:basedOn w:val="9"/>
    <w:uiPriority w:val="99"/>
    <w:rPr>
      <w:rFonts w:cs="Times New Roman"/>
      <w:color w:val="333333"/>
      <w:u w:val="none"/>
    </w:rPr>
  </w:style>
  <w:style w:type="character" w:customStyle="1" w:styleId="13">
    <w:name w:val="Heading 2 Char"/>
    <w:basedOn w:val="9"/>
    <w:link w:val="3"/>
    <w:semiHidden/>
    <w:locked/>
    <w:uiPriority w:val="99"/>
    <w:rPr>
      <w:rFonts w:ascii="Cambria" w:hAnsi="Cambria" w:eastAsia="宋体" w:cs="Times New Roman"/>
      <w:b/>
      <w:bCs/>
      <w:sz w:val="32"/>
      <w:szCs w:val="32"/>
    </w:rPr>
  </w:style>
  <w:style w:type="character" w:customStyle="1" w:styleId="14">
    <w:name w:val="Heading 3 Char"/>
    <w:basedOn w:val="9"/>
    <w:link w:val="4"/>
    <w:semiHidden/>
    <w:locked/>
    <w:uiPriority w:val="99"/>
    <w:rPr>
      <w:rFonts w:ascii="Calibri" w:hAnsi="Calibri" w:cs="Times New Roman"/>
      <w:b/>
      <w:bCs/>
      <w:sz w:val="32"/>
      <w:szCs w:val="32"/>
    </w:rPr>
  </w:style>
  <w:style w:type="character" w:customStyle="1" w:styleId="15">
    <w:name w:val="Plain Text Char"/>
    <w:basedOn w:val="9"/>
    <w:link w:val="2"/>
    <w:semiHidden/>
    <w:locked/>
    <w:uiPriority w:val="99"/>
    <w:rPr>
      <w:rFonts w:ascii="宋体" w:hAnsi="Courier New" w:cs="Courier New"/>
      <w:sz w:val="21"/>
      <w:szCs w:val="21"/>
    </w:rPr>
  </w:style>
  <w:style w:type="character" w:customStyle="1" w:styleId="16">
    <w:name w:val="Footer Char"/>
    <w:basedOn w:val="9"/>
    <w:link w:val="5"/>
    <w:semiHidden/>
    <w:locked/>
    <w:uiPriority w:val="99"/>
    <w:rPr>
      <w:rFonts w:ascii="Calibri" w:hAnsi="Calibri" w:cs="Times New Roman"/>
      <w:sz w:val="18"/>
      <w:szCs w:val="18"/>
    </w:rPr>
  </w:style>
  <w:style w:type="character" w:customStyle="1" w:styleId="17">
    <w:name w:val="Header Char"/>
    <w:basedOn w:val="9"/>
    <w:link w:val="6"/>
    <w:semiHidden/>
    <w:locked/>
    <w:uiPriority w:val="99"/>
    <w:rPr>
      <w:rFonts w:ascii="Calibri" w:hAnsi="Calibri" w:cs="Times New Roman"/>
      <w:sz w:val="18"/>
      <w:szCs w:val="18"/>
    </w:rPr>
  </w:style>
  <w:style w:type="character" w:customStyle="1" w:styleId="18">
    <w:name w:val="pagination_curr"/>
    <w:basedOn w:val="9"/>
    <w:uiPriority w:val="99"/>
    <w:rPr>
      <w:rFonts w:cs="Times New Roman"/>
      <w:b/>
      <w:color w:val="FFFFFF"/>
      <w:shd w:val="clear" w:color="auto" w:fill="D50F11"/>
    </w:rPr>
  </w:style>
  <w:style w:type="character" w:customStyle="1" w:styleId="19">
    <w:name w:val="fr1"/>
    <w:basedOn w:val="9"/>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F:\2020&#24180;2&#26376;&#24037;&#20316;&#23433;&#25490;\&#19969;&#26494;&#31179;\2.1--2.11\&#26032;&#20313;&#24066;2019&#24180;&#25919;&#24220;&#20449;&#24687;&#24180;&#25253;&#25968;&#25454;&#32479;&#35745;&#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6032;&#20313;&#24066;2019&#24180;&#25919;&#24220;&#20449;&#24687;&#24180;&#25253;&#25968;&#25454;&#32479;&#35745;&#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spc="0" baseline="0">
                <a:solidFill>
                  <a:schemeClr val="tx1">
                    <a:lumMod val="65000"/>
                    <a:lumOff val="35000"/>
                  </a:schemeClr>
                </a:solidFill>
                <a:latin typeface="+mn-lt"/>
                <a:ea typeface="+mn-ea"/>
                <a:cs typeface="+mn-cs"/>
              </a:defRPr>
            </a:pPr>
            <a:r>
              <a:rPr lang="en-US" altLang="zh-CN" b="1"/>
              <a:t>2019</a:t>
            </a:r>
            <a:r>
              <a:rPr altLang="en-US" b="1"/>
              <a:t>年新余市解读与回应信息分布图</a:t>
            </a:r>
            <a:endParaRPr altLang="en-US" b="1"/>
          </a:p>
        </c:rich>
      </c:tx>
      <c:layout/>
      <c:overlay val="0"/>
      <c:spPr>
        <a:noFill/>
        <a:ln>
          <a:noFill/>
        </a:ln>
        <a:effectLst/>
      </c:spPr>
    </c:title>
    <c:autoTitleDeleted val="0"/>
    <c:plotArea>
      <c:layout/>
      <c:pieChart>
        <c:varyColors val="1"/>
        <c:ser>
          <c:idx val="0"/>
          <c:order val="0"/>
          <c:tx>
            <c:strRef>
              <c:f>[新余市2019年政府信息年报数据统计表.xlsx]Sheet2!$C$22</c:f>
              <c:strCache>
                <c:ptCount val="1"/>
                <c:pt idx="0">
                  <c:v>条数</c:v>
                </c:pt>
              </c:strCache>
            </c:strRef>
          </c:tx>
          <c:explosion val="0"/>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Pt>
            <c:idx val="2"/>
            <c:bubble3D val="0"/>
            <c:spPr>
              <a:solidFill>
                <a:schemeClr val="accent4"/>
              </a:solidFill>
              <a:ln w="19050">
                <a:solidFill>
                  <a:schemeClr val="lt1"/>
                </a:solidFill>
              </a:ln>
              <a:effectLst/>
            </c:spPr>
          </c:dPt>
          <c:dPt>
            <c:idx val="3"/>
            <c:bubble3D val="0"/>
            <c:spPr>
              <a:solidFill>
                <a:schemeClr val="accent6">
                  <a:lumMod val="60000"/>
                </a:schemeClr>
              </a:solidFill>
              <a:ln w="19050">
                <a:solidFill>
                  <a:schemeClr val="lt1"/>
                </a:solidFill>
              </a:ln>
              <a:effectLst/>
            </c:spPr>
          </c:dPt>
          <c:dLbls>
            <c:dLbl>
              <c:idx val="0"/>
              <c:layout>
                <c:manualLayout>
                  <c:x val="0.0893235835213118"/>
                  <c:y val="0.0418174073325727"/>
                </c:manualLayout>
              </c:layout>
              <c:tx>
                <c:rich>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r>
                      <a:rPr b="1"/>
                      <a:t>1</a:t>
                    </a:r>
                    <a:r>
                      <a:rPr lang="en-US" altLang="zh-CN" b="1"/>
                      <a:t>1.72</a:t>
                    </a:r>
                    <a:r>
                      <a:rPr b="1"/>
                      <a:t>%</a:t>
                    </a:r>
                    <a:endParaRPr b="1"/>
                  </a:p>
                </c:rich>
              </c:tx>
              <c:dLblPos val="bestFit"/>
              <c:showLegendKey val="1"/>
              <c:showVal val="1"/>
              <c:showCatName val="1"/>
              <c:showSerName val="1"/>
              <c:showPercent val="1"/>
              <c:showBubbleSize val="1"/>
              <c:extLst>
                <c:ext xmlns:c15="http://schemas.microsoft.com/office/drawing/2012/chart" uri="{CE6537A1-D6FC-4f65-9D91-7224C49458BB}">
                  <c15:layout>
                    <c:manualLayout>
                      <c:w val="0.116805555555556"/>
                      <c:h val="0.109647058823529"/>
                    </c:manualLayout>
                  </c15:layout>
                </c:ext>
              </c:extLst>
            </c:dLbl>
            <c:dLbl>
              <c:idx val="1"/>
              <c:layout>
                <c:manualLayout>
                  <c:x val="0.113599206976835"/>
                  <c:y val="0.0400069470774093"/>
                </c:manualLayout>
              </c:layout>
              <c:tx>
                <c:rich>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r>
                      <a:rPr b="1"/>
                      <a:t>3</a:t>
                    </a:r>
                    <a:r>
                      <a:rPr lang="en-US" altLang="zh-CN" b="1"/>
                      <a:t>.13</a:t>
                    </a:r>
                    <a:r>
                      <a:rPr b="1"/>
                      <a:t>%</a:t>
                    </a:r>
                    <a:endParaRPr b="1"/>
                  </a:p>
                </c:rich>
              </c:tx>
              <c:dLblPos val="bestFit"/>
              <c:showLegendKey val="1"/>
              <c:showVal val="1"/>
              <c:showCatName val="1"/>
              <c:showSerName val="1"/>
              <c:showPercent val="1"/>
              <c:showBubbleSize val="1"/>
              <c:extLst>
                <c:ext xmlns:c15="http://schemas.microsoft.com/office/drawing/2012/chart" uri="{CE6537A1-D6FC-4f65-9D91-7224C49458BB}">
                  <c15:layout>
                    <c:manualLayout>
                      <c:w val="0.104444444444444"/>
                      <c:h val="0.0802352941176471"/>
                    </c:manualLayout>
                  </c15:layout>
                </c:ext>
              </c:extLst>
            </c:dLbl>
            <c:dLbl>
              <c:idx val="2"/>
              <c:layout>
                <c:manualLayout>
                  <c:x val="-0.320425423744877"/>
                  <c:y val="-0.133875945298458"/>
                </c:manualLayout>
              </c:layout>
              <c:tx>
                <c:rich>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r>
                      <a:rPr b="1"/>
                      <a:t>66</a:t>
                    </a:r>
                    <a:r>
                      <a:rPr lang="en-US" altLang="zh-CN" b="1"/>
                      <a:t>.41</a:t>
                    </a:r>
                    <a:r>
                      <a:rPr b="1"/>
                      <a:t>%</a:t>
                    </a:r>
                    <a:endParaRPr b="1"/>
                  </a:p>
                </c:rich>
              </c:tx>
              <c:dLblPos val="bestFit"/>
              <c:showLegendKey val="1"/>
              <c:showVal val="1"/>
              <c:showCatName val="1"/>
              <c:showSerName val="1"/>
              <c:showPercent val="1"/>
              <c:showBubbleSize val="1"/>
              <c:extLst>
                <c:ext xmlns:c15="http://schemas.microsoft.com/office/drawing/2012/chart" uri="{CE6537A1-D6FC-4f65-9D91-7224C49458BB}">
                  <c15:layout/>
                </c:ext>
              </c:extLst>
            </c:dLbl>
            <c:dLbl>
              <c:idx val="3"/>
              <c:layout>
                <c:manualLayout>
                  <c:x val="-0.12332443511923"/>
                  <c:y val="0.038609647544635"/>
                </c:manualLayout>
              </c:layout>
              <c:tx>
                <c:rich>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r>
                      <a:rPr b="1"/>
                      <a:t>1</a:t>
                    </a:r>
                    <a:r>
                      <a:rPr lang="en-US" altLang="zh-CN" b="1"/>
                      <a:t>8.75</a:t>
                    </a:r>
                    <a:r>
                      <a:rPr b="1"/>
                      <a:t>%</a:t>
                    </a:r>
                    <a:endParaRPr b="1"/>
                  </a:p>
                </c:rich>
              </c:tx>
              <c:dLblPos val="bestFit"/>
              <c:showLegendKey val="1"/>
              <c:showVal val="1"/>
              <c:showCatName val="1"/>
              <c:showSerName val="1"/>
              <c:showPercent val="1"/>
              <c:showBubbleSize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inEnd"/>
            <c:showLegendKey val="1"/>
            <c:showVal val="1"/>
            <c:showCatName val="1"/>
            <c:showSerName val="1"/>
            <c:showPercent val="1"/>
            <c:showBubbleSize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[新余市2019年政府信息年报数据统计表.xlsx]Sheet2!$B$23:$B$26</c:f>
              <c:strCache>
                <c:ptCount val="4"/>
                <c:pt idx="0">
                  <c:v>在线访谈</c:v>
                </c:pt>
                <c:pt idx="1">
                  <c:v>热点回应</c:v>
                </c:pt>
                <c:pt idx="2">
                  <c:v>新闻发布会</c:v>
                </c:pt>
                <c:pt idx="3">
                  <c:v>本级政策解读</c:v>
                </c:pt>
              </c:strCache>
            </c:strRef>
          </c:cat>
          <c:val>
            <c:numRef>
              <c:f>[新余市2019年政府信息年报数据统计表.xlsx]Sheet2!$C$23:$C$26</c:f>
              <c:numCache>
                <c:formatCode>General</c:formatCode>
                <c:ptCount val="4"/>
                <c:pt idx="0">
                  <c:v>15</c:v>
                </c:pt>
                <c:pt idx="1">
                  <c:v>4</c:v>
                </c:pt>
                <c:pt idx="2">
                  <c:v>85</c:v>
                </c:pt>
                <c:pt idx="3">
                  <c:v>24</c:v>
                </c:pt>
              </c:numCache>
            </c:numRef>
          </c:val>
        </c:ser>
        <c:ser>
          <c:idx val="1"/>
          <c:order val="1"/>
          <c:tx>
            <c:strRef>
              <c:f>[新余市2019年政府信息年报数据统计表.xlsx]Sheet2!$D$22</c:f>
              <c:strCache>
                <c:ptCount val="1"/>
                <c:pt idx="0">
                  <c:v>占比</c:v>
                </c:pt>
              </c:strCache>
            </c:strRef>
          </c:tx>
          <c:explosion val="0"/>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Pt>
            <c:idx val="2"/>
            <c:bubble3D val="0"/>
            <c:spPr>
              <a:solidFill>
                <a:schemeClr val="accent4"/>
              </a:solidFill>
              <a:ln w="19050">
                <a:solidFill>
                  <a:schemeClr val="lt1"/>
                </a:solidFill>
              </a:ln>
              <a:effectLst/>
            </c:spPr>
          </c:dPt>
          <c:dPt>
            <c:idx val="3"/>
            <c:bubble3D val="0"/>
            <c:spPr>
              <a:solidFill>
                <a:schemeClr val="accent6">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1"/>
            <c:showVal val="1"/>
            <c:showCatName val="1"/>
            <c:showSerName val="1"/>
            <c:showPercent val="1"/>
            <c:showBubbleSize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[新余市2019年政府信息年报数据统计表.xlsx]Sheet2!$B$23:$B$26</c:f>
              <c:strCache>
                <c:ptCount val="4"/>
                <c:pt idx="0">
                  <c:v>在线访谈</c:v>
                </c:pt>
                <c:pt idx="1">
                  <c:v>热点回应</c:v>
                </c:pt>
                <c:pt idx="2">
                  <c:v>新闻发布会</c:v>
                </c:pt>
                <c:pt idx="3">
                  <c:v>本级政策解读</c:v>
                </c:pt>
              </c:strCache>
            </c:strRef>
          </c:cat>
          <c:val>
            <c:numRef>
              <c:f>[新余市2019年政府信息年报数据统计表.xlsx]Sheet2!$D$23:$D$26</c:f>
              <c:numCache>
                <c:formatCode>0.00%</c:formatCode>
                <c:ptCount val="4"/>
                <c:pt idx="0">
                  <c:v>0.1171875</c:v>
                </c:pt>
                <c:pt idx="1">
                  <c:v>0.03125</c:v>
                </c:pt>
                <c:pt idx="2">
                  <c:v>0.6640625</c:v>
                </c:pt>
                <c:pt idx="3">
                  <c:v>0.1875</c:v>
                </c:pt>
              </c:numCache>
            </c:numRef>
          </c:val>
        </c:ser>
        <c:dLbls>
          <c:showLegendKey val="1"/>
          <c:showVal val="1"/>
          <c:showCatName val="1"/>
          <c:showSerName val="1"/>
          <c:showPercent val="1"/>
          <c:showBubbleSize val="1"/>
          <c:showLeaderLines val="1"/>
        </c:dLbls>
        <c:firstSliceAng val="0"/>
      </c:pieChart>
      <c:spPr>
        <a:noFill/>
        <a:ln>
          <a:noFill/>
        </a:ln>
        <a:effectLst/>
      </c:spPr>
    </c:plotArea>
    <c:legend>
      <c:legendPos val="r"/>
      <c:legendEntry>
        <c:idx val="0"/>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egendEntry>
        <c:idx val="2"/>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egendEntry>
        <c:idx val="3"/>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spc="0" baseline="0">
                <a:solidFill>
                  <a:schemeClr val="tx1">
                    <a:lumMod val="65000"/>
                    <a:lumOff val="35000"/>
                  </a:schemeClr>
                </a:solidFill>
                <a:latin typeface="+mn-lt"/>
                <a:ea typeface="+mn-ea"/>
                <a:cs typeface="+mn-cs"/>
              </a:defRPr>
            </a:pPr>
            <a:r>
              <a:rPr b="1"/>
              <a:t>新余市</a:t>
            </a:r>
            <a:r>
              <a:rPr lang="en-US" altLang="zh-CN" b="1"/>
              <a:t>2019</a:t>
            </a:r>
            <a:r>
              <a:rPr altLang="en-US" b="1"/>
              <a:t>年重点领域信息数据分布图</a:t>
            </a:r>
            <a:endParaRPr altLang="en-US" b="1"/>
          </a:p>
        </c:rich>
      </c:tx>
      <c:layout>
        <c:manualLayout>
          <c:xMode val="edge"/>
          <c:yMode val="edge"/>
          <c:x val="0.165277777777778"/>
          <c:y val="0.0277777777777778"/>
        </c:manualLayout>
      </c:layout>
      <c:overlay val="0"/>
      <c:spPr>
        <a:noFill/>
        <a:ln>
          <a:noFill/>
        </a:ln>
        <a:effectLst/>
      </c:spPr>
    </c:title>
    <c:autoTitleDeleted val="0"/>
    <c:plotArea>
      <c:layout/>
      <c:barChart>
        <c:barDir val="col"/>
        <c:grouping val="clustered"/>
        <c:varyColors val="0"/>
        <c:ser>
          <c:idx val="0"/>
          <c:order val="0"/>
          <c:tx>
            <c:strRef>
              <c:f>[新余市2019年政府信息年报数据统计表.xlsx]Sheet2!$B$1</c:f>
              <c:strCache>
                <c:ptCount val="1"/>
                <c:pt idx="0">
                  <c:v>条数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outEnd"/>
            <c:showLegendKey val="1"/>
            <c:showVal val="1"/>
            <c:showCatName val="1"/>
            <c:showSerName val="1"/>
            <c:showPercent val="1"/>
            <c:showBubbleSize val="1"/>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[新余市2019年政府信息年报数据统计表.xlsx]Sheet2!$A$2:$A$5</c:f>
              <c:strCache>
                <c:ptCount val="4"/>
                <c:pt idx="0">
                  <c:v>公共资源配置领域</c:v>
                </c:pt>
                <c:pt idx="1">
                  <c:v>社会公益事业领域</c:v>
                </c:pt>
                <c:pt idx="2">
                  <c:v>监督检查</c:v>
                </c:pt>
                <c:pt idx="3">
                  <c:v>重大项目建设领域</c:v>
                </c:pt>
              </c:strCache>
            </c:strRef>
          </c:cat>
          <c:val>
            <c:numRef>
              <c:f>[新余市2019年政府信息年报数据统计表.xlsx]Sheet2!$B$2:$B$5</c:f>
              <c:numCache>
                <c:formatCode>General</c:formatCode>
                <c:ptCount val="4"/>
                <c:pt idx="0">
                  <c:v>5786</c:v>
                </c:pt>
                <c:pt idx="1">
                  <c:v>246</c:v>
                </c:pt>
                <c:pt idx="2">
                  <c:v>106</c:v>
                </c:pt>
                <c:pt idx="3">
                  <c:v>85</c:v>
                </c:pt>
              </c:numCache>
            </c:numRef>
          </c:val>
        </c:ser>
        <c:dLbls>
          <c:showLegendKey val="1"/>
          <c:showVal val="1"/>
          <c:showCatName val="1"/>
          <c:showSerName val="1"/>
          <c:showPercent val="1"/>
          <c:showBubbleSize val="1"/>
        </c:dLbls>
        <c:gapWidth val="219"/>
        <c:overlap val="-27"/>
        <c:axId val="55571968"/>
        <c:axId val="55573504"/>
      </c:barChart>
      <c:catAx>
        <c:axId val="5557196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5573504"/>
        <c:crosses val="autoZero"/>
        <c:auto val="1"/>
        <c:lblAlgn val="ctr"/>
        <c:lblOffset val="100"/>
        <c:noMultiLvlLbl val="0"/>
      </c:catAx>
      <c:valAx>
        <c:axId val="5557350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5571968"/>
        <c:crosses val="autoZero"/>
        <c:crossBetween val="between"/>
      </c:valAx>
      <c:dTable>
        <c:showHorzBorder val="1"/>
        <c:showVertBorder val="1"/>
        <c:showOutline val="1"/>
        <c:showKeys val="1"/>
        <c:spPr>
          <a:noFill/>
          <a:ln w="9525" cap="flat" cmpd="sng" algn="ctr">
            <a:solidFill>
              <a:schemeClr val="tx1">
                <a:lumMod val="15000"/>
                <a:lumOff val="85000"/>
              </a:schemeClr>
            </a:solidFill>
            <a:prstDash val="solid"/>
            <a:round/>
          </a:ln>
          <a:effectLst/>
        </c:spPr>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3</Pages>
  <Words>747</Words>
  <Characters>4260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2020-03-03T07:25:00Z</dcterms:created>
  <dc:creator>Administrator</dc:creator>
  <cp:lastModifiedBy>idealism</cp:lastModifiedBy>
  <dcterms:modified xsi:type="dcterms:W3CDTF">2024-01-29T01:24:14Z</dcterms:modified>
  <dc:title>新余市2019年政府信息公开工作年度报告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A2C21DC5240147DBAE40F2E3A33833C4_13</vt:lpwstr>
  </property>
</Properties>
</file>