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eastAsia="宋体" w:cs="宋体"/>
          <w:b/>
          <w:color w:val="000000" w:themeColor="text1"/>
          <w:kern w:val="0"/>
          <w:sz w:val="44"/>
          <w:szCs w:val="44"/>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附件</w:t>
      </w:r>
      <w:r>
        <w:rPr>
          <w:rFonts w:hint="eastAsia"/>
          <w:color w:val="000000" w:themeColor="text1"/>
          <w:sz w:val="28"/>
          <w:szCs w:val="28"/>
          <w:lang w:val="en-US" w:eastAsia="zh-CN"/>
          <w14:textFill>
            <w14:solidFill>
              <w14:schemeClr w14:val="tx1"/>
            </w14:solidFill>
          </w14:textFill>
        </w:rPr>
        <w:t>9</w:t>
      </w:r>
    </w:p>
    <w:p>
      <w:pPr>
        <w:jc w:val="center"/>
        <w:rPr>
          <w:rFonts w:hint="eastAsia" w:ascii="楷体" w:hAnsi="楷体" w:eastAsia="宋体"/>
          <w:b/>
          <w:color w:val="000000" w:themeColor="text1"/>
          <w:sz w:val="44"/>
          <w:szCs w:val="44"/>
          <w:lang w:val="en-US" w:eastAsia="zh-CN"/>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t>新余市基本医疗保险定点医疗机构</w:t>
      </w:r>
      <w:r>
        <w:rPr>
          <w:rFonts w:hint="eastAsia" w:ascii="宋体" w:hAnsi="宋体" w:cs="宋体"/>
          <w:b/>
          <w:color w:val="000000" w:themeColor="text1"/>
          <w:kern w:val="0"/>
          <w:sz w:val="44"/>
          <w:szCs w:val="44"/>
          <w:lang w:eastAsia="zh-CN"/>
          <w14:textFill>
            <w14:solidFill>
              <w14:schemeClr w14:val="tx1"/>
            </w14:solidFill>
          </w14:textFill>
        </w:rPr>
        <w:t>申报材料说明</w:t>
      </w:r>
    </w:p>
    <w:p>
      <w:pPr>
        <w:rPr>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备注：第</w:t>
      </w:r>
      <w:r>
        <w:rPr>
          <w:color w:val="000000" w:themeColor="text1"/>
          <w:sz w:val="24"/>
          <w:szCs w:val="24"/>
          <w14:textFill>
            <w14:solidFill>
              <w14:schemeClr w14:val="tx1"/>
            </w14:solidFill>
          </w14:textFill>
        </w:rPr>
        <w:t>10</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13</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18</w:t>
      </w:r>
      <w:r>
        <w:rPr>
          <w:rFonts w:hint="eastAsia"/>
          <w:color w:val="000000" w:themeColor="text1"/>
          <w:sz w:val="24"/>
          <w:szCs w:val="24"/>
          <w14:textFill>
            <w14:solidFill>
              <w14:schemeClr w14:val="tx1"/>
            </w14:solidFill>
          </w14:textFill>
        </w:rPr>
        <w:t>项指标仅考核住院医疗机构，共</w:t>
      </w:r>
      <w:r>
        <w:rPr>
          <w:color w:val="000000" w:themeColor="text1"/>
          <w:sz w:val="24"/>
          <w:szCs w:val="24"/>
          <w14:textFill>
            <w14:solidFill>
              <w14:schemeClr w14:val="tx1"/>
            </w14:solidFill>
          </w14:textFill>
        </w:rPr>
        <w:t>10</w:t>
      </w:r>
      <w:r>
        <w:rPr>
          <w:rFonts w:hint="eastAsia"/>
          <w:color w:val="000000" w:themeColor="text1"/>
          <w:sz w:val="24"/>
          <w:szCs w:val="24"/>
          <w14:textFill>
            <w14:solidFill>
              <w14:schemeClr w14:val="tx1"/>
            </w14:solidFill>
          </w14:textFill>
        </w:rPr>
        <w:t>分。</w:t>
      </w:r>
      <w:r>
        <w:rPr>
          <w:color w:val="000000" w:themeColor="text1"/>
          <w:sz w:val="24"/>
          <w:szCs w:val="24"/>
          <w14:textFill>
            <w14:solidFill>
              <w14:schemeClr w14:val="tx1"/>
            </w14:solidFill>
          </w14:textFill>
        </w:rPr>
        <w:t xml:space="preserve">                                        </w:t>
      </w:r>
      <w:r>
        <w:rPr>
          <w:rFonts w:hint="eastAsia" w:ascii="宋体" w:hAnsi="宋体"/>
          <w:color w:val="000000" w:themeColor="text1"/>
          <w14:textFill>
            <w14:solidFill>
              <w14:schemeClr w14:val="tx1"/>
            </w14:solidFill>
          </w14:textFill>
        </w:rPr>
        <w:t>总分</w:t>
      </w:r>
      <w:r>
        <w:rPr>
          <w:rFonts w:ascii="宋体" w:hAnsi="宋体"/>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分（门诊</w:t>
      </w:r>
      <w:r>
        <w:rPr>
          <w:rFonts w:ascii="宋体" w:hAnsi="宋体"/>
          <w:color w:val="000000" w:themeColor="text1"/>
          <w14:textFill>
            <w14:solidFill>
              <w14:schemeClr w14:val="tx1"/>
            </w14:solidFill>
          </w14:textFill>
        </w:rPr>
        <w:t>90</w:t>
      </w:r>
      <w:r>
        <w:rPr>
          <w:rFonts w:hint="eastAsia" w:ascii="宋体" w:hAnsi="宋体"/>
          <w:color w:val="000000" w:themeColor="text1"/>
          <w14:textFill>
            <w14:solidFill>
              <w14:schemeClr w14:val="tx1"/>
            </w14:solidFill>
          </w14:textFill>
        </w:rPr>
        <w:t>分）（不含加分项目）</w:t>
      </w:r>
    </w:p>
    <w:tbl>
      <w:tblPr>
        <w:tblStyle w:val="6"/>
        <w:tblW w:w="156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1"/>
        <w:gridCol w:w="724"/>
        <w:gridCol w:w="810"/>
        <w:gridCol w:w="630"/>
        <w:gridCol w:w="1818"/>
        <w:gridCol w:w="1846"/>
        <w:gridCol w:w="1839"/>
        <w:gridCol w:w="1846"/>
        <w:gridCol w:w="572"/>
        <w:gridCol w:w="5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blHeader/>
          <w:jc w:val="center"/>
        </w:trPr>
        <w:tc>
          <w:tcPr>
            <w:tcW w:w="461" w:type="dxa"/>
            <w:vMerge w:val="restart"/>
            <w:tcBorders>
              <w:tl2br w:val="nil"/>
              <w:tr2bl w:val="nil"/>
            </w:tcBorders>
            <w:vAlign w:val="center"/>
          </w:tcPr>
          <w:p>
            <w:pPr>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序号</w:t>
            </w:r>
          </w:p>
        </w:tc>
        <w:tc>
          <w:tcPr>
            <w:tcW w:w="1534" w:type="dxa"/>
            <w:gridSpan w:val="2"/>
            <w:vMerge w:val="restart"/>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评估项目</w:t>
            </w:r>
          </w:p>
        </w:tc>
        <w:tc>
          <w:tcPr>
            <w:tcW w:w="630" w:type="dxa"/>
            <w:vMerge w:val="restart"/>
            <w:tcBorders>
              <w:tl2br w:val="nil"/>
              <w:tr2bl w:val="nil"/>
            </w:tcBorders>
            <w:vAlign w:val="center"/>
          </w:tcPr>
          <w:p>
            <w:pPr>
              <w:spacing w:line="240" w:lineRule="exact"/>
              <w:ind w:firstLine="4743" w:firstLineChars="2250"/>
              <w:jc w:val="center"/>
              <w:rPr>
                <w:rFonts w:ascii="宋体"/>
                <w:b/>
                <w:color w:val="000000" w:themeColor="text1"/>
                <w14:textFill>
                  <w14:solidFill>
                    <w14:schemeClr w14:val="tx1"/>
                  </w14:solidFill>
                </w14:textFill>
              </w:rPr>
            </w:pPr>
            <w:r>
              <w:rPr>
                <w:rFonts w:hint="eastAsia" w:ascii="宋体" w:hAnsi="宋体" w:cs="黑体"/>
                <w:b/>
                <w:color w:val="000000" w:themeColor="text1"/>
                <w:kern w:val="0"/>
                <w14:textFill>
                  <w14:solidFill>
                    <w14:schemeClr w14:val="tx1"/>
                  </w14:solidFill>
                </w14:textFill>
              </w:rPr>
              <w:t>项项目分数</w:t>
            </w:r>
          </w:p>
        </w:tc>
        <w:tc>
          <w:tcPr>
            <w:tcW w:w="7349" w:type="dxa"/>
            <w:gridSpan w:val="4"/>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评估标准</w:t>
            </w:r>
          </w:p>
        </w:tc>
        <w:tc>
          <w:tcPr>
            <w:tcW w:w="572" w:type="dxa"/>
            <w:vMerge w:val="restart"/>
            <w:tcBorders>
              <w:tl2br w:val="nil"/>
              <w:tr2bl w:val="nil"/>
            </w:tcBorders>
            <w:vAlign w:val="center"/>
          </w:tcPr>
          <w:p>
            <w:pPr>
              <w:jc w:val="left"/>
              <w:rPr>
                <w:rFonts w:ascii="宋体"/>
                <w:b/>
                <w:color w:val="000000" w:themeColor="text1"/>
                <w14:textFill>
                  <w14:solidFill>
                    <w14:schemeClr w14:val="tx1"/>
                  </w14:solidFill>
                </w14:textFill>
              </w:rPr>
            </w:pPr>
          </w:p>
        </w:tc>
        <w:tc>
          <w:tcPr>
            <w:tcW w:w="5153" w:type="dxa"/>
            <w:vMerge w:val="restart"/>
            <w:tcBorders>
              <w:tl2br w:val="nil"/>
              <w:tr2bl w:val="nil"/>
            </w:tcBorders>
            <w:vAlign w:val="center"/>
          </w:tcPr>
          <w:p>
            <w:pPr>
              <w:jc w:val="center"/>
              <w:rPr>
                <w:rFonts w:hint="eastAsia" w:ascii="宋体" w:eastAsia="宋体"/>
                <w:b/>
                <w:color w:val="000000" w:themeColor="text1"/>
                <w:lang w:eastAsia="zh-CN"/>
                <w14:textFill>
                  <w14:solidFill>
                    <w14:schemeClr w14:val="tx1"/>
                  </w14:solidFill>
                </w14:textFill>
              </w:rPr>
            </w:pPr>
            <w:r>
              <w:rPr>
                <w:rFonts w:hint="eastAsia" w:ascii="宋体" w:hAnsi="宋体"/>
                <w:b/>
                <w:color w:val="000000" w:themeColor="text1"/>
                <w:lang w:eastAsia="zh-CN"/>
                <w14:textFill>
                  <w14:solidFill>
                    <w14:schemeClr w14:val="tx1"/>
                  </w14:solidFill>
                </w14:textFill>
              </w:rPr>
              <w:t>申报材料说明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tblHeader/>
          <w:jc w:val="center"/>
        </w:trPr>
        <w:tc>
          <w:tcPr>
            <w:tcW w:w="461" w:type="dxa"/>
            <w:vMerge w:val="continue"/>
            <w:tcBorders>
              <w:tl2br w:val="nil"/>
              <w:tr2bl w:val="nil"/>
            </w:tcBorders>
            <w:vAlign w:val="center"/>
          </w:tcPr>
          <w:p>
            <w:pPr>
              <w:jc w:val="center"/>
              <w:rPr>
                <w:rFonts w:ascii="宋体"/>
                <w:b/>
                <w:color w:val="000000" w:themeColor="text1"/>
                <w14:textFill>
                  <w14:solidFill>
                    <w14:schemeClr w14:val="tx1"/>
                  </w14:solidFill>
                </w14:textFill>
              </w:rPr>
            </w:pPr>
          </w:p>
        </w:tc>
        <w:tc>
          <w:tcPr>
            <w:tcW w:w="1534" w:type="dxa"/>
            <w:gridSpan w:val="2"/>
            <w:vMerge w:val="continue"/>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p>
        </w:tc>
        <w:tc>
          <w:tcPr>
            <w:tcW w:w="630" w:type="dxa"/>
            <w:vMerge w:val="continue"/>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p>
        </w:tc>
        <w:tc>
          <w:tcPr>
            <w:tcW w:w="1818" w:type="dxa"/>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住院医疗机构（综合，含中医院）</w:t>
            </w:r>
          </w:p>
        </w:tc>
        <w:tc>
          <w:tcPr>
            <w:tcW w:w="1846" w:type="dxa"/>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住院医疗机构（专科）</w:t>
            </w:r>
          </w:p>
        </w:tc>
        <w:tc>
          <w:tcPr>
            <w:tcW w:w="1839" w:type="dxa"/>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门诊医疗机构（综合）</w:t>
            </w:r>
          </w:p>
        </w:tc>
        <w:tc>
          <w:tcPr>
            <w:tcW w:w="1846" w:type="dxa"/>
            <w:tcBorders>
              <w:tl2br w:val="nil"/>
              <w:tr2bl w:val="nil"/>
            </w:tcBorders>
            <w:vAlign w:val="center"/>
          </w:tcPr>
          <w:p>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门诊医疗机构（专科，含个体诊所、村卫生室）</w:t>
            </w:r>
          </w:p>
        </w:tc>
        <w:tc>
          <w:tcPr>
            <w:tcW w:w="572" w:type="dxa"/>
            <w:vMerge w:val="continue"/>
            <w:tcBorders>
              <w:tl2br w:val="nil"/>
              <w:tr2bl w:val="nil"/>
            </w:tcBorders>
            <w:vAlign w:val="center"/>
          </w:tcPr>
          <w:p>
            <w:pPr>
              <w:jc w:val="left"/>
              <w:rPr>
                <w:rFonts w:ascii="宋体"/>
                <w:b/>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ascii="宋体"/>
                <w:b/>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p>
        </w:tc>
        <w:tc>
          <w:tcPr>
            <w:tcW w:w="724"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规划布局（12分）</w:t>
            </w: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开业</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时间</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1.计算时间截至</w:t>
            </w:r>
            <w:r>
              <w:rPr>
                <w:rFonts w:hint="eastAsia" w:ascii="宋体" w:hAnsi="宋体"/>
                <w:color w:val="000000" w:themeColor="text1"/>
                <w14:textFill>
                  <w14:solidFill>
                    <w14:schemeClr w14:val="tx1"/>
                  </w14:solidFill>
                </w14:textFill>
              </w:rPr>
              <w:t>202</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年</w:t>
            </w:r>
            <w:r>
              <w:rPr>
                <w:rFonts w:hint="eastAsia" w:ascii="宋体" w:hAnsi="宋体"/>
                <w:color w:val="000000" w:themeColor="text1"/>
                <w:lang w:val="en-US" w:eastAsia="zh-CN"/>
                <w14:textFill>
                  <w14:solidFill>
                    <w14:schemeClr w14:val="tx1"/>
                  </w14:solidFill>
                </w14:textFill>
              </w:rPr>
              <w:t>12</w:t>
            </w:r>
            <w:r>
              <w:rPr>
                <w:rFonts w:hint="eastAsia" w:ascii="宋体" w:hAnsi="宋体"/>
                <w:color w:val="000000" w:themeColor="text1"/>
                <w14:textFill>
                  <w14:solidFill>
                    <w14:schemeClr w14:val="tx1"/>
                  </w14:solidFill>
                </w14:textFill>
              </w:rPr>
              <w:t>月</w:t>
            </w:r>
            <w:r>
              <w:rPr>
                <w:rFonts w:hint="eastAsia" w:ascii="宋体" w:hAnsi="宋体"/>
                <w:color w:val="000000" w:themeColor="text1"/>
                <w:lang w:val="en-US" w:eastAsia="zh-CN"/>
                <w14:textFill>
                  <w14:solidFill>
                    <w14:schemeClr w14:val="tx1"/>
                  </w14:solidFill>
                </w14:textFill>
              </w:rPr>
              <w:t>22</w:t>
            </w:r>
            <w:r>
              <w:rPr>
                <w:rFonts w:hint="eastAsia" w:ascii="宋体" w:hAnsi="宋体"/>
                <w:color w:val="000000" w:themeColor="text1"/>
                <w14:textFill>
                  <w14:solidFill>
                    <w14:schemeClr w14:val="tx1"/>
                  </w14:solidFill>
                </w14:textFill>
              </w:rPr>
              <w:t>日；</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2.</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《医疗机构执业许可证》、或《中医诊所备案证》</w:t>
            </w:r>
            <w:r>
              <w:rPr>
                <w:rFonts w:hint="eastAsia" w:ascii="宋体" w:hAnsi="宋体"/>
                <w:color w:val="000000" w:themeColor="text1"/>
                <w:lang w:eastAsia="zh-CN"/>
                <w14:textFill>
                  <w14:solidFill>
                    <w14:schemeClr w14:val="tx1"/>
                  </w14:solidFill>
                </w14:textFill>
              </w:rPr>
              <w:t>或军队医疗机构为民服务许可证照复印件；</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3.如果期间证件有变更的，提供最早的《医疗机构执业许可证》、《组织机构代码证》或行政部门“变更手续”等印证资料；</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4.正式运营少于3个月不得参加评估。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营业场所使用时间</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租赁合同和房产证</w:t>
            </w:r>
            <w:r>
              <w:rPr>
                <w:rFonts w:hint="eastAsia" w:ascii="宋体" w:hAnsi="宋体"/>
                <w:color w:val="000000" w:themeColor="text1"/>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（2）房屋租赁合同在5年（含）以上的，得4分；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（2）房屋租赁合同在5（含）年以上的，得4分；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（2）房屋租赁合同在5年（含）以上的，得4分；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（2）房屋租赁合同在5年（含）以上的，得4分；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与最近医保定点同级医疗机构的距离</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（1）住院医疗机构1000米（含）以上，得2分；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（1）住院医疗机构500米（含）及以上，得2分；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（1）门诊医疗机构300米（含）以上，得2分；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（1）门诊医疗机构300米（含）以上，得2分；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1.“最近医保定点医疗机构”是指已是同级定点的医疗机构；</w:t>
            </w:r>
          </w:p>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2.“距离”：根据同级定点医疗名单，确定一家最近的定点医疗机构，再通过</w:t>
            </w:r>
            <w:r>
              <w:rPr>
                <w:rFonts w:hint="eastAsia" w:ascii="宋体" w:hAnsi="宋体"/>
                <w:color w:val="000000" w:themeColor="text1"/>
                <w:lang w:eastAsia="zh-CN"/>
                <w14:textFill>
                  <w14:solidFill>
                    <w14:schemeClr w14:val="tx1"/>
                  </w14:solidFill>
                </w14:textFill>
              </w:rPr>
              <w:t>百度</w:t>
            </w:r>
            <w:r>
              <w:rPr>
                <w:rFonts w:hint="eastAsia" w:ascii="宋体" w:hAnsi="宋体"/>
                <w:color w:val="000000" w:themeColor="text1"/>
                <w14:textFill>
                  <w14:solidFill>
                    <w14:schemeClr w14:val="tx1"/>
                  </w14:solidFill>
                </w14:textFill>
              </w:rPr>
              <w:t>电子地图测量两者之间步行的最近距离。</w:t>
            </w:r>
            <w:r>
              <w:rPr>
                <w:rFonts w:hint="eastAsia" w:ascii="宋体" w:hAnsi="宋体"/>
                <w:color w:val="000000" w:themeColor="text1"/>
                <w:lang w:eastAsia="zh-CN"/>
                <w14:textFill>
                  <w14:solidFill>
                    <w14:schemeClr w14:val="tx1"/>
                  </w14:solidFill>
                </w14:textFill>
              </w:rPr>
              <w:t>提供百度地图两者之间“步行”最近距离截屏图；</w:t>
            </w:r>
          </w:p>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实地评估时，现场测量距离</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（2）住院医疗机构1000米以下，得1分。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（2）住院医疗机构500米以下，得1分。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（2）门诊医疗机构300米以下，得1分。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（2）门诊医疗机构300米以下，得1分。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w:t>
            </w:r>
          </w:p>
        </w:tc>
        <w:tc>
          <w:tcPr>
            <w:tcW w:w="724"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服务能力（住院23分、门诊19分）</w:t>
            </w: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临床科室数量</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（1）15个（含）以上，得3分；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（1）6个（含）以上，得3分；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（1）5个（含）以上，得3分；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（1）3个（含）以上，得3分；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Merge w:val="restart"/>
            <w:tcBorders>
              <w:tl2br w:val="nil"/>
              <w:tr2bl w:val="nil"/>
            </w:tcBorders>
            <w:vAlign w:val="center"/>
          </w:tcPr>
          <w:p>
            <w:pPr>
              <w:numPr>
                <w:ilvl w:val="0"/>
                <w:numId w:val="0"/>
              </w:num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《医疗机构执业许可证》、或设置批复文件</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eastAsia="宋体"/>
                <w:color w:val="000000" w:themeColor="text1"/>
                <w:lang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（2）11个至14个，得2分；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（2）4个至5个，得2分；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（2）4个，得2分；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（2）2个，得2分；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（3）6个至10个，得1分。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（3）2个至3个，得1分。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（3）3个，得1分。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（3）1个，得1分。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医保药品种数</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（1）1800种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1.中药饮片不计算在内；非医保药品不计算在内。中医、中西医结合医疗机构，中药饮片计算在内；</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2.提供医保药品种数清单</w:t>
            </w:r>
            <w:r>
              <w:rPr>
                <w:rFonts w:hint="eastAsia" w:ascii="宋体" w:hAnsi="宋体"/>
                <w:color w:val="000000" w:themeColor="text1"/>
                <w:lang w:eastAsia="zh-CN"/>
                <w14:textFill>
                  <w14:solidFill>
                    <w14:schemeClr w14:val="tx1"/>
                  </w14:solidFill>
                </w14:textFill>
              </w:rPr>
              <w:t>（见附件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3.不同规格、不同剂型的药品，各算一种。相同通用名称、剂型、规格的药品，不同生产厂家，只算一个品种。比如阿莫西林片剂0.5克，阿莫西林胶囊0.5克，是两个品种；阿莫西林胶囊0.25克、0.5克，是两个品种；阿莫西林胶囊0.25克，无论是哪个厂家生产的，都只算0.25克阿莫西林胶囊这一个品种；</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4.规格是指药品说明书上的规格，不是“包装规格”，如药品说明书上“规格”都是0.5克的阿莫西林胶囊，无论是12粒包装、24粒包装、36粒包装，都是0.5克的同一个规格；</w:t>
            </w:r>
          </w:p>
          <w:p>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5.口腔专科诊所需提供的医保药品品种数为：（1）50种（含）以上，得3分；（2)21至50种，得2分；(3)10种（含）以内，得1分；</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eastAsia="zh-CN"/>
                <w14:textFill>
                  <w14:solidFill>
                    <w14:schemeClr w14:val="tx1"/>
                  </w14:solidFill>
                </w14:textFill>
              </w:rPr>
              <w:t>实地评估时，</w:t>
            </w:r>
            <w:r>
              <w:rPr>
                <w:rFonts w:hint="eastAsia" w:ascii="宋体" w:hAnsi="宋体"/>
                <w:color w:val="000000" w:themeColor="text1"/>
                <w14:textFill>
                  <w14:solidFill>
                    <w14:schemeClr w14:val="tx1"/>
                  </w14:solidFill>
                </w14:textFill>
              </w:rPr>
              <w:t>根据提供的药品清单</w:t>
            </w:r>
            <w:r>
              <w:rPr>
                <w:rFonts w:hint="eastAsia" w:ascii="宋体" w:hAnsi="宋体"/>
                <w:color w:val="000000" w:themeColor="text1"/>
                <w:lang w:eastAsia="zh-CN"/>
                <w14:textFill>
                  <w14:solidFill>
                    <w14:schemeClr w14:val="tx1"/>
                  </w14:solidFill>
                </w14:textFill>
              </w:rPr>
              <w:t>在信息系统及药房中</w:t>
            </w:r>
            <w:r>
              <w:rPr>
                <w:rFonts w:hint="eastAsia" w:ascii="宋体" w:hAnsi="宋体"/>
                <w:color w:val="000000" w:themeColor="text1"/>
                <w14:textFill>
                  <w14:solidFill>
                    <w14:schemeClr w14:val="tx1"/>
                  </w14:solidFill>
                </w14:textFill>
              </w:rPr>
              <w:t>进行</w:t>
            </w:r>
            <w:r>
              <w:rPr>
                <w:rFonts w:hint="eastAsia" w:ascii="宋体" w:hAnsi="宋体"/>
                <w:color w:val="000000" w:themeColor="text1"/>
                <w:lang w:eastAsia="zh-CN"/>
                <w14:textFill>
                  <w14:solidFill>
                    <w14:schemeClr w14:val="tx1"/>
                  </w14:solidFill>
                </w14:textFill>
              </w:rPr>
              <w:t>核</w:t>
            </w:r>
            <w:r>
              <w:rPr>
                <w:rFonts w:hint="eastAsia" w:ascii="宋体" w:hAnsi="宋体"/>
                <w:color w:val="000000" w:themeColor="text1"/>
                <w14:textFill>
                  <w14:solidFill>
                    <w14:schemeClr w14:val="tx1"/>
                  </w14:solidFill>
                </w14:textFill>
              </w:rPr>
              <w:t>查，</w:t>
            </w:r>
            <w:r>
              <w:rPr>
                <w:rFonts w:hint="eastAsia" w:ascii="宋体" w:hAnsi="宋体"/>
                <w:color w:val="000000" w:themeColor="text1"/>
                <w:lang w:eastAsia="zh-CN"/>
                <w14:textFill>
                  <w14:solidFill>
                    <w14:schemeClr w14:val="tx1"/>
                  </w14:solidFill>
                </w14:textFill>
              </w:rPr>
              <w:t>核查申报资料的真实性，</w:t>
            </w:r>
            <w:r>
              <w:rPr>
                <w:rFonts w:hint="eastAsia" w:ascii="宋体" w:hAnsi="宋体"/>
                <w:color w:val="000000" w:themeColor="text1"/>
                <w14:textFill>
                  <w14:solidFill>
                    <w14:schemeClr w14:val="tx1"/>
                  </w14:solidFill>
                </w14:textFill>
              </w:rPr>
              <w:t>以防止虚报</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（2）1201种至1800种，得2分；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（2）201至300种，得2分；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（2）51至100种，得2分；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（2）51至100种，得2分；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（3）800种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至1200种，得1分。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6</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诊疗项目种数</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（1）1200种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提供诊疗项目清单</w:t>
            </w:r>
            <w:r>
              <w:rPr>
                <w:rFonts w:hint="eastAsia" w:ascii="宋体" w:hAnsi="宋体"/>
                <w:color w:val="000000" w:themeColor="text1"/>
                <w:lang w:eastAsia="zh-CN"/>
                <w14:textFill>
                  <w14:solidFill>
                    <w14:schemeClr w14:val="tx1"/>
                  </w14:solidFill>
                </w14:textFill>
              </w:rPr>
              <w:t>（见附件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2.实地评估时，根据</w:t>
            </w:r>
            <w:r>
              <w:rPr>
                <w:rFonts w:hint="eastAsia" w:ascii="宋体" w:hAnsi="宋体"/>
                <w:color w:val="000000" w:themeColor="text1"/>
                <w14:textFill>
                  <w14:solidFill>
                    <w14:schemeClr w14:val="tx1"/>
                  </w14:solidFill>
                </w14:textFill>
              </w:rPr>
              <w:t>提供的</w:t>
            </w:r>
            <w:r>
              <w:rPr>
                <w:rFonts w:hint="eastAsia" w:ascii="宋体" w:hAnsi="宋体"/>
                <w:color w:val="000000" w:themeColor="text1"/>
                <w:lang w:eastAsia="zh-CN"/>
                <w14:textFill>
                  <w14:solidFill>
                    <w14:schemeClr w14:val="tx1"/>
                  </w14:solidFill>
                </w14:textFill>
              </w:rPr>
              <w:t>诊疗项目</w:t>
            </w:r>
            <w:r>
              <w:rPr>
                <w:rFonts w:hint="eastAsia" w:ascii="宋体" w:hAnsi="宋体"/>
                <w:color w:val="000000" w:themeColor="text1"/>
                <w14:textFill>
                  <w14:solidFill>
                    <w14:schemeClr w14:val="tx1"/>
                  </w14:solidFill>
                </w14:textFill>
              </w:rPr>
              <w:t>清单进行</w:t>
            </w:r>
            <w:r>
              <w:rPr>
                <w:rFonts w:hint="eastAsia" w:ascii="宋体" w:hAnsi="宋体"/>
                <w:color w:val="000000" w:themeColor="text1"/>
                <w:lang w:eastAsia="zh-CN"/>
                <w14:textFill>
                  <w14:solidFill>
                    <w14:schemeClr w14:val="tx1"/>
                  </w14:solidFill>
                </w14:textFill>
              </w:rPr>
              <w:t>核</w:t>
            </w:r>
            <w:r>
              <w:rPr>
                <w:rFonts w:hint="eastAsia" w:ascii="宋体" w:hAnsi="宋体"/>
                <w:color w:val="000000" w:themeColor="text1"/>
                <w14:textFill>
                  <w14:solidFill>
                    <w14:schemeClr w14:val="tx1"/>
                  </w14:solidFill>
                </w14:textFill>
              </w:rPr>
              <w:t>查</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eastAsia="zh-CN"/>
                <w14:textFill>
                  <w14:solidFill>
                    <w14:schemeClr w14:val="tx1"/>
                  </w14:solidFill>
                </w14:textFill>
              </w:rPr>
              <w:t>核查申报资料的真实性，</w:t>
            </w:r>
            <w:r>
              <w:rPr>
                <w:rFonts w:hint="eastAsia" w:ascii="宋体" w:hAnsi="宋体"/>
                <w:color w:val="000000" w:themeColor="text1"/>
                <w14:textFill>
                  <w14:solidFill>
                    <w14:schemeClr w14:val="tx1"/>
                  </w14:solidFill>
                </w14:textFill>
              </w:rPr>
              <w:t>以防止虚报</w:t>
            </w:r>
            <w:r>
              <w:rPr>
                <w:rFonts w:hint="eastAsia" w:ascii="宋体" w:hAnsi="宋体"/>
                <w:color w:val="000000" w:themeColor="text1"/>
                <w:lang w:eastAsia="zh-CN"/>
                <w14:textFill>
                  <w14:solidFill>
                    <w14:schemeClr w14:val="tx1"/>
                  </w14:solidFill>
                </w14:textFill>
              </w:rPr>
              <w:t>。</w:t>
            </w:r>
          </w:p>
          <w:p>
            <w:pPr>
              <w:numPr>
                <w:ilvl w:val="0"/>
                <w:numId w:val="0"/>
              </w:numPr>
              <w:jc w:val="left"/>
              <w:rPr>
                <w:rFonts w:hint="eastAsia" w:ascii="宋体" w:hAnsi="宋体" w:eastAsia="宋体"/>
                <w:color w:val="000000" w:themeColor="text1"/>
                <w:lang w:eastAsia="zh-CN"/>
                <w14:textFill>
                  <w14:solidFill>
                    <w14:schemeClr w14:val="tx1"/>
                  </w14:solidFill>
                </w14:textFill>
              </w:rPr>
            </w:pPr>
          </w:p>
          <w:p>
            <w:pPr>
              <w:jc w:val="left"/>
              <w:rPr>
                <w:rFonts w:hint="eastAsia" w:ascii="宋体" w:hAnsi="宋体" w:eastAsia="宋体"/>
                <w:color w:val="000000" w:themeColor="text1"/>
                <w:lang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（2）801种至1200种，得2分；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（2）101种至150种，得2分；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（2）21种至50种，得2分；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（2）21种至50种，得2分；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至800种，得1分。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7</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第一</w:t>
            </w:r>
            <w:r>
              <w:rPr>
                <w:rFonts w:hint="eastAsia" w:ascii="宋体" w:hAnsi="宋体"/>
                <w:color w:val="000000" w:themeColor="text1"/>
                <w14:textFill>
                  <w14:solidFill>
                    <w14:schemeClr w14:val="tx1"/>
                  </w14:solidFill>
                </w14:textFill>
              </w:rPr>
              <w:t>注册</w:t>
            </w:r>
            <w:r>
              <w:rPr>
                <w:rFonts w:hint="eastAsia" w:ascii="宋体" w:hAnsi="宋体"/>
                <w:color w:val="000000" w:themeColor="text1"/>
                <w:lang w:eastAsia="zh-CN"/>
                <w14:textFill>
                  <w14:solidFill>
                    <w14:schemeClr w14:val="tx1"/>
                  </w14:solidFill>
                </w14:textFill>
              </w:rPr>
              <w:t>地</w:t>
            </w:r>
            <w:r>
              <w:rPr>
                <w:rFonts w:hint="eastAsia" w:ascii="宋体" w:hAnsi="宋体"/>
                <w:color w:val="000000" w:themeColor="text1"/>
                <w14:textFill>
                  <w14:solidFill>
                    <w14:schemeClr w14:val="tx1"/>
                  </w14:solidFill>
                </w14:textFill>
              </w:rPr>
              <w:t>在本医疗机构、在本医疗机构专职上班且在本机构参加城镇职工医疗保险的执业医师人数</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（1）50人（含）以上，得3分；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（1）20人（含）以上，得3分；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（1）10人（含）以上，得3分；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（1）3人（含）及以上，得3分；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执业医师注册证</w:t>
            </w:r>
            <w:r>
              <w:rPr>
                <w:rFonts w:hint="eastAsia" w:ascii="宋体" w:hAnsi="宋体"/>
                <w:color w:val="000000" w:themeColor="text1"/>
                <w:lang w:eastAsia="zh-CN"/>
                <w14:textFill>
                  <w14:solidFill>
                    <w14:schemeClr w14:val="tx1"/>
                  </w14:solidFill>
                </w14:textFill>
              </w:rPr>
              <w:t>，员工劳动合同</w:t>
            </w:r>
            <w:r>
              <w:rPr>
                <w:rFonts w:hint="eastAsia" w:ascii="宋体" w:hAnsi="宋体"/>
                <w:color w:val="000000" w:themeColor="text1"/>
                <w14:textFill>
                  <w14:solidFill>
                    <w14:schemeClr w14:val="tx1"/>
                  </w14:solidFill>
                </w14:textFill>
              </w:rPr>
              <w:t>，第一注册地</w:t>
            </w:r>
            <w:r>
              <w:rPr>
                <w:rFonts w:hint="eastAsia" w:ascii="宋体" w:hAnsi="宋体"/>
                <w:color w:val="000000" w:themeColor="text1"/>
                <w:lang w:eastAsia="zh-CN"/>
                <w14:textFill>
                  <w14:solidFill>
                    <w14:schemeClr w14:val="tx1"/>
                  </w14:solidFill>
                </w14:textFill>
              </w:rPr>
              <w:t>必须</w:t>
            </w:r>
            <w:r>
              <w:rPr>
                <w:rFonts w:hint="eastAsia" w:ascii="宋体" w:hAnsi="宋体"/>
                <w:color w:val="000000" w:themeColor="text1"/>
                <w14:textFill>
                  <w14:solidFill>
                    <w14:schemeClr w14:val="tx1"/>
                  </w14:solidFill>
                </w14:textFill>
              </w:rPr>
              <w:t>在本医疗机构，注册在其他单位的不认可；</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 xml:space="preserve"> 2.乡村医生、中医（专长）医师计算在内，但要第一注册地点</w:t>
            </w:r>
            <w:r>
              <w:rPr>
                <w:rFonts w:hint="eastAsia" w:ascii="宋体" w:hAnsi="宋体"/>
                <w:color w:val="000000" w:themeColor="text1"/>
                <w:lang w:eastAsia="zh-CN"/>
                <w14:textFill>
                  <w14:solidFill>
                    <w14:schemeClr w14:val="tx1"/>
                  </w14:solidFill>
                </w14:textFill>
              </w:rPr>
              <w:t>必须</w:t>
            </w:r>
            <w:r>
              <w:rPr>
                <w:rFonts w:hint="eastAsia" w:ascii="宋体" w:hAnsi="宋体"/>
                <w:color w:val="000000" w:themeColor="text1"/>
                <w14:textFill>
                  <w14:solidFill>
                    <w14:schemeClr w14:val="tx1"/>
                  </w14:solidFill>
                </w14:textFill>
              </w:rPr>
              <w:t>在本医疗机构</w:t>
            </w:r>
            <w:r>
              <w:rPr>
                <w:rFonts w:hint="eastAsia" w:ascii="宋体" w:hAnsi="宋体"/>
                <w:color w:val="000000" w:themeColor="text1"/>
                <w:lang w:eastAsia="zh-CN"/>
                <w14:textFill>
                  <w14:solidFill>
                    <w14:schemeClr w14:val="tx1"/>
                  </w14:solidFill>
                </w14:textFill>
              </w:rPr>
              <w:t>，提供可以证明注册地点的相关资料；</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专科机构的执业医师必须是具有相同专业的执业医师</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4.现场核查提供证件的原件；</w:t>
            </w:r>
          </w:p>
          <w:p>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5.少于1名注册在本机构的执业医生，直接认定为不合格。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（2）21人（含）至50人，得2分；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（2）11人（含）至20人，得2分；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（2）6人（含）至10人，得2分；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（2）2人</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3）10</w:t>
            </w:r>
            <w:r>
              <w:rPr>
                <w:rFonts w:hint="eastAsia" w:ascii="宋体" w:hAnsi="宋体"/>
                <w:color w:val="000000" w:themeColor="text1"/>
                <w:lang w:eastAsia="zh-CN"/>
                <w14:textFill>
                  <w14:solidFill>
                    <w14:schemeClr w14:val="tx1"/>
                  </w14:solidFill>
                </w14:textFill>
              </w:rPr>
              <w:t>人</w:t>
            </w:r>
            <w:r>
              <w:rPr>
                <w:rFonts w:hint="eastAsia" w:ascii="宋体" w:hAnsi="宋体"/>
                <w:color w:val="000000" w:themeColor="text1"/>
                <w14:textFill>
                  <w14:solidFill>
                    <w14:schemeClr w14:val="tx1"/>
                  </w14:solidFill>
                </w14:textFill>
              </w:rPr>
              <w:t>（含）</w:t>
            </w:r>
            <w:r>
              <w:rPr>
                <w:rFonts w:hint="eastAsia" w:ascii="宋体" w:hAnsi="宋体"/>
                <w:color w:val="000000" w:themeColor="text1"/>
                <w14:textFill>
                  <w14:solidFill>
                    <w14:schemeClr w14:val="tx1"/>
                  </w14:solidFill>
                </w14:textFill>
              </w:rPr>
              <w:t>至20人，得1分。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（3）10人（含）以内，得1分。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（3）1人（含）至5人，得1分。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（3）1人</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8</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注册在本医疗机构、在本医疗机构专职上班且在本机构参加城镇职工医疗保险的执业药师(或药师)人数</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（1）10人（含）以上，得3分；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（1）6人（含）以上，得3分；</w:t>
            </w:r>
          </w:p>
        </w:tc>
        <w:tc>
          <w:tcPr>
            <w:tcW w:w="1839"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不作考核，得3分</w:t>
            </w:r>
          </w:p>
        </w:tc>
        <w:tc>
          <w:tcPr>
            <w:tcW w:w="1846"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不作考核，得3分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numPr>
                <w:ilvl w:val="0"/>
                <w:numId w:val="1"/>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执业药师注册证或药师专业技术资格证，</w:t>
            </w:r>
            <w:r>
              <w:rPr>
                <w:rFonts w:hint="eastAsia" w:ascii="宋体" w:hAnsi="宋体"/>
                <w:color w:val="000000" w:themeColor="text1"/>
                <w:lang w:eastAsia="zh-CN"/>
                <w14:textFill>
                  <w14:solidFill>
                    <w14:schemeClr w14:val="tx1"/>
                  </w14:solidFill>
                </w14:textFill>
              </w:rPr>
              <w:t>和劳动合同</w:t>
            </w:r>
            <w:r>
              <w:rPr>
                <w:rFonts w:hint="eastAsia" w:ascii="宋体" w:hAnsi="宋体"/>
                <w:color w:val="000000" w:themeColor="text1"/>
                <w14:textFill>
                  <w14:solidFill>
                    <w14:schemeClr w14:val="tx1"/>
                  </w14:solidFill>
                </w14:textFill>
              </w:rPr>
              <w:t>，必须注册在本医疗机构，注册在其他单位不认可</w:t>
            </w:r>
            <w:r>
              <w:rPr>
                <w:rFonts w:hint="eastAsia" w:ascii="宋体" w:hAnsi="宋体"/>
                <w:color w:val="000000" w:themeColor="text1"/>
                <w:lang w:eastAsia="zh-CN"/>
                <w14:textFill>
                  <w14:solidFill>
                    <w14:schemeClr w14:val="tx1"/>
                  </w14:solidFill>
                </w14:textFill>
              </w:rPr>
              <w:t>；</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无执业药师注册证</w:t>
            </w:r>
            <w:bookmarkStart w:id="0" w:name="_GoBack"/>
            <w:bookmarkEnd w:id="0"/>
            <w:r>
              <w:rPr>
                <w:rFonts w:hint="eastAsia" w:ascii="宋体" w:hAnsi="宋体"/>
                <w:color w:val="000000" w:themeColor="text1"/>
                <w14:textFill>
                  <w14:solidFill>
                    <w14:schemeClr w14:val="tx1"/>
                  </w14:solidFill>
                </w14:textFill>
              </w:rPr>
              <w:t>的，提供药师专业技术资格证</w:t>
            </w:r>
            <w:r>
              <w:rPr>
                <w:rFonts w:hint="eastAsia" w:ascii="宋体" w:hAnsi="宋体"/>
                <w:color w:val="000000" w:themeColor="text1"/>
                <w:lang w:eastAsia="zh-CN"/>
                <w14:textFill>
                  <w14:solidFill>
                    <w14:schemeClr w14:val="tx1"/>
                  </w14:solidFill>
                </w14:textFill>
              </w:rPr>
              <w:t>；</w:t>
            </w:r>
          </w:p>
          <w:p>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3.现场核查提供证件的原件。</w:t>
            </w:r>
          </w:p>
          <w:p>
            <w:pPr>
              <w:numPr>
                <w:ilvl w:val="0"/>
                <w:numId w:val="0"/>
              </w:numPr>
              <w:jc w:val="left"/>
              <w:rPr>
                <w:rFonts w:hint="eastAsia" w:ascii="宋体" w:hAnsi="宋体"/>
                <w:color w:val="000000" w:themeColor="text1"/>
                <w:lang w:eastAsia="zh-CN"/>
                <w14:textFill>
                  <w14:solidFill>
                    <w14:schemeClr w14:val="tx1"/>
                  </w14:solidFill>
                </w14:textFill>
              </w:rPr>
            </w:pP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（2）6人（含）至9人，得2分；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（2）4人至5人，得2分；</w:t>
            </w:r>
          </w:p>
        </w:tc>
        <w:tc>
          <w:tcPr>
            <w:tcW w:w="1839"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（3）3人至5人（含），得1分。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（3）2人至3人（含），得1分。</w:t>
            </w:r>
          </w:p>
        </w:tc>
        <w:tc>
          <w:tcPr>
            <w:tcW w:w="1839"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9</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医疗业务用房面积</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（1）10000平米（含）以上，得4分；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（1）5000平米（含）以上，得4分；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（1）1000平米（含）以上，得4分；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（1）300平米（含）以上，得4分；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Merge w:val="restart"/>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建筑规划平面图、房屋产权证、租赁合同等</w:t>
            </w:r>
            <w:r>
              <w:rPr>
                <w:rFonts w:hint="eastAsia" w:ascii="宋体" w:hAnsi="宋体"/>
                <w:color w:val="000000" w:themeColor="text1"/>
                <w:lang w:eastAsia="zh-CN"/>
                <w14:textFill>
                  <w14:solidFill>
                    <w14:schemeClr w14:val="tx1"/>
                  </w14:solidFill>
                </w14:textFill>
              </w:rPr>
              <w:t>相关证明资料。</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实地评估时，现场测量面积</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（2）5001平米至10000平米，得3分；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（2）3001平米至5000平米，得3分；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（2）501平米至1000平米，得3分；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（2）201平米至300平米，得3分；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（3）3001平米至5000平米，2分。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（3）2001平米至3000平米，得2分；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（3）301平米至500平米，得2分；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（3）101平米至200平米，得2分；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（4）2000平米（含）至3000平米，得1分。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（4）1500平米</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至2000平米，得1分。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（4）200平米（含）至300平米，得1分。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（4）50平米（含）至100平米，得1分。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10</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核定病床数量（</w:t>
            </w:r>
            <w:r>
              <w:rPr>
                <w:rFonts w:hint="eastAsia" w:ascii="宋体" w:hAnsi="宋体"/>
                <w:color w:val="000000" w:themeColor="text1"/>
                <w14:textFill>
                  <w14:solidFill>
                    <w14:schemeClr w14:val="tx1"/>
                  </w14:solidFill>
                </w14:textFill>
              </w:rPr>
              <w:t>门诊医疗机构不评估）</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（1）200张（含）以上，得4分；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（1）100张（含）以上，得4分；</w:t>
            </w:r>
          </w:p>
        </w:tc>
        <w:tc>
          <w:tcPr>
            <w:tcW w:w="1839"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1846"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《医疗机构执业许可证》</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（2）101张至200张，得3分；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（2）51张至100张，得3分；</w:t>
            </w:r>
          </w:p>
        </w:tc>
        <w:tc>
          <w:tcPr>
            <w:tcW w:w="1839"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（3）51张至100张，得2分；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（3）21张至50张，得2分；</w:t>
            </w:r>
          </w:p>
        </w:tc>
        <w:tc>
          <w:tcPr>
            <w:tcW w:w="1839"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（4）20张（含）</w:t>
            </w:r>
            <w:r>
              <w:rPr>
                <w:rFonts w:hint="eastAsia" w:ascii="宋体" w:hAnsi="宋体"/>
                <w:color w:val="000000" w:themeColor="text1"/>
                <w14:textFill>
                  <w14:solidFill>
                    <w14:schemeClr w14:val="tx1"/>
                  </w14:solidFill>
                </w14:textFill>
              </w:rPr>
              <w:t>至</w:t>
            </w:r>
            <w:r>
              <w:rPr>
                <w:rFonts w:hint="eastAsia" w:ascii="宋体" w:hAnsi="宋体"/>
                <w:color w:val="000000" w:themeColor="text1"/>
                <w:lang w:val="en-US" w:eastAsia="zh-CN"/>
                <w14:textFill>
                  <w14:solidFill>
                    <w14:schemeClr w14:val="tx1"/>
                  </w14:solidFill>
                </w14:textFill>
              </w:rPr>
              <w:t>50</w:t>
            </w:r>
            <w:r>
              <w:rPr>
                <w:rFonts w:hint="eastAsia" w:ascii="宋体" w:hAnsi="宋体"/>
                <w:color w:val="000000" w:themeColor="text1"/>
                <w14:textFill>
                  <w14:solidFill>
                    <w14:schemeClr w14:val="tx1"/>
                  </w14:solidFill>
                </w14:textFill>
              </w:rPr>
              <w:t>张</w:t>
            </w:r>
            <w:r>
              <w:rPr>
                <w:rFonts w:hint="eastAsia" w:ascii="宋体" w:hAnsi="宋体"/>
                <w:color w:val="000000" w:themeColor="text1"/>
                <w14:textFill>
                  <w14:solidFill>
                    <w14:schemeClr w14:val="tx1"/>
                  </w14:solidFill>
                </w14:textFill>
              </w:rPr>
              <w:t>，得1分。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（4）10张（含）至20张，得1分。</w:t>
            </w:r>
          </w:p>
        </w:tc>
        <w:tc>
          <w:tcPr>
            <w:tcW w:w="1839"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w:t>
            </w:r>
          </w:p>
        </w:tc>
        <w:tc>
          <w:tcPr>
            <w:tcW w:w="724"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价格收费（住院21分、门诊17分）</w:t>
            </w:r>
          </w:p>
        </w:tc>
        <w:tc>
          <w:tcPr>
            <w:tcW w:w="810" w:type="dxa"/>
            <w:vMerge w:val="restart"/>
            <w:tcBorders>
              <w:tl2br w:val="nil"/>
              <w:tr2bl w:val="nil"/>
            </w:tcBorders>
            <w:vAlign w:val="center"/>
          </w:tcPr>
          <w:p>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药品</w:t>
            </w:r>
          </w:p>
          <w:p>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价格</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提供医保药品种数清单</w:t>
            </w:r>
            <w:r>
              <w:rPr>
                <w:rFonts w:hint="eastAsia" w:ascii="宋体" w:hAnsi="宋体"/>
                <w:color w:val="000000" w:themeColor="text1"/>
                <w:lang w:eastAsia="zh-CN"/>
                <w14:textFill>
                  <w14:solidFill>
                    <w14:schemeClr w14:val="tx1"/>
                  </w14:solidFill>
                </w14:textFill>
              </w:rPr>
              <w:t>并标明价格、规格及厂商等（见附件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2.实地评估时，现场抽查医保药品，与国家医保信息平台药品招标采购子系统确定的公立医院销售价格进行比较。</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96"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检查治疗收费</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提供诊疗项目清单</w:t>
            </w:r>
            <w:r>
              <w:rPr>
                <w:rFonts w:hint="eastAsia" w:ascii="宋体" w:hAnsi="宋体"/>
                <w:color w:val="000000" w:themeColor="text1"/>
                <w:lang w:eastAsia="zh-CN"/>
                <w14:textFill>
                  <w14:solidFill>
                    <w14:schemeClr w14:val="tx1"/>
                  </w14:solidFill>
                </w14:textFill>
              </w:rPr>
              <w:t>并注明价格等（见附件</w:t>
            </w:r>
            <w:r>
              <w:rPr>
                <w:rFonts w:hint="eastAsia" w:ascii="宋体" w:hAnsi="宋体"/>
                <w:color w:val="000000" w:themeColor="text1"/>
                <w:lang w:val="en-US" w:eastAsia="zh-CN"/>
                <w14:textFill>
                  <w14:solidFill>
                    <w14:schemeClr w14:val="tx1"/>
                  </w14:solidFill>
                </w14:textFill>
              </w:rPr>
              <w:t>8）；</w:t>
            </w:r>
          </w:p>
          <w:p>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2.实地评估时，现场抽查诊疗项目，与医疗服务价格主管部门确定的检查治疗收费价格进行比较。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次均住院费用</w:t>
            </w:r>
            <w:r>
              <w:rPr>
                <w:rFonts w:hint="eastAsia" w:ascii="宋体" w:hAnsi="宋体"/>
                <w:color w:val="000000" w:themeColor="text1"/>
                <w14:textFill>
                  <w14:solidFill>
                    <w14:schemeClr w14:val="tx1"/>
                  </w14:solidFill>
                </w14:textFill>
              </w:rPr>
              <w:t>（门诊医疗机构不评估）</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上一年度次均住院费用与统筹地区上一年度同级别医疗机构医保次均住院费用相比，85%（含）以下的得4分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90%-100%的得2分。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上一年度次均住院费用与统筹地区上一年度同级别医疗机构医保次均住院费用相比，85%（含）以下的得4分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90%-100%的得2分。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572" w:type="dxa"/>
            <w:tcBorders>
              <w:tl2br w:val="nil"/>
              <w:tr2bl w:val="nil"/>
            </w:tcBorders>
            <w:vAlign w:val="center"/>
          </w:tcPr>
          <w:p>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val="en-US" w:eastAsia="zh-CN"/>
                <w14:textFill>
                  <w14:solidFill>
                    <w14:schemeClr w14:val="tx1"/>
                  </w14:solidFill>
                </w14:textFill>
              </w:rPr>
              <w:t>和实地查看</w:t>
            </w:r>
          </w:p>
        </w:tc>
        <w:tc>
          <w:tcPr>
            <w:tcW w:w="5153"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1.提供</w:t>
            </w:r>
            <w:r>
              <w:rPr>
                <w:rFonts w:hint="eastAsia" w:ascii="宋体" w:hAnsi="宋体"/>
                <w:color w:val="000000" w:themeColor="text1"/>
                <w:lang w:eastAsia="zh-CN"/>
                <w14:textFill>
                  <w14:solidFill>
                    <w14:schemeClr w14:val="tx1"/>
                  </w14:solidFill>
                </w14:textFill>
              </w:rPr>
              <w:t>可证明</w:t>
            </w:r>
            <w:r>
              <w:rPr>
                <w:rFonts w:hint="eastAsia" w:ascii="宋体" w:hAnsi="宋体"/>
                <w:color w:val="000000" w:themeColor="text1"/>
                <w14:textFill>
                  <w14:solidFill>
                    <w14:schemeClr w14:val="tx1"/>
                  </w14:solidFill>
                </w14:textFill>
              </w:rPr>
              <w:t>上一年度次均住院费用</w:t>
            </w:r>
            <w:r>
              <w:rPr>
                <w:rFonts w:hint="eastAsia" w:ascii="宋体" w:hAnsi="宋体"/>
                <w:color w:val="000000" w:themeColor="text1"/>
                <w:lang w:eastAsia="zh-CN"/>
                <w14:textFill>
                  <w14:solidFill>
                    <w14:schemeClr w14:val="tx1"/>
                  </w14:solidFill>
                </w14:textFill>
              </w:rPr>
              <w:t>的相关资料及报表数据；</w:t>
            </w:r>
          </w:p>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运营时间不足一年的医疗机构提供运营期间次均住院费用</w:t>
            </w:r>
            <w:r>
              <w:rPr>
                <w:rFonts w:hint="eastAsia" w:ascii="宋体" w:hAnsi="宋体"/>
                <w:color w:val="000000" w:themeColor="text1"/>
                <w:lang w:eastAsia="zh-CN"/>
                <w14:textFill>
                  <w14:solidFill>
                    <w14:schemeClr w14:val="tx1"/>
                  </w14:solidFill>
                </w14:textFill>
              </w:rPr>
              <w:t>的证明资料；</w:t>
            </w:r>
          </w:p>
          <w:p>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3.实地评估时，根据佐证材料调取系统数据及查看财务报表等方式核查申报资料的真实性。</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14</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次均门诊费用</w:t>
            </w:r>
          </w:p>
        </w:tc>
        <w:tc>
          <w:tcPr>
            <w:tcW w:w="630" w:type="dxa"/>
            <w:tcBorders>
              <w:tl2br w:val="nil"/>
              <w:tr2bl w:val="nil"/>
            </w:tcBorders>
            <w:vAlign w:val="center"/>
          </w:tcPr>
          <w:p>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上一年度次均门诊费用与统筹地区上一年度同级别医疗机构医保次均门诊费用相比，85%（含）以下得4分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90%-94%的得2分；95%-100%的得1分。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上一年度次均门诊费用与统筹地区上一年度同级别医疗机构医保次均门诊费用相比，85%（含）以下得4分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90%-94%的得2分；95%-100%的得1分。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90%-94%的得2分；95%-100%的得1分。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w:t>
            </w:r>
            <w:r>
              <w:rPr>
                <w:rFonts w:hint="eastAsia" w:ascii="宋体" w:hAnsi="宋体"/>
                <w:color w:val="000000" w:themeColor="text1"/>
                <w:lang w:val="en-US" w:eastAsia="zh-CN"/>
                <w14:textFill>
                  <w14:solidFill>
                    <w14:schemeClr w14:val="tx1"/>
                  </w14:solidFill>
                </w14:textFill>
              </w:rPr>
              <w:t xml:space="preserve">                                                                                                                                                                                                                                                                                                                                                                                                                                                                                                                                                                                                                                                                                                                                                                                                                                                                                                                                                                                                                        </w:t>
            </w:r>
            <w:r>
              <w:rPr>
                <w:rFonts w:hint="eastAsia" w:ascii="宋体" w:hAnsi="宋体"/>
                <w:color w:val="000000" w:themeColor="text1"/>
                <w14:textFill>
                  <w14:solidFill>
                    <w14:schemeClr w14:val="tx1"/>
                  </w14:solidFill>
                </w14:textFill>
              </w:rPr>
              <w:t>95%-100%的得1分。</w:t>
            </w:r>
          </w:p>
        </w:tc>
        <w:tc>
          <w:tcPr>
            <w:tcW w:w="572" w:type="dxa"/>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1.提供</w:t>
            </w:r>
            <w:r>
              <w:rPr>
                <w:rFonts w:hint="eastAsia" w:ascii="宋体" w:hAnsi="宋体"/>
                <w:color w:val="000000" w:themeColor="text1"/>
                <w:lang w:eastAsia="zh-CN"/>
                <w14:textFill>
                  <w14:solidFill>
                    <w14:schemeClr w14:val="tx1"/>
                  </w14:solidFill>
                </w14:textFill>
              </w:rPr>
              <w:t>可证明</w:t>
            </w:r>
            <w:r>
              <w:rPr>
                <w:rFonts w:hint="eastAsia" w:ascii="宋体" w:hAnsi="宋体"/>
                <w:color w:val="000000" w:themeColor="text1"/>
                <w14:textFill>
                  <w14:solidFill>
                    <w14:schemeClr w14:val="tx1"/>
                  </w14:solidFill>
                </w14:textFill>
              </w:rPr>
              <w:t>上一年度次均</w:t>
            </w:r>
            <w:r>
              <w:rPr>
                <w:rFonts w:hint="eastAsia" w:ascii="宋体" w:hAnsi="宋体"/>
                <w:color w:val="000000" w:themeColor="text1"/>
                <w:lang w:eastAsia="zh-CN"/>
                <w14:textFill>
                  <w14:solidFill>
                    <w14:schemeClr w14:val="tx1"/>
                  </w14:solidFill>
                </w14:textFill>
              </w:rPr>
              <w:t>门诊</w:t>
            </w:r>
            <w:r>
              <w:rPr>
                <w:rFonts w:hint="eastAsia" w:ascii="宋体" w:hAnsi="宋体"/>
                <w:color w:val="000000" w:themeColor="text1"/>
                <w14:textFill>
                  <w14:solidFill>
                    <w14:schemeClr w14:val="tx1"/>
                  </w14:solidFill>
                </w14:textFill>
              </w:rPr>
              <w:t>费用</w:t>
            </w:r>
            <w:r>
              <w:rPr>
                <w:rFonts w:hint="eastAsia" w:ascii="宋体" w:hAnsi="宋体"/>
                <w:color w:val="000000" w:themeColor="text1"/>
                <w:lang w:eastAsia="zh-CN"/>
                <w14:textFill>
                  <w14:solidFill>
                    <w14:schemeClr w14:val="tx1"/>
                  </w14:solidFill>
                </w14:textFill>
              </w:rPr>
              <w:t>的相关资料及报表数据；</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运营时间不足一年的医疗机构提供运营期间次均</w:t>
            </w:r>
            <w:r>
              <w:rPr>
                <w:rFonts w:hint="eastAsia" w:ascii="宋体" w:hAnsi="宋体"/>
                <w:color w:val="000000" w:themeColor="text1"/>
                <w:lang w:eastAsia="zh-CN"/>
                <w14:textFill>
                  <w14:solidFill>
                    <w14:schemeClr w14:val="tx1"/>
                  </w14:solidFill>
                </w14:textFill>
              </w:rPr>
              <w:t>门诊</w:t>
            </w:r>
            <w:r>
              <w:rPr>
                <w:rFonts w:hint="eastAsia" w:ascii="宋体" w:hAnsi="宋体"/>
                <w:color w:val="000000" w:themeColor="text1"/>
                <w14:textFill>
                  <w14:solidFill>
                    <w14:schemeClr w14:val="tx1"/>
                  </w14:solidFill>
                </w14:textFill>
              </w:rPr>
              <w:t>费用</w:t>
            </w:r>
            <w:r>
              <w:rPr>
                <w:rFonts w:hint="eastAsia" w:ascii="宋体" w:hAnsi="宋体"/>
                <w:color w:val="000000" w:themeColor="text1"/>
                <w:lang w:eastAsia="zh-CN"/>
                <w14:textFill>
                  <w14:solidFill>
                    <w14:schemeClr w14:val="tx1"/>
                  </w14:solidFill>
                </w14:textFill>
              </w:rPr>
              <w:t>的证明资料；</w:t>
            </w:r>
          </w:p>
          <w:p>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3.实地评估时，根据佐证材料调取系统数据及查看财务报表等方式核查申报资料的真实性。</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费用清单</w:t>
            </w:r>
          </w:p>
        </w:tc>
        <w:tc>
          <w:tcPr>
            <w:tcW w:w="630" w:type="dxa"/>
            <w:tcBorders>
              <w:tl2br w:val="nil"/>
              <w:tr2bl w:val="nil"/>
            </w:tcBorders>
            <w:vAlign w:val="center"/>
          </w:tcPr>
          <w:p>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提供药品、检查、治疗、服务收费清单</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16</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价格信息公示</w:t>
            </w:r>
          </w:p>
        </w:tc>
        <w:tc>
          <w:tcPr>
            <w:tcW w:w="630" w:type="dxa"/>
            <w:tcBorders>
              <w:tl2br w:val="nil"/>
              <w:tr2bl w:val="nil"/>
            </w:tcBorders>
            <w:vAlign w:val="center"/>
          </w:tcPr>
          <w:p>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提供可以证明设立公示屏（牌）及相关信息公示的现场图片；</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17</w:t>
            </w:r>
          </w:p>
        </w:tc>
        <w:tc>
          <w:tcPr>
            <w:tcW w:w="724"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内部管理（住院15分、门诊13分）</w:t>
            </w: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门诊患者抗菌药物使用率</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以下的得2分；抗菌药物使用率在50%至60%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1846" w:type="dxa"/>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以下的得2分；抗菌药物使用率在50%至60%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1839" w:type="dxa"/>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以下的得2分；抗菌药物使用率在50%至60%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1846" w:type="dxa"/>
            <w:tcBorders>
              <w:tl2br w:val="nil"/>
              <w:tr2bl w:val="nil"/>
            </w:tcBorders>
            <w:vAlign w:val="center"/>
          </w:tcPr>
          <w:p>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抽查10份门诊病历，抗菌药物使用率在50%（含）以下的得2分；抗菌药物使用率在50%至60%（含）的得1分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.提供部分门诊病历；</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eastAsia="zh-CN"/>
                <w14:textFill>
                  <w14:solidFill>
                    <w14:schemeClr w14:val="tx1"/>
                  </w14:solidFill>
                </w14:textFill>
              </w:rPr>
              <w:t>根据佐证材料</w:t>
            </w:r>
            <w:r>
              <w:rPr>
                <w:rFonts w:hint="eastAsia" w:ascii="宋体" w:hAnsi="宋体"/>
                <w:color w:val="000000" w:themeColor="text1"/>
                <w14:textFill>
                  <w14:solidFill>
                    <w14:schemeClr w14:val="tx1"/>
                  </w14:solidFill>
                </w14:textFill>
              </w:rPr>
              <w:t>现场抽10份门诊病历，根据抽查的病历中抗菌药物</w:t>
            </w:r>
            <w:r>
              <w:rPr>
                <w:rFonts w:hint="eastAsia" w:ascii="宋体" w:hAnsi="宋体"/>
                <w:color w:val="000000" w:themeColor="text1"/>
                <w:lang w:eastAsia="zh-CN"/>
                <w14:textFill>
                  <w14:solidFill>
                    <w14:schemeClr w14:val="tx1"/>
                  </w14:solidFill>
                </w14:textFill>
              </w:rPr>
              <w:t>计算</w:t>
            </w:r>
            <w:r>
              <w:rPr>
                <w:rFonts w:hint="eastAsia" w:ascii="宋体" w:hAnsi="宋体"/>
                <w:color w:val="000000" w:themeColor="text1"/>
                <w14:textFill>
                  <w14:solidFill>
                    <w14:schemeClr w14:val="tx1"/>
                  </w14:solidFill>
                </w14:textFill>
              </w:rPr>
              <w:t>使用率</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18</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住院患者大型检查阳性率（门诊医疗机构不评估）</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抽查10份住院病历，大型检查阳性率（CT、核磁共振、彩超）在80%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以上的，得2分；大型检查阳性率在70%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至80%的得1分，70%以下不得分。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抽查10份住院病历，大型检查阳性率（CT、核磁共振、彩超）在80%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以上的，得2分；大型检查阳性率在70%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至80%的得1分，70%以下不得分。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.提供部分住院病历；</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eastAsia="zh-CN"/>
                <w14:textFill>
                  <w14:solidFill>
                    <w14:schemeClr w14:val="tx1"/>
                  </w14:solidFill>
                </w14:textFill>
              </w:rPr>
              <w:t>根据佐证材料</w:t>
            </w:r>
            <w:r>
              <w:rPr>
                <w:rFonts w:hint="eastAsia" w:ascii="宋体" w:hAnsi="宋体"/>
                <w:color w:val="000000" w:themeColor="text1"/>
                <w14:textFill>
                  <w14:solidFill>
                    <w14:schemeClr w14:val="tx1"/>
                  </w14:solidFill>
                </w14:textFill>
              </w:rPr>
              <w:t>现场抽10份</w:t>
            </w:r>
            <w:r>
              <w:rPr>
                <w:rFonts w:hint="eastAsia" w:ascii="宋体" w:hAnsi="宋体"/>
                <w:color w:val="000000" w:themeColor="text1"/>
                <w:lang w:eastAsia="zh-CN"/>
                <w14:textFill>
                  <w14:solidFill>
                    <w14:schemeClr w14:val="tx1"/>
                  </w14:solidFill>
                </w14:textFill>
              </w:rPr>
              <w:t>住院</w:t>
            </w:r>
            <w:r>
              <w:rPr>
                <w:rFonts w:hint="eastAsia" w:ascii="宋体" w:hAnsi="宋体"/>
                <w:color w:val="000000" w:themeColor="text1"/>
                <w14:textFill>
                  <w14:solidFill>
                    <w14:schemeClr w14:val="tx1"/>
                  </w14:solidFill>
                </w14:textFill>
              </w:rPr>
              <w:t>病历，根据抽查的病历中</w:t>
            </w:r>
            <w:r>
              <w:rPr>
                <w:rFonts w:hint="eastAsia" w:ascii="宋体" w:hAnsi="宋体"/>
                <w:color w:val="000000" w:themeColor="text1"/>
                <w:lang w:eastAsia="zh-CN"/>
                <w14:textFill>
                  <w14:solidFill>
                    <w14:schemeClr w14:val="tx1"/>
                  </w14:solidFill>
                </w14:textFill>
              </w:rPr>
              <w:t>大型检查报告计算阳性率。</w:t>
            </w:r>
          </w:p>
          <w:p>
            <w:pPr>
              <w:jc w:val="left"/>
              <w:rPr>
                <w:rFonts w:hint="eastAsia" w:ascii="宋体" w:hAnsi="宋体"/>
                <w:color w:val="000000" w:themeColor="text1"/>
                <w:lang w:val="en-US" w:eastAsia="zh-CN"/>
                <w14:textFill>
                  <w14:solidFill>
                    <w14:schemeClr w14:val="tx1"/>
                  </w14:solidFill>
                </w14:textFill>
              </w:rPr>
            </w:pPr>
          </w:p>
          <w:p>
            <w:pPr>
              <w:jc w:val="left"/>
              <w:rPr>
                <w:rFonts w:hint="eastAsia" w:ascii="宋体" w:hAnsi="宋体"/>
                <w:color w:val="000000" w:themeColor="text1"/>
                <w:lang w:val="en-US" w:eastAsia="zh-CN"/>
                <w14:textFill>
                  <w14:solidFill>
                    <w14:schemeClr w14:val="tx1"/>
                  </w14:solidFill>
                </w14:textFill>
              </w:rPr>
            </w:pPr>
          </w:p>
          <w:p>
            <w:pPr>
              <w:jc w:val="left"/>
              <w:rPr>
                <w:rFonts w:hint="eastAsia" w:ascii="宋体" w:hAnsi="宋体"/>
                <w:color w:val="000000" w:themeColor="text1"/>
                <w:lang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19</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医疗保险管理</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1.提供医保管理制度、内部组织管理制度等相关文件资料；</w:t>
            </w:r>
          </w:p>
          <w:p>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2.提供医保管理人员任命文件；</w:t>
            </w:r>
          </w:p>
          <w:p>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3.提供已配备医保设备及办公场所等相关证明资料，如现场图片等；</w:t>
            </w:r>
          </w:p>
          <w:p>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20</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环境卫生管理</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提供可证明评估标准的相关资料，如现场图片等；</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医疗纠纷调解</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建立健全医疗纠纷投诉和处理机构，并有专人负责，公布投诉电话、信箱，畅通投诉渠道，及时受理、处置患者投诉的，得2分。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建立健全医疗纠纷投诉和处理机构，并有专人负责，公布投诉电话、信箱，畅通投诉渠道，及时受理、处置患者投诉的，得2分。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公布投诉电话、信箱，畅通投诉渠道，及时受理、处置患者投诉的，得2分。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公布投诉电话、信箱，畅通投诉渠道，及时受理、处置患者投诉的，得2分。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pPr>
              <w:numPr>
                <w:ilvl w:val="0"/>
                <w:numId w:val="0"/>
              </w:num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w:t>
            </w:r>
            <w:r>
              <w:rPr>
                <w:rFonts w:hint="eastAsia" w:ascii="宋体" w:hAnsi="宋体"/>
                <w:color w:val="000000" w:themeColor="text1"/>
                <w14:textFill>
                  <w14:solidFill>
                    <w14:schemeClr w14:val="tx1"/>
                  </w14:solidFill>
                </w14:textFill>
              </w:rPr>
              <w:t>供</w:t>
            </w:r>
            <w:r>
              <w:rPr>
                <w:rFonts w:hint="eastAsia" w:ascii="宋体" w:hAnsi="宋体"/>
                <w:color w:val="000000" w:themeColor="text1"/>
                <w:lang w:eastAsia="zh-CN"/>
                <w14:textFill>
                  <w14:solidFill>
                    <w14:schemeClr w14:val="tx1"/>
                  </w14:solidFill>
                </w14:textFill>
              </w:rPr>
              <w:t>可证明</w:t>
            </w:r>
            <w:r>
              <w:rPr>
                <w:rFonts w:hint="eastAsia" w:ascii="宋体" w:hAnsi="宋体"/>
                <w:color w:val="000000" w:themeColor="text1"/>
                <w14:textFill>
                  <w14:solidFill>
                    <w14:schemeClr w14:val="tx1"/>
                  </w14:solidFill>
                </w14:textFill>
              </w:rPr>
              <w:t>医患纠纷调解方面的</w:t>
            </w:r>
            <w:r>
              <w:rPr>
                <w:rFonts w:hint="eastAsia" w:ascii="宋体" w:hAnsi="宋体"/>
                <w:color w:val="000000" w:themeColor="text1"/>
                <w:lang w:eastAsia="zh-CN"/>
                <w14:textFill>
                  <w14:solidFill>
                    <w14:schemeClr w14:val="tx1"/>
                  </w14:solidFill>
                </w14:textFill>
              </w:rPr>
              <w:t>资料，如文件制度、现场图片等相关证明资料；</w:t>
            </w:r>
          </w:p>
          <w:p>
            <w:pPr>
              <w:numPr>
                <w:ilvl w:val="0"/>
                <w:numId w:val="0"/>
              </w:num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便民导诊服务</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设立导诊台、触摸屏、指示牌、就医流程、专家姓名和联系方式，方便群众看病就医的，得2分。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设立导诊台、触摸屏、指示牌、就医流程、专家姓名和联系方式，方便群众看病就医的，得2分。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设立指示牌、就医流程、医生姓名和联系方式，方便群众看病就医的，得2分。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设立指示牌、就医流程、医生姓名和联系方式，方便群众看病就医的，得2分。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w:t>
            </w:r>
            <w:r>
              <w:rPr>
                <w:rFonts w:hint="eastAsia" w:ascii="宋体" w:hAnsi="宋体"/>
                <w:color w:val="000000" w:themeColor="text1"/>
                <w:lang w:eastAsia="zh-CN"/>
                <w14:textFill>
                  <w14:solidFill>
                    <w14:schemeClr w14:val="tx1"/>
                  </w14:solidFill>
                </w14:textFill>
              </w:rPr>
              <w:t>可证明开展了</w:t>
            </w:r>
            <w:r>
              <w:rPr>
                <w:rFonts w:hint="eastAsia" w:ascii="宋体" w:hAnsi="宋体"/>
                <w:color w:val="000000" w:themeColor="text1"/>
                <w14:textFill>
                  <w14:solidFill>
                    <w14:schemeClr w14:val="tx1"/>
                  </w14:solidFill>
                </w14:textFill>
              </w:rPr>
              <w:t>便民导诊服务方面的</w:t>
            </w:r>
            <w:r>
              <w:rPr>
                <w:rFonts w:hint="eastAsia" w:ascii="宋体" w:hAnsi="宋体"/>
                <w:color w:val="000000" w:themeColor="text1"/>
                <w:lang w:eastAsia="zh-CN"/>
                <w14:textFill>
                  <w14:solidFill>
                    <w14:schemeClr w14:val="tx1"/>
                  </w14:solidFill>
                </w14:textFill>
              </w:rPr>
              <w:t>相关证明资</w:t>
            </w:r>
            <w:r>
              <w:rPr>
                <w:rFonts w:hint="eastAsia" w:ascii="宋体" w:hAnsi="宋体"/>
                <w:color w:val="000000" w:themeColor="text1"/>
                <w14:textFill>
                  <w14:solidFill>
                    <w14:schemeClr w14:val="tx1"/>
                  </w14:solidFill>
                </w14:textFill>
              </w:rPr>
              <w:t>料</w:t>
            </w:r>
            <w:r>
              <w:rPr>
                <w:rFonts w:hint="eastAsia" w:ascii="宋体" w:hAnsi="宋体"/>
                <w:color w:val="000000" w:themeColor="text1"/>
                <w:lang w:eastAsia="zh-CN"/>
                <w14:textFill>
                  <w14:solidFill>
                    <w14:schemeClr w14:val="tx1"/>
                  </w14:solidFill>
                </w14:textFill>
              </w:rPr>
              <w:t>；</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23</w:t>
            </w:r>
          </w:p>
        </w:tc>
        <w:tc>
          <w:tcPr>
            <w:tcW w:w="724"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财务管理（14分）</w:t>
            </w: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在本机构参加城镇职工医疗保险情况</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572" w:type="dxa"/>
            <w:vMerge w:val="restart"/>
            <w:tcBorders>
              <w:tl2br w:val="nil"/>
              <w:tr2bl w:val="nil"/>
            </w:tcBorders>
            <w:vAlign w:val="center"/>
          </w:tcPr>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pPr>
              <w:numPr>
                <w:ilvl w:val="0"/>
                <w:numId w:val="0"/>
              </w:numPr>
              <w:jc w:val="left"/>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1.提供</w:t>
            </w:r>
            <w:r>
              <w:rPr>
                <w:rFonts w:hint="eastAsia" w:ascii="宋体" w:hAnsi="宋体"/>
                <w:color w:val="000000" w:themeColor="text1"/>
                <w:lang w:eastAsia="zh-CN"/>
                <w14:textFill>
                  <w14:solidFill>
                    <w14:schemeClr w14:val="tx1"/>
                  </w14:solidFill>
                </w14:textFill>
              </w:rPr>
              <w:t>职工花名册（见附件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提供医疗保障部门开具的参保证明，须明确注明职工花名册内每一个员工的参保机构、参保起止时间；</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3.提供职工花名册内的</w:t>
            </w:r>
            <w:r>
              <w:rPr>
                <w:rFonts w:hint="eastAsia" w:ascii="宋体" w:hAnsi="宋体"/>
                <w:color w:val="000000" w:themeColor="text1"/>
                <w:lang w:eastAsia="zh-CN"/>
                <w14:textFill>
                  <w14:solidFill>
                    <w14:schemeClr w14:val="tx1"/>
                  </w14:solidFill>
                </w14:textFill>
              </w:rPr>
              <w:t>员工劳动合同，</w:t>
            </w:r>
            <w:r>
              <w:rPr>
                <w:rFonts w:hint="eastAsia" w:ascii="宋体" w:hAnsi="宋体"/>
                <w:color w:val="000000" w:themeColor="text1"/>
                <w:lang w:eastAsia="zh-CN"/>
                <w14:textFill>
                  <w14:solidFill>
                    <w14:schemeClr w14:val="tx1"/>
                  </w14:solidFill>
                </w14:textFill>
              </w:rPr>
              <w:t>且</w:t>
            </w:r>
            <w:r>
              <w:rPr>
                <w:rFonts w:hint="eastAsia" w:ascii="宋体" w:hAnsi="宋体"/>
                <w:color w:val="000000" w:themeColor="text1"/>
                <w:sz w:val="20"/>
                <w:szCs w:val="20"/>
                <w:lang w:eastAsia="zh-CN"/>
                <w14:textFill>
                  <w14:solidFill>
                    <w14:schemeClr w14:val="tx1"/>
                  </w14:solidFill>
                </w14:textFill>
              </w:rPr>
              <w:t>劳动合同签订时间需与参保时间相符</w:t>
            </w:r>
            <w:r>
              <w:rPr>
                <w:rFonts w:hint="eastAsia" w:ascii="宋体" w:hAnsi="宋体"/>
                <w:color w:val="000000" w:themeColor="text1"/>
                <w:lang w:eastAsia="zh-CN"/>
                <w14:textFill>
                  <w14:solidFill>
                    <w14:schemeClr w14:val="tx1"/>
                  </w14:solidFill>
                </w14:textFill>
              </w:rPr>
              <w:t>；</w:t>
            </w:r>
          </w:p>
          <w:p>
            <w:pPr>
              <w:numPr>
                <w:ilvl w:val="0"/>
                <w:numId w:val="0"/>
              </w:num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4.退休人员计算在花名册内，须提供退休证，或由参保地社保机构开具的离退休人员领取工资证明，或由参保地社保机构提供的离退休人员基本养老金待遇审批表复印件；</w:t>
            </w:r>
          </w:p>
          <w:p>
            <w:pPr>
              <w:jc w:val="left"/>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5.个体诊所、村卫生室的在职员工参加城乡居民医疗保险可计算在内，提供医疗保障部门开具的参保证明，须明确注明参保时间及参保地。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3"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对药品、医用材料的采购、验收、销售等环节、实行计算机实时管理情况</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Merge w:val="restart"/>
            <w:tcBorders>
              <w:tl2br w:val="nil"/>
              <w:tr2bl w:val="nil"/>
            </w:tcBorders>
            <w:vAlign w:val="center"/>
          </w:tcPr>
          <w:p>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提供可证明系统已录入</w:t>
            </w:r>
            <w:r>
              <w:rPr>
                <w:rFonts w:hint="eastAsia" w:ascii="宋体" w:hAnsi="宋体"/>
                <w:color w:val="000000" w:themeColor="text1"/>
                <w14:textFill>
                  <w14:solidFill>
                    <w14:schemeClr w14:val="tx1"/>
                  </w14:solidFill>
                </w14:textFill>
              </w:rPr>
              <w:t>药品、医用材料的采购、验收、销售等环节</w:t>
            </w:r>
            <w:r>
              <w:rPr>
                <w:rFonts w:hint="eastAsia" w:ascii="宋体" w:hAnsi="宋体"/>
                <w:color w:val="000000" w:themeColor="text1"/>
                <w:lang w:eastAsia="zh-CN"/>
                <w14:textFill>
                  <w14:solidFill>
                    <w14:schemeClr w14:val="tx1"/>
                  </w14:solidFill>
                </w14:textFill>
              </w:rPr>
              <w:t>至少</w:t>
            </w:r>
            <w:r>
              <w:rPr>
                <w:rFonts w:hint="eastAsia" w:ascii="宋体" w:hAnsi="宋体"/>
                <w:color w:val="000000" w:themeColor="text1"/>
                <w:lang w:val="en-US" w:eastAsia="zh-CN"/>
                <w14:textFill>
                  <w14:solidFill>
                    <w14:schemeClr w14:val="tx1"/>
                  </w14:solidFill>
                </w14:textFill>
              </w:rPr>
              <w:t>3个月以上数据的证明资料，如系统截屏图片等；</w:t>
            </w:r>
          </w:p>
          <w:p>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2.实地评估时，根据佐证材料进入信息管理系统调取药品、医药耗材</w:t>
            </w:r>
            <w:r>
              <w:rPr>
                <w:rFonts w:hint="eastAsia" w:ascii="宋体" w:hAnsi="宋体"/>
                <w:color w:val="000000" w:themeColor="text1"/>
                <w:sz w:val="20"/>
                <w:szCs w:val="20"/>
                <w:lang w:val="en-US" w:eastAsia="zh-CN"/>
                <w14:textFill>
                  <w14:solidFill>
                    <w14:schemeClr w14:val="tx1"/>
                  </w14:solidFill>
                </w14:textFill>
              </w:rPr>
              <w:t>采购、验收、销售相关数据进行确认</w:t>
            </w:r>
            <w:r>
              <w:rPr>
                <w:rFonts w:hint="eastAsia" w:ascii="宋体" w:hAnsi="宋体"/>
                <w:color w:val="000000" w:themeColor="text1"/>
                <w:lang w:val="en-US" w:eastAsia="zh-CN"/>
                <w14:textFill>
                  <w14:solidFill>
                    <w14:schemeClr w14:val="tx1"/>
                  </w14:solidFill>
                </w14:textFill>
              </w:rPr>
              <w:t>相关数据</w:t>
            </w:r>
            <w:r>
              <w:rPr>
                <w:rFonts w:hint="eastAsia" w:ascii="宋体" w:hAnsi="宋体"/>
                <w:color w:val="000000" w:themeColor="text1"/>
                <w:lang w:val="en-US" w:eastAsia="zh-CN"/>
                <w14:textFill>
                  <w14:solidFill>
                    <w14:schemeClr w14:val="tx1"/>
                  </w14:solidFill>
                </w14:textFill>
              </w:rPr>
              <w:t>进行核查确认</w:t>
            </w:r>
            <w:r>
              <w:rPr>
                <w:rFonts w:hint="eastAsia" w:ascii="宋体" w:hAnsi="宋体"/>
                <w:color w:val="000000" w:themeColor="text1"/>
                <w:lang w:val="en-US"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财务管理制度</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1.提供财务管理制度、监督内控机制等相关文件资料；</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1"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26</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财务人员</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根据医疗机构规模，设置相应独立的财会机构，配备相应的会计、出纳人员，得2分。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根据医疗机构规模，设置相应独立的财会机构，配备相应的会计、出纳人员，得2分。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根据医疗机构规模，配备相应的会计、出纳人员，得2分。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根据医疗机构规模，配备相应的会计、出纳人员，得2分。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提供会计人员、出纳人员的任命文件及劳动合同、会计从业资格证；</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如会计不是本机构职工，还需提供</w:t>
            </w:r>
            <w:r>
              <w:rPr>
                <w:rFonts w:hint="eastAsia" w:ascii="宋体" w:hAnsi="宋体"/>
                <w:color w:val="000000" w:themeColor="text1"/>
                <w14:textFill>
                  <w14:solidFill>
                    <w14:schemeClr w14:val="tx1"/>
                  </w14:solidFill>
                </w14:textFill>
              </w:rPr>
              <w:t>与会计公司签订的协议书</w:t>
            </w:r>
            <w:r>
              <w:rPr>
                <w:rFonts w:hint="eastAsia" w:ascii="宋体" w:hAnsi="宋体"/>
                <w:color w:val="000000" w:themeColor="text1"/>
                <w:lang w:eastAsia="zh-CN"/>
                <w14:textFill>
                  <w14:solidFill>
                    <w14:schemeClr w14:val="tx1"/>
                  </w14:solidFill>
                </w14:textFill>
              </w:rPr>
              <w:t>及会计人员与会计公司签订的员工劳动合同；</w:t>
            </w:r>
          </w:p>
          <w:p>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3.现场查看会计人员及证件原件。</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27</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财务结算</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财务票据齐全、合法，且安装使用电子收费系统的，得2分。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财务票据齐全、合法，且安装使用电子收费系统的，得2分。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财务票据齐全、合法，得2分。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佐证材料实地查看</w:t>
            </w:r>
          </w:p>
        </w:tc>
        <w:tc>
          <w:tcPr>
            <w:tcW w:w="5153" w:type="dxa"/>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提供财务票据、可证明安装了电子收费系统的证明资料；</w:t>
            </w:r>
          </w:p>
          <w:p>
            <w:pPr>
              <w:numPr>
                <w:ilvl w:val="0"/>
                <w:numId w:val="0"/>
              </w:num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实地评估时，根据佐证材料核查申报资料的真实性</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w:t>
            </w:r>
          </w:p>
        </w:tc>
        <w:tc>
          <w:tcPr>
            <w:tcW w:w="724"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信息系统（6分）</w:t>
            </w: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计算机配备使用</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572" w:type="dxa"/>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提供已</w:t>
            </w:r>
            <w:r>
              <w:rPr>
                <w:rFonts w:hint="eastAsia" w:ascii="宋体" w:hAnsi="宋体"/>
                <w:color w:val="000000" w:themeColor="text1"/>
                <w14:textFill>
                  <w14:solidFill>
                    <w14:schemeClr w14:val="tx1"/>
                  </w14:solidFill>
                </w14:textFill>
              </w:rPr>
              <w:t>配备必要的电脑设备（包括POS机）</w:t>
            </w:r>
            <w:r>
              <w:rPr>
                <w:rFonts w:hint="eastAsia" w:ascii="宋体" w:hAnsi="宋体"/>
                <w:color w:val="000000" w:themeColor="text1"/>
                <w:lang w:eastAsia="zh-CN"/>
                <w14:textFill>
                  <w14:solidFill>
                    <w14:schemeClr w14:val="tx1"/>
                  </w14:solidFill>
                </w14:textFill>
              </w:rPr>
              <w:t>等相关资料，如现场照片等；</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29</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医疗信息化</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1846" w:type="dxa"/>
            <w:tcBorders>
              <w:bottom w:val="single" w:color="auto" w:sz="4" w:space="0"/>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572" w:type="dxa"/>
            <w:tcBorders>
              <w:bottom w:val="single" w:color="auto" w:sz="4" w:space="0"/>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w:t>
            </w:r>
            <w:r>
              <w:rPr>
                <w:rFonts w:hint="eastAsia" w:ascii="宋体" w:hAnsi="宋体"/>
                <w:color w:val="000000" w:themeColor="text1"/>
                <w:lang w:eastAsia="zh-CN"/>
                <w14:textFill>
                  <w14:solidFill>
                    <w14:schemeClr w14:val="tx1"/>
                  </w14:solidFill>
                </w14:textFill>
              </w:rPr>
              <w:t>料和实地查看</w:t>
            </w:r>
          </w:p>
        </w:tc>
        <w:tc>
          <w:tcPr>
            <w:tcW w:w="5153" w:type="dxa"/>
            <w:tcBorders>
              <w:tl2br w:val="nil"/>
              <w:tr2bl w:val="nil"/>
            </w:tcBorders>
            <w:vAlign w:val="center"/>
          </w:tcPr>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提供可证明已实行全流程信息化管理的相关资料，如系统截屏图片等；</w:t>
            </w:r>
          </w:p>
          <w:p>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30</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联网结算能力</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1846" w:type="dxa"/>
            <w:tcBorders>
              <w:top w:val="single" w:color="auto" w:sz="4" w:space="0"/>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572" w:type="dxa"/>
            <w:tcBorders>
              <w:top w:val="single" w:color="auto" w:sz="4" w:space="0"/>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w:t>
            </w:r>
            <w:r>
              <w:rPr>
                <w:rFonts w:hint="eastAsia" w:ascii="宋体" w:hAnsi="宋体"/>
                <w:color w:val="000000" w:themeColor="text1"/>
                <w:lang w:eastAsia="zh-CN"/>
                <w14:textFill>
                  <w14:solidFill>
                    <w14:schemeClr w14:val="tx1"/>
                  </w14:solidFill>
                </w14:textFill>
              </w:rPr>
              <w:t>料</w:t>
            </w:r>
          </w:p>
        </w:tc>
        <w:tc>
          <w:tcPr>
            <w:tcW w:w="5153"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w:t>
            </w:r>
            <w:r>
              <w:rPr>
                <w:rFonts w:hint="eastAsia" w:ascii="宋体" w:hAnsi="宋体"/>
                <w:color w:val="000000" w:themeColor="text1"/>
                <w:lang w:eastAsia="zh-CN"/>
                <w14:textFill>
                  <w14:solidFill>
                    <w14:schemeClr w14:val="tx1"/>
                  </w14:solidFill>
                </w14:textFill>
              </w:rPr>
              <w:t>能力</w:t>
            </w:r>
            <w:r>
              <w:rPr>
                <w:rFonts w:hint="eastAsia" w:ascii="宋体" w:hAnsi="宋体"/>
                <w:color w:val="000000" w:themeColor="text1"/>
                <w14:textFill>
                  <w14:solidFill>
                    <w14:schemeClr w14:val="tx1"/>
                  </w14:solidFill>
                </w14:textFill>
              </w:rPr>
              <w:t>的</w:t>
            </w:r>
            <w:r>
              <w:rPr>
                <w:rFonts w:hint="eastAsia" w:ascii="宋体" w:hAnsi="宋体"/>
                <w:color w:val="000000" w:themeColor="text1"/>
                <w:lang w:eastAsia="zh-CN"/>
                <w14:textFill>
                  <w14:solidFill>
                    <w14:schemeClr w14:val="tx1"/>
                  </w14:solidFill>
                </w14:textFill>
              </w:rPr>
              <w:t>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w:t>
            </w:r>
          </w:p>
        </w:tc>
        <w:tc>
          <w:tcPr>
            <w:tcW w:w="724"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社会评价（9分）</w:t>
            </w: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主流媒体负面报导</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两年内有无媒体负面报道</w:t>
            </w:r>
            <w:r>
              <w:rPr>
                <w:rFonts w:hint="eastAsia" w:ascii="宋体" w:hAnsi="宋体"/>
                <w:color w:val="000000" w:themeColor="text1"/>
                <w:lang w:eastAsia="zh-CN"/>
                <w14:textFill>
                  <w14:solidFill>
                    <w14:schemeClr w14:val="tx1"/>
                  </w14:solidFill>
                </w14:textFill>
              </w:rPr>
              <w:t>的承诺书等相关证明资料。</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医疗服务不良记录</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两年内有无</w:t>
            </w:r>
            <w:r>
              <w:rPr>
                <w:rFonts w:hint="eastAsia" w:ascii="宋体" w:hAnsi="宋体"/>
                <w:color w:val="000000" w:themeColor="text1"/>
                <w:lang w:eastAsia="zh-CN"/>
                <w14:textFill>
                  <w14:solidFill>
                    <w14:schemeClr w14:val="tx1"/>
                  </w14:solidFill>
                </w14:textFill>
              </w:rPr>
              <w:t>医疗服务</w:t>
            </w:r>
            <w:r>
              <w:rPr>
                <w:rFonts w:hint="eastAsia" w:ascii="宋体" w:hAnsi="宋体"/>
                <w:color w:val="000000" w:themeColor="text1"/>
                <w14:textFill>
                  <w14:solidFill>
                    <w14:schemeClr w14:val="tx1"/>
                  </w14:solidFill>
                </w14:textFill>
              </w:rPr>
              <w:t>不良记录</w:t>
            </w:r>
            <w:r>
              <w:rPr>
                <w:rFonts w:hint="eastAsia" w:ascii="宋体" w:hAnsi="宋体"/>
                <w:color w:val="000000" w:themeColor="text1"/>
                <w:lang w:eastAsia="zh-CN"/>
                <w14:textFill>
                  <w14:solidFill>
                    <w14:schemeClr w14:val="tx1"/>
                  </w14:solidFill>
                </w14:textFill>
              </w:rPr>
              <w:t>的承诺书等相关证明资料。</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（2）医疗机构提交定点申请前两年内被医疗保障、卫健、审计、市场监管等部门处罚一次的扣5分；情节严重的或查处两次以上的不得纳入医保定点。的扣5分。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461"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w:t>
            </w: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社会诚信体系建设</w:t>
            </w:r>
          </w:p>
        </w:tc>
        <w:tc>
          <w:tcPr>
            <w:tcW w:w="630"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（1）机构及法人代表、负责人近两年内没有被纳入社会诚信体系建设“黑名单”，且无违法犯罪纪录的，得2分。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机构及法人代表、负责人近两年内没有被纳入社会诚信体系建设“黑名单”，且无违法犯罪纪录的，得2分。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机构及法人代表、负责人近两年内没有被纳入社会诚信体系建设“黑名单”，且无违法犯罪纪录的，得2分。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机构及法人代表、负责人近两年内没有被纳入社会诚信体系建设“黑名单”，且无违法犯罪纪录的，得2分。</w:t>
            </w:r>
          </w:p>
        </w:tc>
        <w:tc>
          <w:tcPr>
            <w:tcW w:w="572" w:type="dxa"/>
            <w:vMerge w:val="restart"/>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有无纳入社会诚信体系建设“黑名单”和违法犯罪纪录</w:t>
            </w:r>
            <w:r>
              <w:rPr>
                <w:rFonts w:hint="eastAsia" w:ascii="宋体" w:hAnsi="宋体"/>
                <w:color w:val="000000" w:themeColor="text1"/>
                <w:lang w:eastAsia="zh-CN"/>
                <w14:textFill>
                  <w14:solidFill>
                    <w14:schemeClr w14:val="tx1"/>
                  </w14:solidFill>
                </w14:textFill>
              </w:rPr>
              <w:t>的承诺书等相关证明资料。</w:t>
            </w:r>
          </w:p>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6" w:hRule="atLeast"/>
          <w:jc w:val="center"/>
        </w:trPr>
        <w:tc>
          <w:tcPr>
            <w:tcW w:w="461"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572"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pPr>
              <w:jc w:val="left"/>
              <w:rPr>
                <w:rFonts w:hint="eastAsia" w:ascii="宋体" w:hAnsi="宋体"/>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33" w:hRule="atLeast"/>
          <w:jc w:val="center"/>
        </w:trPr>
        <w:tc>
          <w:tcPr>
            <w:tcW w:w="461"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34</w:t>
            </w:r>
          </w:p>
        </w:tc>
        <w:tc>
          <w:tcPr>
            <w:tcW w:w="724"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加分项目</w:t>
            </w:r>
          </w:p>
        </w:tc>
        <w:tc>
          <w:tcPr>
            <w:tcW w:w="81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荣誉</w:t>
            </w:r>
          </w:p>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表彰</w:t>
            </w:r>
          </w:p>
        </w:tc>
        <w:tc>
          <w:tcPr>
            <w:tcW w:w="630"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1839"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1846"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572" w:type="dxa"/>
            <w:tcBorders>
              <w:tl2br w:val="nil"/>
              <w:tr2bl w:val="nil"/>
            </w:tcBorders>
            <w:vAlign w:val="center"/>
          </w:tcPr>
          <w:p>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tcBorders>
              <w:tl2br w:val="nil"/>
              <w:tr2bl w:val="nil"/>
            </w:tcBorders>
            <w:vAlign w:val="center"/>
          </w:tcPr>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政府组成部门，团委、残联、工会等参照公务员法管理的人民团体和社会团体的部门</w:t>
            </w:r>
            <w:r>
              <w:rPr>
                <w:rFonts w:hint="eastAsia" w:ascii="宋体" w:hAnsi="宋体"/>
                <w:color w:val="000000" w:themeColor="text1"/>
                <w:lang w:eastAsia="zh-CN"/>
                <w14:textFill>
                  <w14:solidFill>
                    <w14:schemeClr w14:val="tx1"/>
                  </w14:solidFill>
                </w14:textFill>
              </w:rPr>
              <w:t>的</w:t>
            </w:r>
            <w:r>
              <w:rPr>
                <w:rFonts w:hint="eastAsia" w:ascii="宋体" w:hAnsi="宋体"/>
                <w:color w:val="000000" w:themeColor="text1"/>
                <w14:textFill>
                  <w14:solidFill>
                    <w14:schemeClr w14:val="tx1"/>
                  </w14:solidFill>
                </w14:textFill>
              </w:rPr>
              <w:t>表彰</w:t>
            </w:r>
            <w:r>
              <w:rPr>
                <w:rFonts w:hint="eastAsia" w:ascii="宋体" w:hAnsi="宋体"/>
                <w:color w:val="000000" w:themeColor="text1"/>
                <w:lang w:eastAsia="zh-CN"/>
                <w14:textFill>
                  <w14:solidFill>
                    <w14:schemeClr w14:val="tx1"/>
                  </w14:solidFill>
                </w14:textFill>
              </w:rPr>
              <w:t>证明资料料，</w:t>
            </w:r>
            <w:r>
              <w:rPr>
                <w:rFonts w:hint="eastAsia" w:ascii="宋体" w:hAnsi="宋体"/>
                <w:color w:val="000000" w:themeColor="text1"/>
                <w14:textFill>
                  <w14:solidFill>
                    <w14:schemeClr w14:val="tx1"/>
                  </w14:solidFill>
                </w14:textFill>
              </w:rPr>
              <w:t>协会类的表彰不予认可；</w:t>
            </w:r>
          </w:p>
          <w:p>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一般以行政部门红头文件为准；如为奖牌，只要明确了单位</w:t>
            </w:r>
            <w:r>
              <w:rPr>
                <w:rFonts w:hint="eastAsia" w:ascii="宋体" w:hAnsi="宋体"/>
                <w:color w:val="000000" w:themeColor="text1"/>
                <w:lang w:eastAsia="zh-CN"/>
                <w14:textFill>
                  <w14:solidFill>
                    <w14:schemeClr w14:val="tx1"/>
                  </w14:solidFill>
                </w14:textFill>
              </w:rPr>
              <w:t>名称</w:t>
            </w:r>
            <w:r>
              <w:rPr>
                <w:rFonts w:hint="eastAsia" w:ascii="宋体" w:hAnsi="宋体"/>
                <w:color w:val="000000" w:themeColor="text1"/>
                <w14:textFill>
                  <w14:solidFill>
                    <w14:schemeClr w14:val="tx1"/>
                  </w14:solidFill>
                </w14:textFill>
              </w:rPr>
              <w:t>均认可</w:t>
            </w:r>
            <w:r>
              <w:rPr>
                <w:rFonts w:hint="eastAsia" w:ascii="宋体" w:hAnsi="宋体"/>
                <w:color w:val="000000" w:themeColor="text1"/>
                <w:lang w:eastAsia="zh-CN"/>
                <w14:textFill>
                  <w14:solidFill>
                    <w14:schemeClr w14:val="tx1"/>
                  </w14:solidFill>
                </w14:textFill>
              </w:rPr>
              <w:t>。</w:t>
            </w:r>
          </w:p>
          <w:p>
            <w:pPr>
              <w:jc w:val="left"/>
              <w:rPr>
                <w:rFonts w:hint="eastAsia" w:ascii="宋体" w:hAnsi="宋体"/>
                <w:color w:val="000000" w:themeColor="text1"/>
                <w14:textFill>
                  <w14:solidFill>
                    <w14:schemeClr w14:val="tx1"/>
                  </w14:solidFill>
                </w14:textFill>
              </w:rPr>
            </w:pPr>
          </w:p>
        </w:tc>
      </w:tr>
    </w:tbl>
    <w:p>
      <w:pPr>
        <w:jc w:val="left"/>
        <w:rPr>
          <w:rFonts w:hint="eastAsia" w:ascii="宋体" w:hAnsi="宋体"/>
          <w:color w:val="000000" w:themeColor="text1"/>
          <w14:textFill>
            <w14:solidFill>
              <w14:schemeClr w14:val="tx1"/>
            </w14:solidFill>
          </w14:textFill>
        </w:rPr>
      </w:pPr>
    </w:p>
    <w:sectPr>
      <w:headerReference r:id="rId3" w:type="default"/>
      <w:footerReference r:id="rId4" w:type="default"/>
      <w:pgSz w:w="16839" w:h="11907"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rPr>
        <w:lang w:val="zh-CN"/>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037EE0"/>
    <w:multiLevelType w:val="singleLevel"/>
    <w:tmpl w:val="79037EE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NotTrackMoves/>
  <w:documentProtection w:edit="forms"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MyMDVmNzAwMzJjODQyNjcxMDg1NDJmNmVkMmRlNzAifQ=="/>
  </w:docVars>
  <w:rsids>
    <w:rsidRoot w:val="36190BAD"/>
    <w:rsid w:val="00003599"/>
    <w:rsid w:val="0000436F"/>
    <w:rsid w:val="00005E4C"/>
    <w:rsid w:val="00025188"/>
    <w:rsid w:val="0003663F"/>
    <w:rsid w:val="00043208"/>
    <w:rsid w:val="000434D6"/>
    <w:rsid w:val="00044E46"/>
    <w:rsid w:val="00051B26"/>
    <w:rsid w:val="00063DE5"/>
    <w:rsid w:val="00067096"/>
    <w:rsid w:val="0007573A"/>
    <w:rsid w:val="00093278"/>
    <w:rsid w:val="000A6006"/>
    <w:rsid w:val="000B1A71"/>
    <w:rsid w:val="000B58FC"/>
    <w:rsid w:val="000C1BEA"/>
    <w:rsid w:val="000D278D"/>
    <w:rsid w:val="000D5275"/>
    <w:rsid w:val="000E2D9F"/>
    <w:rsid w:val="000F1EC5"/>
    <w:rsid w:val="000F23EA"/>
    <w:rsid w:val="00104D09"/>
    <w:rsid w:val="00106865"/>
    <w:rsid w:val="00107B3B"/>
    <w:rsid w:val="0011294C"/>
    <w:rsid w:val="0012185C"/>
    <w:rsid w:val="001301E7"/>
    <w:rsid w:val="00142AF3"/>
    <w:rsid w:val="001445B2"/>
    <w:rsid w:val="00144D7A"/>
    <w:rsid w:val="00153E7C"/>
    <w:rsid w:val="00161F3F"/>
    <w:rsid w:val="00164BFC"/>
    <w:rsid w:val="00166389"/>
    <w:rsid w:val="00174DDD"/>
    <w:rsid w:val="001760FD"/>
    <w:rsid w:val="00176694"/>
    <w:rsid w:val="00180614"/>
    <w:rsid w:val="001928C8"/>
    <w:rsid w:val="0019735D"/>
    <w:rsid w:val="001A09AD"/>
    <w:rsid w:val="001A14FC"/>
    <w:rsid w:val="001B08C1"/>
    <w:rsid w:val="001B12BC"/>
    <w:rsid w:val="001B3A0D"/>
    <w:rsid w:val="001D2B69"/>
    <w:rsid w:val="001D701E"/>
    <w:rsid w:val="001E0F00"/>
    <w:rsid w:val="001E16CA"/>
    <w:rsid w:val="001E344B"/>
    <w:rsid w:val="001F252E"/>
    <w:rsid w:val="001F5564"/>
    <w:rsid w:val="002004AE"/>
    <w:rsid w:val="0020771E"/>
    <w:rsid w:val="00214D26"/>
    <w:rsid w:val="00217DF7"/>
    <w:rsid w:val="00232047"/>
    <w:rsid w:val="002343C2"/>
    <w:rsid w:val="002425DF"/>
    <w:rsid w:val="00243B84"/>
    <w:rsid w:val="00244D4C"/>
    <w:rsid w:val="00266FA8"/>
    <w:rsid w:val="00274139"/>
    <w:rsid w:val="00274CC0"/>
    <w:rsid w:val="002858C7"/>
    <w:rsid w:val="00290E8C"/>
    <w:rsid w:val="00294CFE"/>
    <w:rsid w:val="00295FF9"/>
    <w:rsid w:val="002A03E3"/>
    <w:rsid w:val="002A0CE0"/>
    <w:rsid w:val="002B0565"/>
    <w:rsid w:val="002B082D"/>
    <w:rsid w:val="002C2C73"/>
    <w:rsid w:val="002C6965"/>
    <w:rsid w:val="002D6E53"/>
    <w:rsid w:val="002E2422"/>
    <w:rsid w:val="002E5E62"/>
    <w:rsid w:val="002F3F51"/>
    <w:rsid w:val="003163AC"/>
    <w:rsid w:val="00316BD9"/>
    <w:rsid w:val="003209BF"/>
    <w:rsid w:val="00331A4C"/>
    <w:rsid w:val="00347F23"/>
    <w:rsid w:val="003520D5"/>
    <w:rsid w:val="00354DDA"/>
    <w:rsid w:val="00363296"/>
    <w:rsid w:val="00363408"/>
    <w:rsid w:val="00375063"/>
    <w:rsid w:val="00380EFD"/>
    <w:rsid w:val="00395AA9"/>
    <w:rsid w:val="003A3755"/>
    <w:rsid w:val="003A5AB6"/>
    <w:rsid w:val="003A678D"/>
    <w:rsid w:val="003B607D"/>
    <w:rsid w:val="003B6290"/>
    <w:rsid w:val="003C6CAD"/>
    <w:rsid w:val="003D34E3"/>
    <w:rsid w:val="003E1E89"/>
    <w:rsid w:val="003E6672"/>
    <w:rsid w:val="003F2A98"/>
    <w:rsid w:val="00405B19"/>
    <w:rsid w:val="00406554"/>
    <w:rsid w:val="004076AC"/>
    <w:rsid w:val="00410CDE"/>
    <w:rsid w:val="00412299"/>
    <w:rsid w:val="0041441B"/>
    <w:rsid w:val="004179E0"/>
    <w:rsid w:val="00423530"/>
    <w:rsid w:val="0042708E"/>
    <w:rsid w:val="0043365F"/>
    <w:rsid w:val="004341A3"/>
    <w:rsid w:val="00450A3F"/>
    <w:rsid w:val="00453144"/>
    <w:rsid w:val="0045469A"/>
    <w:rsid w:val="00457116"/>
    <w:rsid w:val="004678B3"/>
    <w:rsid w:val="0048572F"/>
    <w:rsid w:val="00487BFF"/>
    <w:rsid w:val="00493EBE"/>
    <w:rsid w:val="004B3812"/>
    <w:rsid w:val="004C4964"/>
    <w:rsid w:val="004D0F6A"/>
    <w:rsid w:val="004D0F73"/>
    <w:rsid w:val="004D3A4B"/>
    <w:rsid w:val="004D499D"/>
    <w:rsid w:val="004F1C14"/>
    <w:rsid w:val="004F2422"/>
    <w:rsid w:val="004F552C"/>
    <w:rsid w:val="00501731"/>
    <w:rsid w:val="00507FE4"/>
    <w:rsid w:val="0051145F"/>
    <w:rsid w:val="00523340"/>
    <w:rsid w:val="00524E1D"/>
    <w:rsid w:val="00533A9F"/>
    <w:rsid w:val="00534AA9"/>
    <w:rsid w:val="00556DA3"/>
    <w:rsid w:val="00577CF2"/>
    <w:rsid w:val="00591153"/>
    <w:rsid w:val="00595F7A"/>
    <w:rsid w:val="005A3D53"/>
    <w:rsid w:val="005A4A67"/>
    <w:rsid w:val="005A7BA7"/>
    <w:rsid w:val="005D516F"/>
    <w:rsid w:val="005D693E"/>
    <w:rsid w:val="005D6D14"/>
    <w:rsid w:val="005D7424"/>
    <w:rsid w:val="005F687E"/>
    <w:rsid w:val="005F7566"/>
    <w:rsid w:val="0060606D"/>
    <w:rsid w:val="0060626B"/>
    <w:rsid w:val="00612C43"/>
    <w:rsid w:val="00640305"/>
    <w:rsid w:val="00641D6C"/>
    <w:rsid w:val="00641F71"/>
    <w:rsid w:val="00655CAE"/>
    <w:rsid w:val="00662989"/>
    <w:rsid w:val="006642A4"/>
    <w:rsid w:val="00664D5D"/>
    <w:rsid w:val="00667DCC"/>
    <w:rsid w:val="006724E7"/>
    <w:rsid w:val="00677FED"/>
    <w:rsid w:val="00680636"/>
    <w:rsid w:val="006959C2"/>
    <w:rsid w:val="006B0B9F"/>
    <w:rsid w:val="006D0C53"/>
    <w:rsid w:val="006D65B5"/>
    <w:rsid w:val="006D7682"/>
    <w:rsid w:val="006E06EA"/>
    <w:rsid w:val="007015D5"/>
    <w:rsid w:val="007070BC"/>
    <w:rsid w:val="00734FD2"/>
    <w:rsid w:val="00735553"/>
    <w:rsid w:val="00736F29"/>
    <w:rsid w:val="00750DA0"/>
    <w:rsid w:val="007651E1"/>
    <w:rsid w:val="007A120E"/>
    <w:rsid w:val="007A74BE"/>
    <w:rsid w:val="007A7A2D"/>
    <w:rsid w:val="007B205E"/>
    <w:rsid w:val="007B7293"/>
    <w:rsid w:val="007C03FA"/>
    <w:rsid w:val="007C1D0D"/>
    <w:rsid w:val="007C1D72"/>
    <w:rsid w:val="007C2640"/>
    <w:rsid w:val="007E16AC"/>
    <w:rsid w:val="007E24DE"/>
    <w:rsid w:val="007F4DA8"/>
    <w:rsid w:val="007F540B"/>
    <w:rsid w:val="008109FB"/>
    <w:rsid w:val="00814E55"/>
    <w:rsid w:val="0081666C"/>
    <w:rsid w:val="00821FE3"/>
    <w:rsid w:val="00827ECC"/>
    <w:rsid w:val="008409BE"/>
    <w:rsid w:val="00844F45"/>
    <w:rsid w:val="00863004"/>
    <w:rsid w:val="008662A0"/>
    <w:rsid w:val="00871F25"/>
    <w:rsid w:val="008914D1"/>
    <w:rsid w:val="008A3A03"/>
    <w:rsid w:val="008A3C44"/>
    <w:rsid w:val="008A4707"/>
    <w:rsid w:val="008A49D6"/>
    <w:rsid w:val="008A5B15"/>
    <w:rsid w:val="008A6577"/>
    <w:rsid w:val="008B0499"/>
    <w:rsid w:val="008E2165"/>
    <w:rsid w:val="008E4CB4"/>
    <w:rsid w:val="00900171"/>
    <w:rsid w:val="00901EBD"/>
    <w:rsid w:val="009241A3"/>
    <w:rsid w:val="00925817"/>
    <w:rsid w:val="00944BD0"/>
    <w:rsid w:val="00946912"/>
    <w:rsid w:val="00951BF6"/>
    <w:rsid w:val="00951FEE"/>
    <w:rsid w:val="009522A3"/>
    <w:rsid w:val="00952696"/>
    <w:rsid w:val="00962E3A"/>
    <w:rsid w:val="00963DED"/>
    <w:rsid w:val="0097268A"/>
    <w:rsid w:val="00990E9D"/>
    <w:rsid w:val="009A2C3E"/>
    <w:rsid w:val="009A684F"/>
    <w:rsid w:val="009B6524"/>
    <w:rsid w:val="009C257A"/>
    <w:rsid w:val="009C2CDE"/>
    <w:rsid w:val="009D3C9D"/>
    <w:rsid w:val="009D6FDB"/>
    <w:rsid w:val="009D720C"/>
    <w:rsid w:val="009E2441"/>
    <w:rsid w:val="00A00D02"/>
    <w:rsid w:val="00A17A06"/>
    <w:rsid w:val="00A24BDE"/>
    <w:rsid w:val="00A24C39"/>
    <w:rsid w:val="00A27D1E"/>
    <w:rsid w:val="00A34E7E"/>
    <w:rsid w:val="00A36DA2"/>
    <w:rsid w:val="00A36ECF"/>
    <w:rsid w:val="00A4020D"/>
    <w:rsid w:val="00A53614"/>
    <w:rsid w:val="00A54730"/>
    <w:rsid w:val="00A6691C"/>
    <w:rsid w:val="00A73120"/>
    <w:rsid w:val="00A7687A"/>
    <w:rsid w:val="00A9087B"/>
    <w:rsid w:val="00AC29BA"/>
    <w:rsid w:val="00AC4EEA"/>
    <w:rsid w:val="00AC6F0E"/>
    <w:rsid w:val="00AD08ED"/>
    <w:rsid w:val="00AE729A"/>
    <w:rsid w:val="00AE7BD3"/>
    <w:rsid w:val="00B008A6"/>
    <w:rsid w:val="00B02526"/>
    <w:rsid w:val="00B133D4"/>
    <w:rsid w:val="00B16B24"/>
    <w:rsid w:val="00B42AC2"/>
    <w:rsid w:val="00B441FD"/>
    <w:rsid w:val="00B45147"/>
    <w:rsid w:val="00B52020"/>
    <w:rsid w:val="00B55141"/>
    <w:rsid w:val="00B57BA8"/>
    <w:rsid w:val="00B63129"/>
    <w:rsid w:val="00B63B50"/>
    <w:rsid w:val="00B6571A"/>
    <w:rsid w:val="00B71B1F"/>
    <w:rsid w:val="00B72456"/>
    <w:rsid w:val="00B81F2D"/>
    <w:rsid w:val="00B84ADF"/>
    <w:rsid w:val="00B93A45"/>
    <w:rsid w:val="00B963E4"/>
    <w:rsid w:val="00BA58B6"/>
    <w:rsid w:val="00BB5696"/>
    <w:rsid w:val="00BC7A56"/>
    <w:rsid w:val="00BD73A2"/>
    <w:rsid w:val="00BE2078"/>
    <w:rsid w:val="00BE4166"/>
    <w:rsid w:val="00BE5217"/>
    <w:rsid w:val="00BE599A"/>
    <w:rsid w:val="00BE5F2A"/>
    <w:rsid w:val="00BE739E"/>
    <w:rsid w:val="00BF03D5"/>
    <w:rsid w:val="00C014C3"/>
    <w:rsid w:val="00C017AF"/>
    <w:rsid w:val="00C054FB"/>
    <w:rsid w:val="00C07460"/>
    <w:rsid w:val="00C10124"/>
    <w:rsid w:val="00C16E35"/>
    <w:rsid w:val="00C331C3"/>
    <w:rsid w:val="00C3555B"/>
    <w:rsid w:val="00C367F1"/>
    <w:rsid w:val="00C43439"/>
    <w:rsid w:val="00C76839"/>
    <w:rsid w:val="00C8516D"/>
    <w:rsid w:val="00C87640"/>
    <w:rsid w:val="00C97800"/>
    <w:rsid w:val="00CB1EB4"/>
    <w:rsid w:val="00CC1D8B"/>
    <w:rsid w:val="00CC7ADD"/>
    <w:rsid w:val="00CD3536"/>
    <w:rsid w:val="00CD379B"/>
    <w:rsid w:val="00CF017B"/>
    <w:rsid w:val="00CF2658"/>
    <w:rsid w:val="00CF7785"/>
    <w:rsid w:val="00D00363"/>
    <w:rsid w:val="00D0263D"/>
    <w:rsid w:val="00D03ADF"/>
    <w:rsid w:val="00D168C4"/>
    <w:rsid w:val="00D24F1E"/>
    <w:rsid w:val="00D3082E"/>
    <w:rsid w:val="00D325DC"/>
    <w:rsid w:val="00D47A6F"/>
    <w:rsid w:val="00D50741"/>
    <w:rsid w:val="00D57964"/>
    <w:rsid w:val="00D602E7"/>
    <w:rsid w:val="00D64119"/>
    <w:rsid w:val="00D76E5A"/>
    <w:rsid w:val="00D805C2"/>
    <w:rsid w:val="00D83301"/>
    <w:rsid w:val="00DB3326"/>
    <w:rsid w:val="00DC00D3"/>
    <w:rsid w:val="00DD5593"/>
    <w:rsid w:val="00DD70D5"/>
    <w:rsid w:val="00DF350A"/>
    <w:rsid w:val="00E04C53"/>
    <w:rsid w:val="00E21E36"/>
    <w:rsid w:val="00E316FB"/>
    <w:rsid w:val="00E3624D"/>
    <w:rsid w:val="00E3752B"/>
    <w:rsid w:val="00E37DF2"/>
    <w:rsid w:val="00E40DC1"/>
    <w:rsid w:val="00E42181"/>
    <w:rsid w:val="00E5358C"/>
    <w:rsid w:val="00E62375"/>
    <w:rsid w:val="00E7693E"/>
    <w:rsid w:val="00E80B93"/>
    <w:rsid w:val="00E859C1"/>
    <w:rsid w:val="00E910EF"/>
    <w:rsid w:val="00E92A9F"/>
    <w:rsid w:val="00E94FC6"/>
    <w:rsid w:val="00EB0BEF"/>
    <w:rsid w:val="00EC0560"/>
    <w:rsid w:val="00EC204B"/>
    <w:rsid w:val="00EC4AA6"/>
    <w:rsid w:val="00ED5FA3"/>
    <w:rsid w:val="00EF3336"/>
    <w:rsid w:val="00EF33AA"/>
    <w:rsid w:val="00F07135"/>
    <w:rsid w:val="00F07AF2"/>
    <w:rsid w:val="00F12B99"/>
    <w:rsid w:val="00F17313"/>
    <w:rsid w:val="00F21EF4"/>
    <w:rsid w:val="00F225CE"/>
    <w:rsid w:val="00F23450"/>
    <w:rsid w:val="00F31D38"/>
    <w:rsid w:val="00F469C5"/>
    <w:rsid w:val="00F63A2C"/>
    <w:rsid w:val="00F67D0A"/>
    <w:rsid w:val="00F77B70"/>
    <w:rsid w:val="00F84529"/>
    <w:rsid w:val="00F84803"/>
    <w:rsid w:val="00F8582B"/>
    <w:rsid w:val="00F874F4"/>
    <w:rsid w:val="00F92C9F"/>
    <w:rsid w:val="00F93B31"/>
    <w:rsid w:val="00FA2A25"/>
    <w:rsid w:val="00FC0D1A"/>
    <w:rsid w:val="00FC2BE6"/>
    <w:rsid w:val="00FD5BB5"/>
    <w:rsid w:val="00FF5986"/>
    <w:rsid w:val="010827C0"/>
    <w:rsid w:val="01141165"/>
    <w:rsid w:val="01416DF2"/>
    <w:rsid w:val="016A54BD"/>
    <w:rsid w:val="017813C6"/>
    <w:rsid w:val="019F1377"/>
    <w:rsid w:val="01B500F6"/>
    <w:rsid w:val="01FD2F87"/>
    <w:rsid w:val="024F5D44"/>
    <w:rsid w:val="02A503B9"/>
    <w:rsid w:val="02E828A9"/>
    <w:rsid w:val="02EA4A6E"/>
    <w:rsid w:val="02F41395"/>
    <w:rsid w:val="033E56FD"/>
    <w:rsid w:val="035259DF"/>
    <w:rsid w:val="038E3ED2"/>
    <w:rsid w:val="03C014CE"/>
    <w:rsid w:val="03CD5B86"/>
    <w:rsid w:val="03DE3CAC"/>
    <w:rsid w:val="040B7160"/>
    <w:rsid w:val="046E266A"/>
    <w:rsid w:val="0475016D"/>
    <w:rsid w:val="04A90AE0"/>
    <w:rsid w:val="055B3806"/>
    <w:rsid w:val="05784AC0"/>
    <w:rsid w:val="057D7861"/>
    <w:rsid w:val="05D13AC9"/>
    <w:rsid w:val="06137176"/>
    <w:rsid w:val="06272118"/>
    <w:rsid w:val="0634029A"/>
    <w:rsid w:val="064F0BEA"/>
    <w:rsid w:val="067A5F0E"/>
    <w:rsid w:val="069D39AB"/>
    <w:rsid w:val="07114354"/>
    <w:rsid w:val="074402CA"/>
    <w:rsid w:val="080D4B60"/>
    <w:rsid w:val="08135F0E"/>
    <w:rsid w:val="08747F1E"/>
    <w:rsid w:val="089B6610"/>
    <w:rsid w:val="08AE00F1"/>
    <w:rsid w:val="08D8516E"/>
    <w:rsid w:val="08FB2C0B"/>
    <w:rsid w:val="09036A5C"/>
    <w:rsid w:val="09290F05"/>
    <w:rsid w:val="0974630D"/>
    <w:rsid w:val="098A6248"/>
    <w:rsid w:val="0A05543D"/>
    <w:rsid w:val="0A256191"/>
    <w:rsid w:val="0A4A158B"/>
    <w:rsid w:val="0A4A2936"/>
    <w:rsid w:val="0A727701"/>
    <w:rsid w:val="0AC27E84"/>
    <w:rsid w:val="0B04049C"/>
    <w:rsid w:val="0B21104E"/>
    <w:rsid w:val="0B886886"/>
    <w:rsid w:val="0B903ADE"/>
    <w:rsid w:val="0BC02051"/>
    <w:rsid w:val="0CF602B9"/>
    <w:rsid w:val="0D4D3B34"/>
    <w:rsid w:val="0D627C26"/>
    <w:rsid w:val="0D9F26FE"/>
    <w:rsid w:val="0E927698"/>
    <w:rsid w:val="0EA55AF2"/>
    <w:rsid w:val="0EFE5CC6"/>
    <w:rsid w:val="0F546033"/>
    <w:rsid w:val="0F824086"/>
    <w:rsid w:val="0FCA0775"/>
    <w:rsid w:val="0FF07CE3"/>
    <w:rsid w:val="0FF87EA4"/>
    <w:rsid w:val="100A7D30"/>
    <w:rsid w:val="107F2A45"/>
    <w:rsid w:val="10AD0E13"/>
    <w:rsid w:val="110E3E23"/>
    <w:rsid w:val="11351328"/>
    <w:rsid w:val="114A472F"/>
    <w:rsid w:val="11586695"/>
    <w:rsid w:val="117F2B65"/>
    <w:rsid w:val="11802A9D"/>
    <w:rsid w:val="119F4A7B"/>
    <w:rsid w:val="122338FE"/>
    <w:rsid w:val="12237B7A"/>
    <w:rsid w:val="12296A3A"/>
    <w:rsid w:val="122C1049"/>
    <w:rsid w:val="12325681"/>
    <w:rsid w:val="12635200"/>
    <w:rsid w:val="1268115C"/>
    <w:rsid w:val="12756B2B"/>
    <w:rsid w:val="12AC726D"/>
    <w:rsid w:val="12C66037"/>
    <w:rsid w:val="12D479B9"/>
    <w:rsid w:val="12D74513"/>
    <w:rsid w:val="12DB7D35"/>
    <w:rsid w:val="13545D39"/>
    <w:rsid w:val="13685340"/>
    <w:rsid w:val="1399431B"/>
    <w:rsid w:val="13A10F7E"/>
    <w:rsid w:val="13F50945"/>
    <w:rsid w:val="13FF3EF7"/>
    <w:rsid w:val="14040DD1"/>
    <w:rsid w:val="144C00F3"/>
    <w:rsid w:val="14C66FE1"/>
    <w:rsid w:val="14E05AD6"/>
    <w:rsid w:val="14E60C13"/>
    <w:rsid w:val="15177063"/>
    <w:rsid w:val="154D3B7E"/>
    <w:rsid w:val="15806971"/>
    <w:rsid w:val="15B75320"/>
    <w:rsid w:val="15E96C0C"/>
    <w:rsid w:val="15F5110D"/>
    <w:rsid w:val="161A5018"/>
    <w:rsid w:val="1628301E"/>
    <w:rsid w:val="163D4862"/>
    <w:rsid w:val="1672384A"/>
    <w:rsid w:val="1681252B"/>
    <w:rsid w:val="16B72867"/>
    <w:rsid w:val="16F641A6"/>
    <w:rsid w:val="1701704E"/>
    <w:rsid w:val="1723614E"/>
    <w:rsid w:val="17283A14"/>
    <w:rsid w:val="172F4AF3"/>
    <w:rsid w:val="173F6848"/>
    <w:rsid w:val="174A7237"/>
    <w:rsid w:val="17C81AF1"/>
    <w:rsid w:val="17E26CBA"/>
    <w:rsid w:val="17FA0611"/>
    <w:rsid w:val="17FE6A22"/>
    <w:rsid w:val="1807759E"/>
    <w:rsid w:val="180F082F"/>
    <w:rsid w:val="181C5F90"/>
    <w:rsid w:val="18417CC9"/>
    <w:rsid w:val="18463477"/>
    <w:rsid w:val="18C1262D"/>
    <w:rsid w:val="198F3627"/>
    <w:rsid w:val="19940C3D"/>
    <w:rsid w:val="199F1114"/>
    <w:rsid w:val="19BB2422"/>
    <w:rsid w:val="19D76D7C"/>
    <w:rsid w:val="1A200723"/>
    <w:rsid w:val="1A676FDF"/>
    <w:rsid w:val="1AA90718"/>
    <w:rsid w:val="1AF44089"/>
    <w:rsid w:val="1B3E6897"/>
    <w:rsid w:val="1B610FF3"/>
    <w:rsid w:val="1B8D211A"/>
    <w:rsid w:val="1B92425F"/>
    <w:rsid w:val="1BDD2D6F"/>
    <w:rsid w:val="1BEF4851"/>
    <w:rsid w:val="1BF259E0"/>
    <w:rsid w:val="1C4921B3"/>
    <w:rsid w:val="1CEC2B3E"/>
    <w:rsid w:val="1CF2284B"/>
    <w:rsid w:val="1D1E269F"/>
    <w:rsid w:val="1D2D73DF"/>
    <w:rsid w:val="1D394622"/>
    <w:rsid w:val="1D4F4298"/>
    <w:rsid w:val="1D6654D6"/>
    <w:rsid w:val="1DD42718"/>
    <w:rsid w:val="1E1E3C3D"/>
    <w:rsid w:val="1E2527AC"/>
    <w:rsid w:val="1E360515"/>
    <w:rsid w:val="1E6F1C79"/>
    <w:rsid w:val="1EB40FB9"/>
    <w:rsid w:val="1EC266B6"/>
    <w:rsid w:val="1EFF124F"/>
    <w:rsid w:val="1F3C1B5B"/>
    <w:rsid w:val="1F882041"/>
    <w:rsid w:val="1F95570F"/>
    <w:rsid w:val="1FD20711"/>
    <w:rsid w:val="200D1749"/>
    <w:rsid w:val="2057414F"/>
    <w:rsid w:val="20A04C9E"/>
    <w:rsid w:val="20AD0837"/>
    <w:rsid w:val="20C9214A"/>
    <w:rsid w:val="211865F8"/>
    <w:rsid w:val="21305544"/>
    <w:rsid w:val="213D502E"/>
    <w:rsid w:val="21632482"/>
    <w:rsid w:val="216655B5"/>
    <w:rsid w:val="21A460DD"/>
    <w:rsid w:val="21E91B75"/>
    <w:rsid w:val="21FF290B"/>
    <w:rsid w:val="22406C99"/>
    <w:rsid w:val="22806203"/>
    <w:rsid w:val="228D4BFB"/>
    <w:rsid w:val="22AF6F3A"/>
    <w:rsid w:val="23254DF5"/>
    <w:rsid w:val="23614286"/>
    <w:rsid w:val="23833A96"/>
    <w:rsid w:val="23983A20"/>
    <w:rsid w:val="239A4B6F"/>
    <w:rsid w:val="23A45D76"/>
    <w:rsid w:val="24416738"/>
    <w:rsid w:val="244B0A92"/>
    <w:rsid w:val="2452597D"/>
    <w:rsid w:val="245D3851"/>
    <w:rsid w:val="245F51B2"/>
    <w:rsid w:val="247450D6"/>
    <w:rsid w:val="2479048E"/>
    <w:rsid w:val="248840CA"/>
    <w:rsid w:val="24AA3A0B"/>
    <w:rsid w:val="24AE34FB"/>
    <w:rsid w:val="24CF7C3A"/>
    <w:rsid w:val="24D942F0"/>
    <w:rsid w:val="24DD793C"/>
    <w:rsid w:val="24E35931"/>
    <w:rsid w:val="24FA0F74"/>
    <w:rsid w:val="24FD0459"/>
    <w:rsid w:val="25137802"/>
    <w:rsid w:val="253637BF"/>
    <w:rsid w:val="25496D80"/>
    <w:rsid w:val="255B0485"/>
    <w:rsid w:val="25A7061C"/>
    <w:rsid w:val="263119F3"/>
    <w:rsid w:val="268362C1"/>
    <w:rsid w:val="26AB1B9B"/>
    <w:rsid w:val="26B172D2"/>
    <w:rsid w:val="26BE30B2"/>
    <w:rsid w:val="26CA0394"/>
    <w:rsid w:val="26EF15EF"/>
    <w:rsid w:val="27046517"/>
    <w:rsid w:val="27063343"/>
    <w:rsid w:val="272867E5"/>
    <w:rsid w:val="2751016E"/>
    <w:rsid w:val="27D50D9F"/>
    <w:rsid w:val="27DB097E"/>
    <w:rsid w:val="27F07987"/>
    <w:rsid w:val="286F0E15"/>
    <w:rsid w:val="28976054"/>
    <w:rsid w:val="28996395"/>
    <w:rsid w:val="289E5635"/>
    <w:rsid w:val="28A349F9"/>
    <w:rsid w:val="28BF50C6"/>
    <w:rsid w:val="28C275AF"/>
    <w:rsid w:val="29150F5E"/>
    <w:rsid w:val="29345AB2"/>
    <w:rsid w:val="29853CCD"/>
    <w:rsid w:val="29A94291"/>
    <w:rsid w:val="29D954F3"/>
    <w:rsid w:val="29FF6315"/>
    <w:rsid w:val="2A206C7C"/>
    <w:rsid w:val="2A25191D"/>
    <w:rsid w:val="2A2F6A5C"/>
    <w:rsid w:val="2A497B4D"/>
    <w:rsid w:val="2A805824"/>
    <w:rsid w:val="2AB83525"/>
    <w:rsid w:val="2AEC6B2B"/>
    <w:rsid w:val="2B74267D"/>
    <w:rsid w:val="2C0D6C02"/>
    <w:rsid w:val="2C182C40"/>
    <w:rsid w:val="2C297430"/>
    <w:rsid w:val="2C2B5431"/>
    <w:rsid w:val="2C701096"/>
    <w:rsid w:val="2C7C6E78"/>
    <w:rsid w:val="2CCC48EE"/>
    <w:rsid w:val="2CCE2422"/>
    <w:rsid w:val="2CD3709D"/>
    <w:rsid w:val="2CDA6E57"/>
    <w:rsid w:val="2CEE5B2A"/>
    <w:rsid w:val="2D144117"/>
    <w:rsid w:val="2D2F2CFF"/>
    <w:rsid w:val="2D404F0C"/>
    <w:rsid w:val="2D65477E"/>
    <w:rsid w:val="2D6F134E"/>
    <w:rsid w:val="2D746964"/>
    <w:rsid w:val="2DC202EA"/>
    <w:rsid w:val="2EAB56A1"/>
    <w:rsid w:val="2ECB6017"/>
    <w:rsid w:val="2ECD27D0"/>
    <w:rsid w:val="2EF20488"/>
    <w:rsid w:val="2F087CAC"/>
    <w:rsid w:val="2F1C5505"/>
    <w:rsid w:val="2F91679D"/>
    <w:rsid w:val="2FDB62ED"/>
    <w:rsid w:val="2FE37DD1"/>
    <w:rsid w:val="2FFD48E2"/>
    <w:rsid w:val="3025032E"/>
    <w:rsid w:val="305B02AF"/>
    <w:rsid w:val="306077A7"/>
    <w:rsid w:val="30803872"/>
    <w:rsid w:val="311C17EC"/>
    <w:rsid w:val="317433D6"/>
    <w:rsid w:val="3176715E"/>
    <w:rsid w:val="31826A88"/>
    <w:rsid w:val="319121DA"/>
    <w:rsid w:val="31A61E72"/>
    <w:rsid w:val="31C81974"/>
    <w:rsid w:val="322A618B"/>
    <w:rsid w:val="326A2A2B"/>
    <w:rsid w:val="32AE0B6A"/>
    <w:rsid w:val="32E731A5"/>
    <w:rsid w:val="335039CF"/>
    <w:rsid w:val="335F3C12"/>
    <w:rsid w:val="339C5242"/>
    <w:rsid w:val="33BB7F2F"/>
    <w:rsid w:val="33D97E69"/>
    <w:rsid w:val="33F94067"/>
    <w:rsid w:val="347112AA"/>
    <w:rsid w:val="34987F0D"/>
    <w:rsid w:val="349B511E"/>
    <w:rsid w:val="34CF0B41"/>
    <w:rsid w:val="34E55713"/>
    <w:rsid w:val="3500423C"/>
    <w:rsid w:val="356C2617"/>
    <w:rsid w:val="356C53DE"/>
    <w:rsid w:val="357D12FE"/>
    <w:rsid w:val="35800D4F"/>
    <w:rsid w:val="35CD7559"/>
    <w:rsid w:val="35E45907"/>
    <w:rsid w:val="36190BAD"/>
    <w:rsid w:val="3697237C"/>
    <w:rsid w:val="36E83F1F"/>
    <w:rsid w:val="36EF29ED"/>
    <w:rsid w:val="37182A56"/>
    <w:rsid w:val="371D760C"/>
    <w:rsid w:val="37877A2E"/>
    <w:rsid w:val="37D50947"/>
    <w:rsid w:val="37D526F5"/>
    <w:rsid w:val="37F90BD4"/>
    <w:rsid w:val="38BA02F6"/>
    <w:rsid w:val="38D429AD"/>
    <w:rsid w:val="39070FD4"/>
    <w:rsid w:val="394418E0"/>
    <w:rsid w:val="396922F5"/>
    <w:rsid w:val="398919E9"/>
    <w:rsid w:val="39D4067A"/>
    <w:rsid w:val="3A4853B3"/>
    <w:rsid w:val="3A6366DE"/>
    <w:rsid w:val="3AA416D7"/>
    <w:rsid w:val="3AAF722D"/>
    <w:rsid w:val="3AE76DCF"/>
    <w:rsid w:val="3AEB5048"/>
    <w:rsid w:val="3B225C51"/>
    <w:rsid w:val="3B281178"/>
    <w:rsid w:val="3B4E12D8"/>
    <w:rsid w:val="3B6B7446"/>
    <w:rsid w:val="3BAA2A06"/>
    <w:rsid w:val="3BEA1C9E"/>
    <w:rsid w:val="3BF35840"/>
    <w:rsid w:val="3C0E4427"/>
    <w:rsid w:val="3C484F59"/>
    <w:rsid w:val="3C6678A6"/>
    <w:rsid w:val="3C814722"/>
    <w:rsid w:val="3CAA0BB8"/>
    <w:rsid w:val="3CAA6B15"/>
    <w:rsid w:val="3CAF1767"/>
    <w:rsid w:val="3CCA5F4C"/>
    <w:rsid w:val="3D0870C9"/>
    <w:rsid w:val="3D276C64"/>
    <w:rsid w:val="3D2D6476"/>
    <w:rsid w:val="3D7B5AED"/>
    <w:rsid w:val="3DA36040"/>
    <w:rsid w:val="3DC74CC9"/>
    <w:rsid w:val="3DCD6F06"/>
    <w:rsid w:val="3DD60F75"/>
    <w:rsid w:val="3DFFFF7B"/>
    <w:rsid w:val="3E2D0185"/>
    <w:rsid w:val="3E8A0EA2"/>
    <w:rsid w:val="3EAD7F28"/>
    <w:rsid w:val="3EB96373"/>
    <w:rsid w:val="3EC3599D"/>
    <w:rsid w:val="3EF9316D"/>
    <w:rsid w:val="3F3B162B"/>
    <w:rsid w:val="3F850EA5"/>
    <w:rsid w:val="4002048C"/>
    <w:rsid w:val="40244E72"/>
    <w:rsid w:val="403662B5"/>
    <w:rsid w:val="40AD6DA3"/>
    <w:rsid w:val="40B51316"/>
    <w:rsid w:val="40C335CB"/>
    <w:rsid w:val="40D86FB8"/>
    <w:rsid w:val="4105073A"/>
    <w:rsid w:val="411C3143"/>
    <w:rsid w:val="41306BEE"/>
    <w:rsid w:val="41AD023F"/>
    <w:rsid w:val="41E04312"/>
    <w:rsid w:val="420F4A55"/>
    <w:rsid w:val="421371BD"/>
    <w:rsid w:val="425D3A13"/>
    <w:rsid w:val="42666D6B"/>
    <w:rsid w:val="43136E0D"/>
    <w:rsid w:val="436808C1"/>
    <w:rsid w:val="43811983"/>
    <w:rsid w:val="43917E18"/>
    <w:rsid w:val="43923B90"/>
    <w:rsid w:val="43B5111A"/>
    <w:rsid w:val="440E1469"/>
    <w:rsid w:val="44101F1F"/>
    <w:rsid w:val="44627A06"/>
    <w:rsid w:val="44944B08"/>
    <w:rsid w:val="44F97A70"/>
    <w:rsid w:val="456E6C4B"/>
    <w:rsid w:val="45C05248"/>
    <w:rsid w:val="45C4267A"/>
    <w:rsid w:val="45D17DC8"/>
    <w:rsid w:val="46205857"/>
    <w:rsid w:val="46440BA0"/>
    <w:rsid w:val="46963997"/>
    <w:rsid w:val="46D544C0"/>
    <w:rsid w:val="46EA4ADA"/>
    <w:rsid w:val="46F25071"/>
    <w:rsid w:val="46FB7DC6"/>
    <w:rsid w:val="47287147"/>
    <w:rsid w:val="477E06B3"/>
    <w:rsid w:val="47AB6FCE"/>
    <w:rsid w:val="47ED3A8B"/>
    <w:rsid w:val="48142DC6"/>
    <w:rsid w:val="485E7EB0"/>
    <w:rsid w:val="48BD16AF"/>
    <w:rsid w:val="48CC299A"/>
    <w:rsid w:val="490B5F77"/>
    <w:rsid w:val="499A554C"/>
    <w:rsid w:val="499D7F45"/>
    <w:rsid w:val="49AF3ED1"/>
    <w:rsid w:val="49F06956"/>
    <w:rsid w:val="49F92273"/>
    <w:rsid w:val="4A2518A4"/>
    <w:rsid w:val="4A506046"/>
    <w:rsid w:val="4A9D71DB"/>
    <w:rsid w:val="4B025357"/>
    <w:rsid w:val="4B6776B0"/>
    <w:rsid w:val="4BD42F98"/>
    <w:rsid w:val="4C115F9A"/>
    <w:rsid w:val="4C26756B"/>
    <w:rsid w:val="4CA962A7"/>
    <w:rsid w:val="4CF5766A"/>
    <w:rsid w:val="4D1B1357"/>
    <w:rsid w:val="4D3A3DAD"/>
    <w:rsid w:val="4D422183"/>
    <w:rsid w:val="4DA22C22"/>
    <w:rsid w:val="4DB766CD"/>
    <w:rsid w:val="4DC35387"/>
    <w:rsid w:val="4DD17711"/>
    <w:rsid w:val="4DDF0D91"/>
    <w:rsid w:val="4DFC4A28"/>
    <w:rsid w:val="4DFD7589"/>
    <w:rsid w:val="4E044C8D"/>
    <w:rsid w:val="4E297BF4"/>
    <w:rsid w:val="4E440426"/>
    <w:rsid w:val="4ECE0E1B"/>
    <w:rsid w:val="4F2833F8"/>
    <w:rsid w:val="4F373B4D"/>
    <w:rsid w:val="4F9D5D96"/>
    <w:rsid w:val="4FAE3B00"/>
    <w:rsid w:val="4FCF7F26"/>
    <w:rsid w:val="50280C66"/>
    <w:rsid w:val="505F5AEB"/>
    <w:rsid w:val="50632B3C"/>
    <w:rsid w:val="50795EBC"/>
    <w:rsid w:val="507B5DAB"/>
    <w:rsid w:val="50A3095D"/>
    <w:rsid w:val="50AA2824"/>
    <w:rsid w:val="50AF3E63"/>
    <w:rsid w:val="50CD08A2"/>
    <w:rsid w:val="5144471C"/>
    <w:rsid w:val="51D05FAF"/>
    <w:rsid w:val="51EE188B"/>
    <w:rsid w:val="52290429"/>
    <w:rsid w:val="52AD009F"/>
    <w:rsid w:val="52C07AA2"/>
    <w:rsid w:val="52F21F55"/>
    <w:rsid w:val="534F55FA"/>
    <w:rsid w:val="53FF492A"/>
    <w:rsid w:val="54672EDE"/>
    <w:rsid w:val="54C406C8"/>
    <w:rsid w:val="54FB1595"/>
    <w:rsid w:val="550146D2"/>
    <w:rsid w:val="55044110"/>
    <w:rsid w:val="5512068D"/>
    <w:rsid w:val="5513422A"/>
    <w:rsid w:val="55222FC6"/>
    <w:rsid w:val="552E0425"/>
    <w:rsid w:val="5543087C"/>
    <w:rsid w:val="55815DBB"/>
    <w:rsid w:val="55871D60"/>
    <w:rsid w:val="55936411"/>
    <w:rsid w:val="55EE2EA8"/>
    <w:rsid w:val="564F6D0B"/>
    <w:rsid w:val="566E49F4"/>
    <w:rsid w:val="56725887"/>
    <w:rsid w:val="567535C9"/>
    <w:rsid w:val="56811F6E"/>
    <w:rsid w:val="56B0015D"/>
    <w:rsid w:val="56E04EE6"/>
    <w:rsid w:val="56F168A6"/>
    <w:rsid w:val="571152C1"/>
    <w:rsid w:val="574D2219"/>
    <w:rsid w:val="574E5EE5"/>
    <w:rsid w:val="57A31A70"/>
    <w:rsid w:val="57AD28EF"/>
    <w:rsid w:val="57B53041"/>
    <w:rsid w:val="57B64BE2"/>
    <w:rsid w:val="57D362BB"/>
    <w:rsid w:val="58202087"/>
    <w:rsid w:val="584B5935"/>
    <w:rsid w:val="590B5B1F"/>
    <w:rsid w:val="5954396A"/>
    <w:rsid w:val="5991071A"/>
    <w:rsid w:val="59E37B56"/>
    <w:rsid w:val="59EFEAEF"/>
    <w:rsid w:val="59FD5DAF"/>
    <w:rsid w:val="5A4540EC"/>
    <w:rsid w:val="5A9F6E67"/>
    <w:rsid w:val="5AA72F4F"/>
    <w:rsid w:val="5AEE74A6"/>
    <w:rsid w:val="5B3C46B5"/>
    <w:rsid w:val="5B4C516C"/>
    <w:rsid w:val="5B5F7F9D"/>
    <w:rsid w:val="5BD6496B"/>
    <w:rsid w:val="5BD7618C"/>
    <w:rsid w:val="5BEC7E8A"/>
    <w:rsid w:val="5C0D645A"/>
    <w:rsid w:val="5C1B42CB"/>
    <w:rsid w:val="5C45759A"/>
    <w:rsid w:val="5C653798"/>
    <w:rsid w:val="5C8E7EC3"/>
    <w:rsid w:val="5C972D12"/>
    <w:rsid w:val="5CBC3D00"/>
    <w:rsid w:val="5CC2508E"/>
    <w:rsid w:val="5CC901CB"/>
    <w:rsid w:val="5D041127"/>
    <w:rsid w:val="5D274978"/>
    <w:rsid w:val="5DEC4289"/>
    <w:rsid w:val="5E3C44F1"/>
    <w:rsid w:val="5F2636B2"/>
    <w:rsid w:val="5F3262B6"/>
    <w:rsid w:val="5F891EB6"/>
    <w:rsid w:val="5FB91456"/>
    <w:rsid w:val="5FDD1F3F"/>
    <w:rsid w:val="5FEF619A"/>
    <w:rsid w:val="6007774F"/>
    <w:rsid w:val="602816AC"/>
    <w:rsid w:val="602945AE"/>
    <w:rsid w:val="604833DE"/>
    <w:rsid w:val="60646B8A"/>
    <w:rsid w:val="60673F83"/>
    <w:rsid w:val="60A46F85"/>
    <w:rsid w:val="60C72ED0"/>
    <w:rsid w:val="60CE50E4"/>
    <w:rsid w:val="60E35810"/>
    <w:rsid w:val="61243C22"/>
    <w:rsid w:val="61390E24"/>
    <w:rsid w:val="61703958"/>
    <w:rsid w:val="61AD294E"/>
    <w:rsid w:val="61E7746B"/>
    <w:rsid w:val="62A52F33"/>
    <w:rsid w:val="62D03A83"/>
    <w:rsid w:val="62D358FF"/>
    <w:rsid w:val="63151825"/>
    <w:rsid w:val="63467C48"/>
    <w:rsid w:val="635F7193"/>
    <w:rsid w:val="636B1FDC"/>
    <w:rsid w:val="637D7646"/>
    <w:rsid w:val="63AA27B0"/>
    <w:rsid w:val="6421269A"/>
    <w:rsid w:val="64393E88"/>
    <w:rsid w:val="649E19AA"/>
    <w:rsid w:val="64BB1B04"/>
    <w:rsid w:val="64D07AA7"/>
    <w:rsid w:val="650D2C1F"/>
    <w:rsid w:val="65D06CF7"/>
    <w:rsid w:val="65D33E68"/>
    <w:rsid w:val="660760F9"/>
    <w:rsid w:val="665A1E94"/>
    <w:rsid w:val="668313EA"/>
    <w:rsid w:val="668C4743"/>
    <w:rsid w:val="669C4833"/>
    <w:rsid w:val="66C60CFA"/>
    <w:rsid w:val="670562A3"/>
    <w:rsid w:val="67753429"/>
    <w:rsid w:val="6793565D"/>
    <w:rsid w:val="67EFA846"/>
    <w:rsid w:val="67FE4E0D"/>
    <w:rsid w:val="68000819"/>
    <w:rsid w:val="68022573"/>
    <w:rsid w:val="684D7F02"/>
    <w:rsid w:val="68582403"/>
    <w:rsid w:val="685D3048"/>
    <w:rsid w:val="686676F6"/>
    <w:rsid w:val="68BC6E36"/>
    <w:rsid w:val="68D91796"/>
    <w:rsid w:val="690D5FB2"/>
    <w:rsid w:val="69C2047C"/>
    <w:rsid w:val="69DD3507"/>
    <w:rsid w:val="69EE4AD5"/>
    <w:rsid w:val="6A6D7C9B"/>
    <w:rsid w:val="6A7929CD"/>
    <w:rsid w:val="6A9A4F55"/>
    <w:rsid w:val="6AAA163C"/>
    <w:rsid w:val="6AC56475"/>
    <w:rsid w:val="6AE50538"/>
    <w:rsid w:val="6B2F1B41"/>
    <w:rsid w:val="6B3B4599"/>
    <w:rsid w:val="6B4A4666"/>
    <w:rsid w:val="6B902CAD"/>
    <w:rsid w:val="6BDB112A"/>
    <w:rsid w:val="6C615D2A"/>
    <w:rsid w:val="6C7B57C3"/>
    <w:rsid w:val="6CB93DB8"/>
    <w:rsid w:val="6CDE55CC"/>
    <w:rsid w:val="6CEB3DAF"/>
    <w:rsid w:val="6CEE3336"/>
    <w:rsid w:val="6D136CF8"/>
    <w:rsid w:val="6D2A6A64"/>
    <w:rsid w:val="6D6A33D8"/>
    <w:rsid w:val="6D9A2F69"/>
    <w:rsid w:val="6D9B0CAD"/>
    <w:rsid w:val="6D9E4D5C"/>
    <w:rsid w:val="6DC238E6"/>
    <w:rsid w:val="6DCD4B4B"/>
    <w:rsid w:val="6DE85CF0"/>
    <w:rsid w:val="6E331948"/>
    <w:rsid w:val="6E37271C"/>
    <w:rsid w:val="6E540BEB"/>
    <w:rsid w:val="6E872A0C"/>
    <w:rsid w:val="6E964977"/>
    <w:rsid w:val="6E9C129B"/>
    <w:rsid w:val="6EE363DD"/>
    <w:rsid w:val="6EEB2223"/>
    <w:rsid w:val="6F163D62"/>
    <w:rsid w:val="6FA2126A"/>
    <w:rsid w:val="6FD80D8A"/>
    <w:rsid w:val="6FF84353"/>
    <w:rsid w:val="6FF944CB"/>
    <w:rsid w:val="70877CCD"/>
    <w:rsid w:val="70D50A94"/>
    <w:rsid w:val="71804EA4"/>
    <w:rsid w:val="71B92164"/>
    <w:rsid w:val="71C11019"/>
    <w:rsid w:val="71C64881"/>
    <w:rsid w:val="71D531AA"/>
    <w:rsid w:val="71F962DA"/>
    <w:rsid w:val="72624542"/>
    <w:rsid w:val="72CC236B"/>
    <w:rsid w:val="72D22BB5"/>
    <w:rsid w:val="732950C8"/>
    <w:rsid w:val="73595E91"/>
    <w:rsid w:val="7399224D"/>
    <w:rsid w:val="73A11056"/>
    <w:rsid w:val="73B2330F"/>
    <w:rsid w:val="73CD1EF7"/>
    <w:rsid w:val="73EA3A54"/>
    <w:rsid w:val="73FA3514"/>
    <w:rsid w:val="74324450"/>
    <w:rsid w:val="7443665D"/>
    <w:rsid w:val="7485187F"/>
    <w:rsid w:val="749F63EF"/>
    <w:rsid w:val="750B0F29"/>
    <w:rsid w:val="753D60C5"/>
    <w:rsid w:val="75531986"/>
    <w:rsid w:val="75532C25"/>
    <w:rsid w:val="75851CD5"/>
    <w:rsid w:val="75D67789"/>
    <w:rsid w:val="75E83018"/>
    <w:rsid w:val="75FE3D53"/>
    <w:rsid w:val="76240986"/>
    <w:rsid w:val="76780840"/>
    <w:rsid w:val="7679462D"/>
    <w:rsid w:val="76F123A0"/>
    <w:rsid w:val="779F3834"/>
    <w:rsid w:val="77F9150C"/>
    <w:rsid w:val="78120820"/>
    <w:rsid w:val="78434E7D"/>
    <w:rsid w:val="7853653F"/>
    <w:rsid w:val="78656BA2"/>
    <w:rsid w:val="78D423B7"/>
    <w:rsid w:val="790B4BBB"/>
    <w:rsid w:val="793F73F3"/>
    <w:rsid w:val="79960FDD"/>
    <w:rsid w:val="79A67472"/>
    <w:rsid w:val="79F96A62"/>
    <w:rsid w:val="79FF2F6D"/>
    <w:rsid w:val="7A1268B5"/>
    <w:rsid w:val="7A545D02"/>
    <w:rsid w:val="7A5F2A48"/>
    <w:rsid w:val="7A7255A6"/>
    <w:rsid w:val="7A7E03EF"/>
    <w:rsid w:val="7B234EA2"/>
    <w:rsid w:val="7B450F0D"/>
    <w:rsid w:val="7B5829EE"/>
    <w:rsid w:val="7BF97C74"/>
    <w:rsid w:val="7C6B61A6"/>
    <w:rsid w:val="7C75312C"/>
    <w:rsid w:val="7CAB6119"/>
    <w:rsid w:val="7CAD4FBB"/>
    <w:rsid w:val="7CF5BC7B"/>
    <w:rsid w:val="7CF6426C"/>
    <w:rsid w:val="7D0A5F6A"/>
    <w:rsid w:val="7D62494F"/>
    <w:rsid w:val="7D67363F"/>
    <w:rsid w:val="7D796C4C"/>
    <w:rsid w:val="7D9615AC"/>
    <w:rsid w:val="7DAE4B47"/>
    <w:rsid w:val="7DEC38C1"/>
    <w:rsid w:val="7E0B01EB"/>
    <w:rsid w:val="7E573431"/>
    <w:rsid w:val="7EAD4DFF"/>
    <w:rsid w:val="7ECE00D6"/>
    <w:rsid w:val="7ED05CE1"/>
    <w:rsid w:val="7EE747B5"/>
    <w:rsid w:val="7F0013D2"/>
    <w:rsid w:val="7F437511"/>
    <w:rsid w:val="7F6F5D8F"/>
    <w:rsid w:val="7FBA742F"/>
    <w:rsid w:val="7FC03CF4"/>
    <w:rsid w:val="7FCB41D1"/>
    <w:rsid w:val="8E6F4FE9"/>
    <w:rsid w:val="DBBF1253"/>
    <w:rsid w:val="DBFF6519"/>
    <w:rsid w:val="DD738E00"/>
    <w:rsid w:val="DDDF8653"/>
    <w:rsid w:val="EF6E73EC"/>
    <w:rsid w:val="F7FFBDF9"/>
    <w:rsid w:val="FF775E50"/>
    <w:rsid w:val="FF7E2EC4"/>
    <w:rsid w:val="FFFCF2D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
    <w:name w:val="批注框文本 Char"/>
    <w:basedOn w:val="8"/>
    <w:link w:val="2"/>
    <w:semiHidden/>
    <w:qFormat/>
    <w:locked/>
    <w:uiPriority w:val="99"/>
    <w:rPr>
      <w:rFonts w:ascii="Calibri" w:hAnsi="Calibri" w:cs="Calibri"/>
      <w:kern w:val="2"/>
      <w:sz w:val="18"/>
      <w:szCs w:val="18"/>
    </w:rPr>
  </w:style>
  <w:style w:type="character" w:customStyle="1" w:styleId="10">
    <w:name w:val="页脚 Char"/>
    <w:basedOn w:val="8"/>
    <w:link w:val="3"/>
    <w:qFormat/>
    <w:locked/>
    <w:uiPriority w:val="99"/>
    <w:rPr>
      <w:rFonts w:ascii="Calibri" w:hAnsi="Calibri" w:cs="Calibri"/>
      <w:sz w:val="18"/>
      <w:szCs w:val="18"/>
    </w:rPr>
  </w:style>
  <w:style w:type="character" w:customStyle="1" w:styleId="11">
    <w:name w:val="页眉 Char"/>
    <w:basedOn w:val="8"/>
    <w:link w:val="4"/>
    <w:semiHidden/>
    <w:qFormat/>
    <w:locked/>
    <w:uiPriority w:val="99"/>
    <w:rPr>
      <w:rFonts w:ascii="Calibri" w:hAnsi="Calibri" w:cs="Calibri"/>
      <w:sz w:val="18"/>
      <w:szCs w:val="18"/>
    </w:rPr>
  </w:style>
  <w:style w:type="paragraph" w:customStyle="1" w:styleId="12">
    <w:name w:val="p0"/>
    <w:basedOn w:val="1"/>
    <w:qFormat/>
    <w:uiPriority w:val="99"/>
    <w:pPr>
      <w:widowControl/>
    </w:pPr>
    <w:rPr>
      <w:kern w:val="0"/>
    </w:rPr>
  </w:style>
  <w:style w:type="paragraph" w:customStyle="1" w:styleId="13">
    <w:name w:val="custom_unionstyle"/>
    <w:basedOn w:val="1"/>
    <w:qFormat/>
    <w:uiPriority w:val="99"/>
    <w:pPr>
      <w:widowControl/>
      <w:jc w:val="left"/>
    </w:pPr>
    <w:rPr>
      <w:rFonts w:ascii="宋体" w:hAnsi="宋体" w:cs="宋体"/>
      <w:kern w:val="0"/>
      <w:sz w:val="24"/>
      <w:szCs w:val="24"/>
    </w:rPr>
  </w:style>
  <w:style w:type="paragraph" w:styleId="14">
    <w:name w:val="List Paragraph"/>
    <w:basedOn w:val="1"/>
    <w:qFormat/>
    <w:uiPriority w:val="99"/>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16</Pages>
  <Words>11283</Words>
  <Characters>11850</Characters>
  <Lines>91</Lines>
  <Paragraphs>25</Paragraphs>
  <TotalTime>0</TotalTime>
  <ScaleCrop>false</ScaleCrop>
  <LinksUpToDate>false</LinksUpToDate>
  <CharactersWithSpaces>12875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2017-03-01T06:14:00Z</dcterms:created>
  <dc:creator>Administrator</dc:creator>
  <cp:lastModifiedBy>lili  </cp:lastModifiedBy>
  <cp:lastPrinted>2020-11-20T01:30:00Z</cp:lastPrinted>
  <dcterms:modified xsi:type="dcterms:W3CDTF">2023-11-28T01:27:24Z</dcterms:modified>
  <cp:revision>240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55058C16884C413996C2EA205B100AD7</vt:lpwstr>
  </property>
</Properties>
</file>