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楷体" w:hAnsi="楷体" w:eastAsia="楷体"/>
          <w:b/>
          <w:color w:val="000000" w:themeColor="text1"/>
          <w:sz w:val="44"/>
          <w:szCs w:val="44"/>
          <w14:textFill>
            <w14:solidFill>
              <w14:schemeClr w14:val="tx1"/>
            </w14:solidFill>
          </w14:textFill>
        </w:rPr>
      </w:pPr>
      <w:r>
        <w:rPr>
          <w:rFonts w:hint="eastAsia" w:ascii="楷体" w:hAnsi="楷体" w:eastAsia="楷体"/>
          <w:b/>
          <w:color w:val="000000" w:themeColor="text1"/>
          <w:sz w:val="44"/>
          <w:szCs w:val="44"/>
          <w14:textFill>
            <w14:solidFill>
              <w14:schemeClr w14:val="tx1"/>
            </w14:solidFill>
          </w14:textFill>
        </w:rPr>
        <w:t>新余市基本医疗保险定点医疗机构综合评估表</w:t>
      </w:r>
    </w:p>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医疗机构名称（公章）：                    自评得分：                         总分：100分（门诊90分）</w:t>
      </w:r>
    </w:p>
    <w:tbl>
      <w:tblPr>
        <w:tblStyle w:val="6"/>
        <w:tblW w:w="5000" w:type="pct"/>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543"/>
        <w:gridCol w:w="904"/>
        <w:gridCol w:w="906"/>
        <w:gridCol w:w="4877"/>
        <w:gridCol w:w="1111"/>
        <w:gridCol w:w="1201"/>
        <w:gridCol w:w="114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blHeader/>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序号</w:t>
            </w:r>
          </w:p>
        </w:tc>
        <w:tc>
          <w:tcPr>
            <w:tcW w:w="847" w:type="pct"/>
            <w:gridSpan w:val="2"/>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评估项目</w:t>
            </w:r>
          </w:p>
        </w:tc>
        <w:tc>
          <w:tcPr>
            <w:tcW w:w="228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评估标准</w:t>
            </w:r>
          </w:p>
        </w:tc>
        <w:tc>
          <w:tcPr>
            <w:tcW w:w="520"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自评</w:t>
            </w:r>
          </w:p>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得分</w:t>
            </w:r>
          </w:p>
        </w:tc>
        <w:tc>
          <w:tcPr>
            <w:tcW w:w="562"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自评得分</w:t>
            </w:r>
          </w:p>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说明</w:t>
            </w:r>
          </w:p>
        </w:tc>
        <w:tc>
          <w:tcPr>
            <w:tcW w:w="53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佐证材料编号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blHeader/>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847" w:type="pct"/>
            <w:gridSpan w:val="2"/>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住院医疗机构（综合，含中医院）</w:t>
            </w:r>
          </w:p>
        </w:tc>
        <w:tc>
          <w:tcPr>
            <w:tcW w:w="520"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w:t>
            </w:r>
          </w:p>
        </w:tc>
        <w:tc>
          <w:tcPr>
            <w:tcW w:w="42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规划布局（12分）</w:t>
            </w:r>
          </w:p>
        </w:tc>
        <w:tc>
          <w:tcPr>
            <w:tcW w:w="424" w:type="pct"/>
            <w:vMerge w:val="restart"/>
            <w:vAlign w:val="center"/>
          </w:tcPr>
          <w:p>
            <w:pPr>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开业</w:t>
            </w:r>
          </w:p>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时间</w:t>
            </w: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（1）3年（含）及以上，得5分；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（2）2年（含）至3年以内的得3分；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（3）1年（含）至2年以内，得2分；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（4）3个月（含）至1年以内得1分。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营业场所使用时间</w:t>
            </w: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（1）自有房产证或不动产登记证的，得5分；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（2）房屋租赁合同在5年（含）以上的，得4分；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（3）房屋租赁合同在3年（含）以上的得3分。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（4）房屋租赁合同在2年（含）以上的得2分。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（5）房屋租赁合同在2年以内的，得1分。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81"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与最近医保定点同级医疗机构的距离</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（1）住院医疗机构1000米（含）以上，得2分；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（2）住院医疗机构1000米以下，得1分。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w:t>
            </w:r>
          </w:p>
        </w:tc>
        <w:tc>
          <w:tcPr>
            <w:tcW w:w="42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服务能力（住院23分、门诊19分）</w:t>
            </w: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临床科室数量</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（1）15个（含）以上，得3分；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（2）11个至14个，得2分；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（3）6个至10个，得1分。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医保药品种数</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（1）1800种</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以上，得3分；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（2）1201种至1800种，得2分；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（3）800种</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至1200种，得1分。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6</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诊疗项目种数</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（1）1200种</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以上，得3分；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（2）801种至1200种，得2分；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（3）500种</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至800种，得1分。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7</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第一</w:t>
            </w:r>
            <w:r>
              <w:rPr>
                <w:rFonts w:hint="eastAsia" w:ascii="仿宋" w:hAnsi="仿宋" w:eastAsia="仿宋" w:cs="仿宋"/>
                <w:color w:val="000000" w:themeColor="text1"/>
                <w:sz w:val="24"/>
                <w:szCs w:val="24"/>
                <w14:textFill>
                  <w14:solidFill>
                    <w14:schemeClr w14:val="tx1"/>
                  </w14:solidFill>
                </w14:textFill>
              </w:rPr>
              <w:t>注册</w:t>
            </w:r>
            <w:r>
              <w:rPr>
                <w:rFonts w:hint="eastAsia" w:ascii="仿宋" w:hAnsi="仿宋" w:eastAsia="仿宋" w:cs="仿宋"/>
                <w:color w:val="000000" w:themeColor="text1"/>
                <w:sz w:val="24"/>
                <w:szCs w:val="24"/>
                <w:lang w:eastAsia="zh-CN"/>
                <w14:textFill>
                  <w14:solidFill>
                    <w14:schemeClr w14:val="tx1"/>
                  </w14:solidFill>
                </w14:textFill>
              </w:rPr>
              <w:t>地</w:t>
            </w:r>
            <w:r>
              <w:rPr>
                <w:rFonts w:hint="eastAsia" w:ascii="仿宋" w:hAnsi="仿宋" w:eastAsia="仿宋" w:cs="仿宋"/>
                <w:color w:val="000000" w:themeColor="text1"/>
                <w:sz w:val="24"/>
                <w:szCs w:val="24"/>
                <w14:textFill>
                  <w14:solidFill>
                    <w14:schemeClr w14:val="tx1"/>
                  </w14:solidFill>
                </w14:textFill>
              </w:rPr>
              <w:t>在本医疗机构、在本医疗机构专职上班且在本机构参加城镇职工医疗保险的执业医师人数</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（1）50人（含）以上，得3分；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（2）21人（含）至50人，得2分；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（3）10至20人，得1分。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3"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8</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注册在本医疗机构、在本医疗机构专职上班</w:t>
            </w:r>
            <w:r>
              <w:rPr>
                <w:rFonts w:hint="eastAsia" w:ascii="仿宋" w:hAnsi="仿宋" w:eastAsia="仿宋" w:cs="仿宋"/>
                <w:color w:val="000000" w:themeColor="text1"/>
                <w:kern w:val="0"/>
                <w:sz w:val="24"/>
                <w:szCs w:val="24"/>
                <w14:textFill>
                  <w14:solidFill>
                    <w14:schemeClr w14:val="tx1"/>
                  </w14:solidFill>
                </w14:textFill>
              </w:rPr>
              <w:t>且在本机构参加城镇职工医疗保险的执</w:t>
            </w:r>
            <w:r>
              <w:rPr>
                <w:rFonts w:hint="eastAsia" w:ascii="仿宋" w:hAnsi="仿宋" w:eastAsia="仿宋" w:cs="仿宋"/>
                <w:color w:val="000000" w:themeColor="text1"/>
                <w:sz w:val="24"/>
                <w:szCs w:val="24"/>
                <w14:textFill>
                  <w14:solidFill>
                    <w14:schemeClr w14:val="tx1"/>
                  </w14:solidFill>
                </w14:textFill>
              </w:rPr>
              <w:t>业药师(或药师)人数</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（1）10人（含）以上，得3分；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（2）6人（含）至9人，得2分；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（3）3人至5人（含），得1分。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9</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医疗业务用房面积</w:t>
            </w: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（1）10000平米（含）以上，得4分；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（2）5001平米至10000平米，得3分；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（3）3001平米至5000平米，2分。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（4）2000平米（含）至3000平米，得1分。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10</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核定病床数量</w:t>
            </w:r>
            <w:r>
              <w:rPr>
                <w:rFonts w:hint="eastAsia" w:ascii="仿宋" w:hAnsi="仿宋" w:eastAsia="仿宋" w:cs="仿宋"/>
                <w:color w:val="000000" w:themeColor="text1"/>
                <w:sz w:val="24"/>
                <w:szCs w:val="24"/>
                <w14:textFill>
                  <w14:solidFill>
                    <w14:schemeClr w14:val="tx1"/>
                  </w14:solidFill>
                </w14:textFill>
              </w:rPr>
              <w:t>（门诊医疗机构不评估）</w:t>
            </w: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（1）200张（含）以上，得4分；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（2）101张至200张，得3分；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（3）51张至100张，得2分；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（4）20张（含）至</w:t>
            </w:r>
            <w:r>
              <w:rPr>
                <w:rFonts w:hint="eastAsia" w:ascii="仿宋" w:hAnsi="仿宋" w:eastAsia="仿宋" w:cs="仿宋"/>
                <w:color w:val="000000" w:themeColor="text1"/>
                <w:sz w:val="24"/>
                <w:szCs w:val="24"/>
                <w:lang w:val="en-US" w:eastAsia="zh-CN"/>
                <w14:textFill>
                  <w14:solidFill>
                    <w14:schemeClr w14:val="tx1"/>
                  </w14:solidFill>
                </w14:textFill>
              </w:rPr>
              <w:t>50</w:t>
            </w:r>
            <w:r>
              <w:rPr>
                <w:rFonts w:hint="eastAsia" w:ascii="仿宋" w:hAnsi="仿宋" w:eastAsia="仿宋" w:cs="仿宋"/>
                <w:color w:val="000000" w:themeColor="text1"/>
                <w:sz w:val="24"/>
                <w:szCs w:val="24"/>
                <w14:textFill>
                  <w14:solidFill>
                    <w14:schemeClr w14:val="tx1"/>
                  </w14:solidFill>
                </w14:textFill>
              </w:rPr>
              <w:t>张，得1分。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11</w:t>
            </w:r>
          </w:p>
        </w:tc>
        <w:tc>
          <w:tcPr>
            <w:tcW w:w="42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价格收费（住院21分、门诊17分）</w:t>
            </w:r>
          </w:p>
        </w:tc>
        <w:tc>
          <w:tcPr>
            <w:tcW w:w="424" w:type="pct"/>
            <w:vMerge w:val="restart"/>
            <w:vAlign w:val="center"/>
          </w:tcPr>
          <w:p>
            <w:pPr>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药品</w:t>
            </w:r>
          </w:p>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价格</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（1）随机抽查的10个药品价格均未超过</w:t>
            </w:r>
            <w:r>
              <w:rPr>
                <w:rFonts w:hint="eastAsia" w:ascii="仿宋" w:hAnsi="仿宋" w:eastAsia="仿宋" w:cs="仿宋"/>
                <w:color w:val="000000" w:themeColor="text1"/>
                <w:kern w:val="0"/>
                <w:sz w:val="24"/>
                <w:szCs w:val="24"/>
                <w:lang w:eastAsia="zh-CN"/>
                <w14:textFill>
                  <w14:solidFill>
                    <w14:schemeClr w14:val="tx1"/>
                  </w14:solidFill>
                </w14:textFill>
              </w:rPr>
              <w:t>国家医保信息平台药品招标采购子系统</w:t>
            </w:r>
            <w:r>
              <w:rPr>
                <w:rFonts w:hint="eastAsia" w:ascii="仿宋" w:hAnsi="仿宋" w:eastAsia="仿宋" w:cs="仿宋"/>
                <w:color w:val="000000" w:themeColor="text1"/>
                <w:sz w:val="24"/>
                <w:szCs w:val="24"/>
                <w14:textFill>
                  <w14:solidFill>
                    <w14:schemeClr w14:val="tx1"/>
                  </w14:solidFill>
                </w14:textFill>
              </w:rPr>
              <w:t>确定的公立医院销售价格的，得4分；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（2）随机抽查的药品价格超过</w:t>
            </w:r>
            <w:r>
              <w:rPr>
                <w:rFonts w:hint="eastAsia" w:ascii="仿宋" w:hAnsi="仿宋" w:eastAsia="仿宋" w:cs="仿宋"/>
                <w:color w:val="000000" w:themeColor="text1"/>
                <w:kern w:val="0"/>
                <w:sz w:val="24"/>
                <w:szCs w:val="24"/>
                <w:lang w:eastAsia="zh-CN"/>
                <w14:textFill>
                  <w14:solidFill>
                    <w14:schemeClr w14:val="tx1"/>
                  </w14:solidFill>
                </w14:textFill>
              </w:rPr>
              <w:t>国家医保信息平台药品招标采购子系统</w:t>
            </w:r>
            <w:r>
              <w:rPr>
                <w:rFonts w:hint="eastAsia" w:ascii="仿宋" w:hAnsi="仿宋" w:eastAsia="仿宋" w:cs="仿宋"/>
                <w:color w:val="000000" w:themeColor="text1"/>
                <w:sz w:val="24"/>
                <w:szCs w:val="24"/>
                <w14:textFill>
                  <w14:solidFill>
                    <w14:schemeClr w14:val="tx1"/>
                  </w14:solidFill>
                </w14:textFill>
              </w:rPr>
              <w:t>的，1个品种扣0.5分，累计计算，最多可扣4分。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12</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检查治疗收费</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（1）随机抽查的10个检查治疗收费均未超过省价格主管部门确定的收费价格的，得4分；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（2）随机抽查的检查治疗收费超过省价格主管部门确定的收费价格的，1个项目扣0.5分，累计计算，最多可扣4分。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13</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次均住院费用</w:t>
            </w:r>
            <w:r>
              <w:rPr>
                <w:rFonts w:hint="eastAsia" w:ascii="仿宋" w:hAnsi="仿宋" w:eastAsia="仿宋" w:cs="仿宋"/>
                <w:color w:val="000000" w:themeColor="text1"/>
                <w:sz w:val="24"/>
                <w:szCs w:val="24"/>
                <w14:textFill>
                  <w14:solidFill>
                    <w14:schemeClr w14:val="tx1"/>
                  </w14:solidFill>
                </w14:textFill>
              </w:rPr>
              <w:t>（门诊医疗机构不评估）</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上一年度次均住院费用与统筹地区上一年度同级别医疗机构医保次均住院费用相比，85%</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以下的得4分</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宋体" w:hAnsi="宋体"/>
                <w:color w:val="000000" w:themeColor="text1"/>
                <w14:textFill>
                  <w14:solidFill>
                    <w14:schemeClr w14:val="tx1"/>
                  </w14:solidFill>
                </w14:textFill>
              </w:rPr>
              <w:t>8</w:t>
            </w:r>
            <w:r>
              <w:rPr>
                <w:rFonts w:hint="eastAsia" w:ascii="宋体" w:hAnsi="宋体"/>
                <w:color w:val="000000" w:themeColor="text1"/>
                <w:lang w:val="en-US" w:eastAsia="zh-CN"/>
                <w14:textFill>
                  <w14:solidFill>
                    <w14:schemeClr w14:val="tx1"/>
                  </w14:solidFill>
                </w14:textFill>
              </w:rPr>
              <w:t>4</w:t>
            </w:r>
            <w:r>
              <w:rPr>
                <w:rFonts w:hint="eastAsia" w:ascii="宋体" w:hAnsi="宋体"/>
                <w:color w:val="000000" w:themeColor="text1"/>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-89%的得3分</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90%-100%的得2分。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14</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次均门诊费用</w:t>
            </w:r>
          </w:p>
        </w:tc>
        <w:tc>
          <w:tcPr>
            <w:tcW w:w="2282" w:type="pct"/>
            <w:vAlign w:val="center"/>
          </w:tcPr>
          <w:p>
            <w:pPr>
              <w:jc w:val="left"/>
              <w:rPr>
                <w:rFonts w:hint="default" w:ascii="仿宋" w:hAnsi="仿宋" w:eastAsia="仿宋" w:cs="仿宋"/>
                <w:b/>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上</w:t>
            </w:r>
            <w:r>
              <w:rPr>
                <w:rFonts w:hint="eastAsia" w:ascii="仿宋" w:hAnsi="仿宋" w:eastAsia="仿宋" w:cs="仿宋"/>
                <w:color w:val="000000" w:themeColor="text1"/>
                <w:sz w:val="24"/>
                <w:szCs w:val="24"/>
                <w14:textFill>
                  <w14:solidFill>
                    <w14:schemeClr w14:val="tx1"/>
                  </w14:solidFill>
                </w14:textFill>
              </w:rPr>
              <w:t>一年度次均门诊费用与统筹地区上一年度同级别医疗机构医保次均门诊费用相比，85%</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以下得4分</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宋体" w:hAnsi="宋体"/>
                <w:color w:val="000000" w:themeColor="text1"/>
                <w14:textFill>
                  <w14:solidFill>
                    <w14:schemeClr w14:val="tx1"/>
                  </w14:solidFill>
                </w14:textFill>
              </w:rPr>
              <w:t>8</w:t>
            </w:r>
            <w:r>
              <w:rPr>
                <w:rFonts w:hint="eastAsia" w:ascii="宋体" w:hAnsi="宋体"/>
                <w:color w:val="000000" w:themeColor="text1"/>
                <w:lang w:val="en-US" w:eastAsia="zh-CN"/>
                <w14:textFill>
                  <w14:solidFill>
                    <w14:schemeClr w14:val="tx1"/>
                  </w14:solidFill>
                </w14:textFill>
              </w:rPr>
              <w:t>4</w:t>
            </w:r>
            <w:r>
              <w:rPr>
                <w:rFonts w:hint="eastAsia" w:ascii="宋体" w:hAnsi="宋体"/>
                <w:color w:val="000000" w:themeColor="text1"/>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-89%的得3分</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90%-</w:t>
            </w:r>
            <w:r>
              <w:rPr>
                <w:rFonts w:hint="eastAsia" w:ascii="仿宋" w:hAnsi="仿宋" w:eastAsia="仿宋" w:cs="仿宋"/>
                <w:color w:val="000000" w:themeColor="text1"/>
                <w:sz w:val="24"/>
                <w:szCs w:val="24"/>
                <w:lang w:val="en-US" w:eastAsia="zh-CN"/>
                <w14:textFill>
                  <w14:solidFill>
                    <w14:schemeClr w14:val="tx1"/>
                  </w14:solidFill>
                </w14:textFill>
              </w:rPr>
              <w:t>94</w:t>
            </w:r>
            <w:r>
              <w:rPr>
                <w:rFonts w:hint="eastAsia" w:ascii="仿宋" w:hAnsi="仿宋" w:eastAsia="仿宋" w:cs="仿宋"/>
                <w:color w:val="000000" w:themeColor="text1"/>
                <w:sz w:val="24"/>
                <w:szCs w:val="24"/>
                <w14:textFill>
                  <w14:solidFill>
                    <w14:schemeClr w14:val="tx1"/>
                  </w14:solidFill>
                </w14:textFill>
              </w:rPr>
              <w:t>%的得2分</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9</w:t>
            </w:r>
            <w:r>
              <w:rPr>
                <w:rFonts w:hint="eastAsia" w:ascii="仿宋" w:hAnsi="仿宋" w:eastAsia="仿宋" w:cs="仿宋"/>
                <w:color w:val="000000" w:themeColor="text1"/>
                <w:sz w:val="24"/>
                <w:szCs w:val="24"/>
                <w:lang w:val="en-US" w:eastAsia="zh-CN"/>
                <w14:textFill>
                  <w14:solidFill>
                    <w14:schemeClr w14:val="tx1"/>
                  </w14:solidFill>
                </w14:textFill>
              </w:rPr>
              <w:t>5</w:t>
            </w:r>
            <w:r>
              <w:rPr>
                <w:rFonts w:hint="eastAsia" w:ascii="仿宋" w:hAnsi="仿宋" w:eastAsia="仿宋" w:cs="仿宋"/>
                <w:color w:val="000000" w:themeColor="text1"/>
                <w:sz w:val="24"/>
                <w:szCs w:val="24"/>
                <w14:textFill>
                  <w14:solidFill>
                    <w14:schemeClr w14:val="tx1"/>
                  </w14:solidFill>
                </w14:textFill>
              </w:rPr>
              <w:t>%-100%</w:t>
            </w:r>
            <w:r>
              <w:rPr>
                <w:rFonts w:hint="eastAsia" w:ascii="仿宋" w:hAnsi="仿宋" w:eastAsia="仿宋" w:cs="仿宋"/>
                <w:color w:val="000000" w:themeColor="text1"/>
                <w:sz w:val="24"/>
                <w:szCs w:val="24"/>
                <w:lang w:eastAsia="zh-CN"/>
                <w14:textFill>
                  <w14:solidFill>
                    <w14:schemeClr w14:val="tx1"/>
                  </w14:solidFill>
                </w14:textFill>
              </w:rPr>
              <w:t>的得</w:t>
            </w:r>
            <w:r>
              <w:rPr>
                <w:rFonts w:hint="eastAsia" w:ascii="仿宋" w:hAnsi="仿宋" w:eastAsia="仿宋" w:cs="仿宋"/>
                <w:color w:val="000000" w:themeColor="text1"/>
                <w:sz w:val="24"/>
                <w:szCs w:val="24"/>
                <w:lang w:val="en-US" w:eastAsia="zh-CN"/>
                <w14:textFill>
                  <w14:solidFill>
                    <w14:schemeClr w14:val="tx1"/>
                  </w14:solidFill>
                </w14:textFill>
              </w:rPr>
              <w:t>1分</w:t>
            </w:r>
            <w:r>
              <w:rPr>
                <w:rFonts w:hint="eastAsia" w:ascii="仿宋" w:hAnsi="仿宋" w:eastAsia="仿宋" w:cs="仿宋"/>
                <w:color w:val="000000" w:themeColor="text1"/>
                <w:sz w:val="24"/>
                <w:szCs w:val="24"/>
                <w:lang w:val="en-US" w:eastAsia="zh-CN"/>
                <w14:textFill>
                  <w14:solidFill>
                    <w14:schemeClr w14:val="tx1"/>
                  </w14:solidFill>
                </w14:textFill>
              </w:rPr>
              <w:t>。</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15</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费用清单</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按规定提供药品、检查、治疗、服务收费清单的，得2分。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16</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价格信息公示</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设立公示屏（牌）及时向群众公示药品价格和医疗服务价格信息及医保支付标准的，得3分。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17</w:t>
            </w:r>
          </w:p>
        </w:tc>
        <w:tc>
          <w:tcPr>
            <w:tcW w:w="42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内部管理（住院15分、门诊13分）</w:t>
            </w: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门诊患者抗菌药物使用率</w:t>
            </w:r>
          </w:p>
        </w:tc>
        <w:tc>
          <w:tcPr>
            <w:tcW w:w="2282" w:type="pct"/>
            <w:vAlign w:val="center"/>
          </w:tcPr>
          <w:p>
            <w:pPr>
              <w:jc w:val="left"/>
              <w:rPr>
                <w:rFonts w:hint="eastAsia" w:ascii="仿宋" w:hAnsi="仿宋" w:eastAsia="仿宋" w:cs="仿宋"/>
                <w:b/>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抽查10份门诊病历，抗菌药物使用率在50%</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以下的得2分；抗菌药物使用率在50%至60%</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的得1分</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60%以上不得分</w:t>
            </w:r>
            <w:r>
              <w:rPr>
                <w:rFonts w:hint="eastAsia" w:ascii="仿宋" w:hAnsi="仿宋" w:eastAsia="仿宋" w:cs="仿宋"/>
                <w:color w:val="000000" w:themeColor="text1"/>
                <w:sz w:val="24"/>
                <w:szCs w:val="24"/>
                <w:lang w:eastAsia="zh-CN"/>
                <w14:textFill>
                  <w14:solidFill>
                    <w14:schemeClr w14:val="tx1"/>
                  </w14:solidFill>
                </w14:textFill>
              </w:rPr>
              <w:t>。</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18</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住院患者大型检查阳性率（门诊医疗机构不评估）</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抽查10份住院病历，大型检查阳性率（CT、核磁共振、彩超）在80%</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以上的，得2分；大型检查阳性率在70%</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至80%的得1分</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70%以下不得分。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19</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医疗保险管理</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建立了与基本医疗保险管理相适应的内部组织管理制度，配备了必要的管理人员、设备和办公场所，得4分。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20</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环境卫生管理</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医疗机构干净整洁，无乱贴乱挂，功能分区合理，得3分。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21</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医疗纠纷调解</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建立健全医疗纠纷投诉和处理机构，并有专人负责，公布投诉电话、信箱，畅通投诉渠道，及时受理、处置患者投诉的，得2分。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22</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便民导诊服务</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设立导诊台、触摸屏、指示牌、就医流程、专家姓名和联系方式，方便群众看病就医的，得2分。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23</w:t>
            </w:r>
          </w:p>
        </w:tc>
        <w:tc>
          <w:tcPr>
            <w:tcW w:w="42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财务管理（14分）</w:t>
            </w: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在本机构参加城镇职工医疗保险情况</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（1）全部在职员工参加医疗保险，并及时缴费，得5分；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（2）80%及以上在职员工参加医疗保险，并及时缴费，得</w:t>
            </w:r>
            <w:r>
              <w:rPr>
                <w:rFonts w:hint="eastAsia" w:ascii="仿宋" w:hAnsi="仿宋" w:eastAsia="仿宋" w:cs="仿宋"/>
                <w:color w:val="000000" w:themeColor="text1"/>
                <w:sz w:val="24"/>
                <w:szCs w:val="24"/>
                <w:lang w:val="en-US" w:eastAsia="zh-CN"/>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8</w:t>
            </w:r>
            <w:r>
              <w:rPr>
                <w:rFonts w:hint="eastAsia" w:ascii="仿宋" w:hAnsi="仿宋" w:eastAsia="仿宋" w:cs="仿宋"/>
                <w:color w:val="000000" w:themeColor="text1"/>
                <w:sz w:val="24"/>
                <w:szCs w:val="24"/>
                <w14:textFill>
                  <w14:solidFill>
                    <w14:schemeClr w14:val="tx1"/>
                  </w14:solidFill>
                </w14:textFill>
              </w:rPr>
              <w:t>0%以下在职员工参加医疗保险的，不得纳入医保定点。</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24</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对药品、医用的材料的采购、验收、销售等环节、实行计算机实时管理情况</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（1）已实时录入全部环节数据并可查询3个月以上时间的真实数据，得3分；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（2）已实时录入全部环节数据并可查询1至3个月以内的真实数据，得2分；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（3）已实时录入全部环节数据并可查询1个月以下时间的真实数据，得1分；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（4）分别抽查20个药品和医用材料，进、销、存账物不符的，每发现一个品种扣0.5分，累计计算，最多扣3分。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25</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财务管理制度</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有健全和完善财务管理制度，对医疗机构财务活动进行全面管理，建立监督内控机制的，得2分。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26</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财务人员</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根据医疗机构规模，设置相应独立的财会机构，配备相应的会计、出纳人员，得2分。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27</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财务结算</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财务票据齐全、合法，且安装使用电子收费系统的，得2分。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28</w:t>
            </w:r>
          </w:p>
        </w:tc>
        <w:tc>
          <w:tcPr>
            <w:tcW w:w="42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信息系统（6分）</w:t>
            </w: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计算机配备使用</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按照医疗保险业务要求配置必要的电脑设备（包括POS机）和熟练的操作人员的，得2分。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29</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医疗信息化</w:t>
            </w: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对医疗服务过程实行全流程信息化管理的得2分。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30</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联网结算能力</w:t>
            </w: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承诺在签订协议之前，实现与医保</w:t>
            </w:r>
            <w:r>
              <w:rPr>
                <w:rFonts w:hint="eastAsia" w:ascii="仿宋" w:hAnsi="仿宋" w:eastAsia="仿宋" w:cs="仿宋"/>
                <w:color w:val="000000" w:themeColor="text1"/>
                <w:kern w:val="0"/>
                <w:sz w:val="24"/>
                <w:szCs w:val="24"/>
                <w:lang w:eastAsia="zh-CN"/>
                <w14:textFill>
                  <w14:solidFill>
                    <w14:schemeClr w14:val="tx1"/>
                  </w14:solidFill>
                </w14:textFill>
              </w:rPr>
              <w:t>信息平台</w:t>
            </w:r>
            <w:r>
              <w:rPr>
                <w:rFonts w:hint="eastAsia" w:ascii="仿宋" w:hAnsi="仿宋" w:eastAsia="仿宋" w:cs="仿宋"/>
                <w:color w:val="000000" w:themeColor="text1"/>
                <w:kern w:val="0"/>
                <w:sz w:val="24"/>
                <w:szCs w:val="24"/>
                <w14:textFill>
                  <w14:solidFill>
                    <w14:schemeClr w14:val="tx1"/>
                  </w14:solidFill>
                </w14:textFill>
              </w:rPr>
              <w:t>联网对接，达到刷卡结算的</w:t>
            </w:r>
            <w:r>
              <w:rPr>
                <w:rFonts w:hint="eastAsia" w:ascii="仿宋" w:hAnsi="仿宋" w:eastAsia="仿宋" w:cs="仿宋"/>
                <w:color w:val="000000" w:themeColor="text1"/>
                <w:sz w:val="24"/>
                <w:szCs w:val="24"/>
                <w14:textFill>
                  <w14:solidFill>
                    <w14:schemeClr w14:val="tx1"/>
                  </w14:solidFill>
                </w14:textFill>
              </w:rPr>
              <w:t>，得2分。签订协议后一个月内未完成的，取消定点资格。</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65"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31</w:t>
            </w:r>
          </w:p>
        </w:tc>
        <w:tc>
          <w:tcPr>
            <w:tcW w:w="42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社会评价（9分）</w:t>
            </w: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主流媒体负面报导</w:t>
            </w: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（1）医疗机构提交定点申请前</w:t>
            </w:r>
            <w:r>
              <w:rPr>
                <w:rFonts w:hint="eastAsia" w:ascii="仿宋" w:hAnsi="仿宋" w:eastAsia="仿宋" w:cs="仿宋"/>
                <w:color w:val="000000" w:themeColor="text1"/>
                <w:sz w:val="24"/>
                <w:szCs w:val="24"/>
                <w:lang w:eastAsia="zh-CN"/>
                <w14:textFill>
                  <w14:solidFill>
                    <w14:schemeClr w14:val="tx1"/>
                  </w14:solidFill>
                </w14:textFill>
              </w:rPr>
              <w:t>两</w:t>
            </w:r>
            <w:r>
              <w:rPr>
                <w:rFonts w:hint="eastAsia" w:ascii="仿宋" w:hAnsi="仿宋" w:eastAsia="仿宋" w:cs="仿宋"/>
                <w:color w:val="000000" w:themeColor="text1"/>
                <w:sz w:val="24"/>
                <w:szCs w:val="24"/>
                <w14:textFill>
                  <w14:solidFill>
                    <w14:schemeClr w14:val="tx1"/>
                  </w14:solidFill>
                </w14:textFill>
              </w:rPr>
              <w:t>年内无媒体负面报导的，得5分；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5"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（2）医疗机构提交定点申请前两年内被媒体负面报导的，扣5分；社会影响恶劣及负面报导两次以上的，不得纳入医保定点。</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9"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32</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医疗服务不良记录</w:t>
            </w:r>
          </w:p>
        </w:tc>
        <w:tc>
          <w:tcPr>
            <w:tcW w:w="2282" w:type="pct"/>
            <w:vAlign w:val="center"/>
          </w:tcPr>
          <w:p>
            <w:pPr>
              <w:spacing w:line="220" w:lineRule="exac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（1）医疗机构提交定点申请前两年内无医疗服务不良记录的，得2分；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20" w:lineRule="exac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（2）医疗机构提交定点申请前两年内被医疗保障、卫健、审计、市场监管等部门处罚一次的扣5分；情节严重的或查处两次以上的不得纳入医保定点。</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33</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社会诚信体系建设</w:t>
            </w:r>
          </w:p>
        </w:tc>
        <w:tc>
          <w:tcPr>
            <w:tcW w:w="2282" w:type="pct"/>
            <w:vAlign w:val="center"/>
          </w:tcPr>
          <w:p>
            <w:pPr>
              <w:spacing w:line="220" w:lineRule="exac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（1）机构及法人代表、负责人近两年内没有被纳入社会诚信体系建设“黑名单”，且无违法犯罪纪录的，得2分。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20" w:lineRule="exac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（2）机构及法人代表、负责人近两年内被纳入社会诚信体系建设“黑名单”或有违法犯罪纪录的，不得纳入定点。</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34</w:t>
            </w:r>
          </w:p>
        </w:tc>
        <w:tc>
          <w:tcPr>
            <w:tcW w:w="423"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加分项目</w:t>
            </w:r>
          </w:p>
        </w:tc>
        <w:tc>
          <w:tcPr>
            <w:tcW w:w="424" w:type="pct"/>
            <w:vAlign w:val="center"/>
          </w:tcPr>
          <w:p>
            <w:pPr>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荣誉</w:t>
            </w:r>
          </w:p>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表彰</w:t>
            </w:r>
          </w:p>
        </w:tc>
        <w:tc>
          <w:tcPr>
            <w:tcW w:w="2282" w:type="pct"/>
            <w:vAlign w:val="center"/>
          </w:tcPr>
          <w:p>
            <w:pPr>
              <w:spacing w:line="220" w:lineRule="exac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机构或法人在公共卫生事件、防汛抗旱等自然灾害事故中，服从党委、政府及相关行政主管部门调度和安排的，获市级以上表彰得3分，县级表彰得2分，乡镇表彰得1分。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bl>
    <w:p>
      <w:pPr>
        <w:rPr>
          <w:rFonts w:ascii="楷体" w:hAnsi="楷体" w:eastAsia="楷体"/>
          <w:b/>
          <w:color w:val="000000" w:themeColor="text1"/>
          <w:sz w:val="44"/>
          <w:szCs w:val="44"/>
          <w14:textFill>
            <w14:solidFill>
              <w14:schemeClr w14:val="tx1"/>
            </w14:solidFill>
          </w14:textFill>
        </w:rPr>
      </w:pPr>
      <w:r>
        <w:rPr>
          <w:rFonts w:hint="eastAsia"/>
          <w:color w:val="000000" w:themeColor="text1"/>
          <w:sz w:val="24"/>
          <w:szCs w:val="24"/>
          <w14:textFill>
            <w14:solidFill>
              <w14:schemeClr w14:val="tx1"/>
            </w14:solidFill>
          </w14:textFill>
        </w:rPr>
        <w:t>备注：第10、13、18项指标仅考核住院医疗机构，共10分。</w:t>
      </w:r>
    </w:p>
    <w:p>
      <w:pPr>
        <w:jc w:val="center"/>
        <w:rPr>
          <w:rFonts w:ascii="楷体" w:hAnsi="楷体" w:eastAsia="楷体"/>
          <w:b/>
          <w:color w:val="000000" w:themeColor="text1"/>
          <w:sz w:val="44"/>
          <w:szCs w:val="44"/>
          <w14:textFill>
            <w14:solidFill>
              <w14:schemeClr w14:val="tx1"/>
            </w14:solidFill>
          </w14:textFill>
        </w:rPr>
      </w:pPr>
      <w:r>
        <w:rPr>
          <w:rFonts w:hint="eastAsia" w:ascii="楷体" w:hAnsi="楷体" w:eastAsia="楷体"/>
          <w:b/>
          <w:color w:val="000000" w:themeColor="text1"/>
          <w:sz w:val="44"/>
          <w:szCs w:val="44"/>
          <w14:textFill>
            <w14:solidFill>
              <w14:schemeClr w14:val="tx1"/>
            </w14:solidFill>
          </w14:textFill>
        </w:rPr>
        <w:t>新余市基本医疗保险定点医疗机构综合评估表</w:t>
      </w:r>
    </w:p>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医疗机构名称（公章）：                    自评得分：                         总分：100分（门诊90分）</w:t>
      </w:r>
    </w:p>
    <w:tbl>
      <w:tblPr>
        <w:tblStyle w:val="6"/>
        <w:tblW w:w="5000" w:type="pct"/>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697"/>
        <w:gridCol w:w="889"/>
        <w:gridCol w:w="889"/>
        <w:gridCol w:w="4849"/>
        <w:gridCol w:w="1079"/>
        <w:gridCol w:w="1169"/>
        <w:gridCol w:w="111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blHeader/>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序号</w:t>
            </w:r>
          </w:p>
        </w:tc>
        <w:tc>
          <w:tcPr>
            <w:tcW w:w="832" w:type="pct"/>
            <w:gridSpan w:val="2"/>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评估项目</w:t>
            </w:r>
          </w:p>
        </w:tc>
        <w:tc>
          <w:tcPr>
            <w:tcW w:w="226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评估标准</w:t>
            </w:r>
          </w:p>
        </w:tc>
        <w:tc>
          <w:tcPr>
            <w:tcW w:w="505"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自评</w:t>
            </w:r>
          </w:p>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得分</w:t>
            </w:r>
          </w:p>
        </w:tc>
        <w:tc>
          <w:tcPr>
            <w:tcW w:w="547"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自评得分</w:t>
            </w:r>
          </w:p>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说明</w:t>
            </w:r>
          </w:p>
        </w:tc>
        <w:tc>
          <w:tcPr>
            <w:tcW w:w="519"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佐证材料编号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blHeader/>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832" w:type="pct"/>
            <w:gridSpan w:val="2"/>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住院医疗机构（专科）</w:t>
            </w:r>
          </w:p>
        </w:tc>
        <w:tc>
          <w:tcPr>
            <w:tcW w:w="505"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w:t>
            </w: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规划布局（12分）</w:t>
            </w:r>
          </w:p>
        </w:tc>
        <w:tc>
          <w:tcPr>
            <w:tcW w:w="416" w:type="pct"/>
            <w:vMerge w:val="restart"/>
            <w:vAlign w:val="center"/>
          </w:tcPr>
          <w:p>
            <w:pPr>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开业</w:t>
            </w:r>
          </w:p>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时间</w:t>
            </w: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（1）3年（含）及以上，得5分；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（2）2年（含）至3年以内的得3分；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（3）1年（含）至2年以内，得2分；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（4）3个月（含）至1年以内得1分。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营业场所使用时间</w:t>
            </w: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（1）自有房产证或不动产登记证的，得5分；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（2）房屋租赁合同在5（含）年以上的，得4分；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（3）房屋租赁合同在3年（含）以上的得3分。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（4）房屋租赁合同在2年（含）以上的得2分。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（5）房屋租赁合同在2年以内的，得1分。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与最近医保定点同级医疗机构的距离</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（1）住院医疗机构500米（含）及以上，得2分；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（2）住院医疗机构500米以下，得1分。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w:t>
            </w: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服务能力（住院23分、门诊19分）</w:t>
            </w: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临床科室数量</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（1）6个（含）以上，得3分；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（2）4个至5个，得2分；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（3）2个至3个，得1分。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医保药品种数</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（1）300种</w:t>
            </w:r>
            <w:r>
              <w:rPr>
                <w:rFonts w:hint="eastAsia" w:ascii="宋体" w:hAnsi="宋体"/>
                <w:color w:val="000000" w:themeColor="text1"/>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以上，得3分；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（2）201至300种，得2分；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（3）200种</w:t>
            </w:r>
            <w:r>
              <w:rPr>
                <w:rFonts w:hint="eastAsia" w:ascii="宋体" w:hAnsi="宋体"/>
                <w:color w:val="000000" w:themeColor="text1"/>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以内，得1分。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6</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诊疗项目种数</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（1）150种</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以上，得3分；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（2）101种至150种，得2分；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（3）100种</w:t>
            </w:r>
            <w:r>
              <w:rPr>
                <w:rFonts w:hint="eastAsia" w:ascii="宋体" w:hAnsi="宋体"/>
                <w:color w:val="000000" w:themeColor="text1"/>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以内，得1分。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7</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第一</w:t>
            </w:r>
            <w:r>
              <w:rPr>
                <w:rFonts w:hint="eastAsia" w:ascii="仿宋" w:hAnsi="仿宋" w:eastAsia="仿宋" w:cs="仿宋"/>
                <w:color w:val="000000" w:themeColor="text1"/>
                <w:sz w:val="24"/>
                <w:szCs w:val="24"/>
                <w14:textFill>
                  <w14:solidFill>
                    <w14:schemeClr w14:val="tx1"/>
                  </w14:solidFill>
                </w14:textFill>
              </w:rPr>
              <w:t>注册</w:t>
            </w:r>
            <w:r>
              <w:rPr>
                <w:rFonts w:hint="eastAsia" w:ascii="仿宋" w:hAnsi="仿宋" w:eastAsia="仿宋" w:cs="仿宋"/>
                <w:color w:val="000000" w:themeColor="text1"/>
                <w:sz w:val="24"/>
                <w:szCs w:val="24"/>
                <w:lang w:eastAsia="zh-CN"/>
                <w14:textFill>
                  <w14:solidFill>
                    <w14:schemeClr w14:val="tx1"/>
                  </w14:solidFill>
                </w14:textFill>
              </w:rPr>
              <w:t>地</w:t>
            </w:r>
            <w:r>
              <w:rPr>
                <w:rFonts w:hint="eastAsia" w:ascii="仿宋" w:hAnsi="仿宋" w:eastAsia="仿宋" w:cs="仿宋"/>
                <w:color w:val="000000" w:themeColor="text1"/>
                <w:sz w:val="24"/>
                <w:szCs w:val="24"/>
                <w14:textFill>
                  <w14:solidFill>
                    <w14:schemeClr w14:val="tx1"/>
                  </w14:solidFill>
                </w14:textFill>
              </w:rPr>
              <w:t>在本医疗机构、在本医疗机构专职上班且在本机构参加城镇职工医疗保险的执业医师人数</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（1）20人（含）以上，得3分；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（2）11人（含）至20人，得2分；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（3）10人以内，得1分。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8</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注册在本医疗机构、在本医疗机构专职上班</w:t>
            </w:r>
            <w:r>
              <w:rPr>
                <w:rFonts w:hint="eastAsia" w:ascii="仿宋" w:hAnsi="仿宋" w:eastAsia="仿宋" w:cs="仿宋"/>
                <w:color w:val="000000" w:themeColor="text1"/>
                <w:kern w:val="0"/>
                <w:sz w:val="24"/>
                <w:szCs w:val="24"/>
                <w14:textFill>
                  <w14:solidFill>
                    <w14:schemeClr w14:val="tx1"/>
                  </w14:solidFill>
                </w14:textFill>
              </w:rPr>
              <w:t>且在本机构参加城镇职工医疗保险的执</w:t>
            </w:r>
            <w:r>
              <w:rPr>
                <w:rFonts w:hint="eastAsia" w:ascii="仿宋" w:hAnsi="仿宋" w:eastAsia="仿宋" w:cs="仿宋"/>
                <w:color w:val="000000" w:themeColor="text1"/>
                <w:sz w:val="24"/>
                <w:szCs w:val="24"/>
                <w14:textFill>
                  <w14:solidFill>
                    <w14:schemeClr w14:val="tx1"/>
                  </w14:solidFill>
                </w14:textFill>
              </w:rPr>
              <w:t>业药师(或药师)人数</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（1）6人（含）以上，得3分；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（2）4人至5人，得2分；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（3）2人至3人（含），得1分。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9</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医疗业务用房面积</w:t>
            </w: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（1）5000平（含）米以上，得4分；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（2）3001平米至5000平米，得3分；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（3）2001平米至3000平米，得2分；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（4）1500平米</w:t>
            </w:r>
            <w:r>
              <w:rPr>
                <w:rFonts w:hint="eastAsia" w:ascii="宋体" w:hAnsi="宋体"/>
                <w:color w:val="000000" w:themeColor="text1"/>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至</w:t>
            </w:r>
            <w:r>
              <w:rPr>
                <w:rFonts w:hint="eastAsia" w:ascii="仿宋" w:hAnsi="仿宋" w:eastAsia="仿宋" w:cs="仿宋"/>
                <w:color w:val="000000" w:themeColor="text1"/>
                <w:sz w:val="24"/>
                <w:szCs w:val="24"/>
                <w14:textFill>
                  <w14:solidFill>
                    <w14:schemeClr w14:val="tx1"/>
                  </w14:solidFill>
                </w14:textFill>
              </w:rPr>
              <w:t>2000平米，得1分。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10</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核定病床数量</w:t>
            </w:r>
            <w:r>
              <w:rPr>
                <w:rFonts w:hint="eastAsia" w:ascii="仿宋" w:hAnsi="仿宋" w:eastAsia="仿宋" w:cs="仿宋"/>
                <w:color w:val="000000" w:themeColor="text1"/>
                <w:sz w:val="24"/>
                <w:szCs w:val="24"/>
                <w14:textFill>
                  <w14:solidFill>
                    <w14:schemeClr w14:val="tx1"/>
                  </w14:solidFill>
                </w14:textFill>
              </w:rPr>
              <w:t>（门诊医疗机构不评估）</w:t>
            </w: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（1）100张（含）以上，得4分；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（2）51张至100张，得3分；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（3）21张至50张，得2分；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（4）10张（含）至20张，得1分。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11</w:t>
            </w: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价格收费（住院21分、门诊17分）</w:t>
            </w:r>
          </w:p>
        </w:tc>
        <w:tc>
          <w:tcPr>
            <w:tcW w:w="416" w:type="pct"/>
            <w:vMerge w:val="restart"/>
            <w:vAlign w:val="center"/>
          </w:tcPr>
          <w:p>
            <w:pPr>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药品</w:t>
            </w:r>
          </w:p>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价格</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（1）随机抽查的10个药品价格均未超过</w:t>
            </w:r>
            <w:r>
              <w:rPr>
                <w:rFonts w:hint="eastAsia" w:ascii="仿宋" w:hAnsi="仿宋" w:eastAsia="仿宋" w:cs="仿宋"/>
                <w:color w:val="000000" w:themeColor="text1"/>
                <w:kern w:val="0"/>
                <w:sz w:val="24"/>
                <w:szCs w:val="24"/>
                <w:lang w:eastAsia="zh-CN"/>
                <w14:textFill>
                  <w14:solidFill>
                    <w14:schemeClr w14:val="tx1"/>
                  </w14:solidFill>
                </w14:textFill>
              </w:rPr>
              <w:t>国家医保信息平台药品招标采购子系统</w:t>
            </w:r>
            <w:r>
              <w:rPr>
                <w:rFonts w:hint="eastAsia" w:ascii="仿宋" w:hAnsi="仿宋" w:eastAsia="仿宋" w:cs="仿宋"/>
                <w:color w:val="000000" w:themeColor="text1"/>
                <w:sz w:val="24"/>
                <w:szCs w:val="24"/>
                <w14:textFill>
                  <w14:solidFill>
                    <w14:schemeClr w14:val="tx1"/>
                  </w14:solidFill>
                </w14:textFill>
              </w:rPr>
              <w:t>确定的公立医院销售价格的，得4分；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（2）随机抽查的药品价格超过</w:t>
            </w:r>
            <w:r>
              <w:rPr>
                <w:rFonts w:hint="eastAsia" w:ascii="仿宋" w:hAnsi="仿宋" w:eastAsia="仿宋" w:cs="仿宋"/>
                <w:color w:val="000000" w:themeColor="text1"/>
                <w:kern w:val="0"/>
                <w:sz w:val="24"/>
                <w:szCs w:val="24"/>
                <w:lang w:eastAsia="zh-CN"/>
                <w14:textFill>
                  <w14:solidFill>
                    <w14:schemeClr w14:val="tx1"/>
                  </w14:solidFill>
                </w14:textFill>
              </w:rPr>
              <w:t>国家医保信息平台药品招标采购子系统</w:t>
            </w:r>
            <w:r>
              <w:rPr>
                <w:rFonts w:hint="eastAsia" w:ascii="仿宋" w:hAnsi="仿宋" w:eastAsia="仿宋" w:cs="仿宋"/>
                <w:color w:val="000000" w:themeColor="text1"/>
                <w:sz w:val="24"/>
                <w:szCs w:val="24"/>
                <w14:textFill>
                  <w14:solidFill>
                    <w14:schemeClr w14:val="tx1"/>
                  </w14:solidFill>
                </w14:textFill>
              </w:rPr>
              <w:t>的，1个品种扣0.5分，累计计算，最多可扣4分。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12</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检查治疗收费</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（1）随机抽查的10个检查治疗收费均未超过省价格主管部门确定的收费价格的，得4分；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（2）随机抽查的检查治疗收费超过省价格主管部门确定的收费价格的，1个项目扣0.5分，累计计算，最多可扣4分。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13</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次均住院费用</w:t>
            </w:r>
            <w:r>
              <w:rPr>
                <w:rFonts w:hint="eastAsia" w:ascii="仿宋" w:hAnsi="仿宋" w:eastAsia="仿宋" w:cs="仿宋"/>
                <w:color w:val="000000" w:themeColor="text1"/>
                <w:sz w:val="24"/>
                <w:szCs w:val="24"/>
                <w14:textFill>
                  <w14:solidFill>
                    <w14:schemeClr w14:val="tx1"/>
                  </w14:solidFill>
                </w14:textFill>
              </w:rPr>
              <w:t>（门诊医疗机构不评估）</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上一年度次均住院费用与统筹地区上一年度同级别医疗机构医保次均住院费用相比，85%</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以下的得4分</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宋体" w:hAnsi="宋体"/>
                <w:color w:val="000000" w:themeColor="text1"/>
                <w14:textFill>
                  <w14:solidFill>
                    <w14:schemeClr w14:val="tx1"/>
                  </w14:solidFill>
                </w14:textFill>
              </w:rPr>
              <w:t>8</w:t>
            </w:r>
            <w:r>
              <w:rPr>
                <w:rFonts w:hint="eastAsia" w:ascii="宋体" w:hAnsi="宋体"/>
                <w:color w:val="000000" w:themeColor="text1"/>
                <w:lang w:val="en-US" w:eastAsia="zh-CN"/>
                <w14:textFill>
                  <w14:solidFill>
                    <w14:schemeClr w14:val="tx1"/>
                  </w14:solidFill>
                </w14:textFill>
              </w:rPr>
              <w:t>4</w:t>
            </w:r>
            <w:r>
              <w:rPr>
                <w:rFonts w:hint="eastAsia" w:ascii="宋体" w:hAnsi="宋体"/>
                <w:color w:val="000000" w:themeColor="text1"/>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-8</w:t>
            </w:r>
            <w:r>
              <w:rPr>
                <w:rFonts w:hint="eastAsia" w:ascii="仿宋" w:hAnsi="仿宋" w:eastAsia="仿宋" w:cs="仿宋"/>
                <w:color w:val="000000" w:themeColor="text1"/>
                <w:sz w:val="24"/>
                <w:szCs w:val="24"/>
                <w14:textFill>
                  <w14:solidFill>
                    <w14:schemeClr w14:val="tx1"/>
                  </w14:solidFill>
                </w14:textFill>
              </w:rPr>
              <w:t>9%的得3分</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90%-100%的得2分。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14</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次均门诊费用</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上一年度次均门诊费用与统筹地区上一年度同级别医疗机构医保次均门诊费用相比，85%</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以下得4分</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宋体" w:hAnsi="宋体"/>
                <w:color w:val="000000" w:themeColor="text1"/>
                <w14:textFill>
                  <w14:solidFill>
                    <w14:schemeClr w14:val="tx1"/>
                  </w14:solidFill>
                </w14:textFill>
              </w:rPr>
              <w:t>8</w:t>
            </w:r>
            <w:r>
              <w:rPr>
                <w:rFonts w:hint="eastAsia" w:ascii="宋体" w:hAnsi="宋体"/>
                <w:color w:val="000000" w:themeColor="text1"/>
                <w:lang w:val="en-US" w:eastAsia="zh-CN"/>
                <w14:textFill>
                  <w14:solidFill>
                    <w14:schemeClr w14:val="tx1"/>
                  </w14:solidFill>
                </w14:textFill>
              </w:rPr>
              <w:t>4</w:t>
            </w:r>
            <w:r>
              <w:rPr>
                <w:rFonts w:hint="eastAsia" w:ascii="宋体" w:hAnsi="宋体"/>
                <w:color w:val="000000" w:themeColor="text1"/>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-8</w:t>
            </w:r>
            <w:r>
              <w:rPr>
                <w:rFonts w:hint="eastAsia" w:ascii="仿宋" w:hAnsi="仿宋" w:eastAsia="仿宋" w:cs="仿宋"/>
                <w:color w:val="000000" w:themeColor="text1"/>
                <w:sz w:val="24"/>
                <w:szCs w:val="24"/>
                <w14:textFill>
                  <w14:solidFill>
                    <w14:schemeClr w14:val="tx1"/>
                  </w14:solidFill>
                </w14:textFill>
              </w:rPr>
              <w:t>9%的得3分</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90%-</w:t>
            </w:r>
            <w:r>
              <w:rPr>
                <w:rFonts w:hint="eastAsia" w:ascii="仿宋" w:hAnsi="仿宋" w:eastAsia="仿宋" w:cs="仿宋"/>
                <w:color w:val="000000" w:themeColor="text1"/>
                <w:sz w:val="24"/>
                <w:szCs w:val="24"/>
                <w:lang w:val="en-US" w:eastAsia="zh-CN"/>
                <w14:textFill>
                  <w14:solidFill>
                    <w14:schemeClr w14:val="tx1"/>
                  </w14:solidFill>
                </w14:textFill>
              </w:rPr>
              <w:t>94</w:t>
            </w:r>
            <w:r>
              <w:rPr>
                <w:rFonts w:hint="eastAsia" w:ascii="仿宋" w:hAnsi="仿宋" w:eastAsia="仿宋" w:cs="仿宋"/>
                <w:color w:val="000000" w:themeColor="text1"/>
                <w:sz w:val="24"/>
                <w:szCs w:val="24"/>
                <w14:textFill>
                  <w14:solidFill>
                    <w14:schemeClr w14:val="tx1"/>
                  </w14:solidFill>
                </w14:textFill>
              </w:rPr>
              <w:t>%的得2分</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9</w:t>
            </w:r>
            <w:r>
              <w:rPr>
                <w:rFonts w:hint="eastAsia" w:ascii="仿宋" w:hAnsi="仿宋" w:eastAsia="仿宋" w:cs="仿宋"/>
                <w:color w:val="000000" w:themeColor="text1"/>
                <w:sz w:val="24"/>
                <w:szCs w:val="24"/>
                <w:lang w:val="en-US" w:eastAsia="zh-CN"/>
                <w14:textFill>
                  <w14:solidFill>
                    <w14:schemeClr w14:val="tx1"/>
                  </w14:solidFill>
                </w14:textFill>
              </w:rPr>
              <w:t>5</w:t>
            </w:r>
            <w:r>
              <w:rPr>
                <w:rFonts w:hint="eastAsia" w:ascii="仿宋" w:hAnsi="仿宋" w:eastAsia="仿宋" w:cs="仿宋"/>
                <w:color w:val="000000" w:themeColor="text1"/>
                <w:sz w:val="24"/>
                <w:szCs w:val="24"/>
                <w14:textFill>
                  <w14:solidFill>
                    <w14:schemeClr w14:val="tx1"/>
                  </w14:solidFill>
                </w14:textFill>
              </w:rPr>
              <w:t>%-100%</w:t>
            </w:r>
            <w:r>
              <w:rPr>
                <w:rFonts w:hint="eastAsia" w:ascii="仿宋" w:hAnsi="仿宋" w:eastAsia="仿宋" w:cs="仿宋"/>
                <w:color w:val="000000" w:themeColor="text1"/>
                <w:sz w:val="24"/>
                <w:szCs w:val="24"/>
                <w:lang w:eastAsia="zh-CN"/>
                <w14:textFill>
                  <w14:solidFill>
                    <w14:schemeClr w14:val="tx1"/>
                  </w14:solidFill>
                </w14:textFill>
              </w:rPr>
              <w:t>的得</w:t>
            </w:r>
            <w:r>
              <w:rPr>
                <w:rFonts w:hint="eastAsia" w:ascii="仿宋" w:hAnsi="仿宋" w:eastAsia="仿宋" w:cs="仿宋"/>
                <w:color w:val="000000" w:themeColor="text1"/>
                <w:sz w:val="24"/>
                <w:szCs w:val="24"/>
                <w:lang w:val="en-US" w:eastAsia="zh-CN"/>
                <w14:textFill>
                  <w14:solidFill>
                    <w14:schemeClr w14:val="tx1"/>
                  </w14:solidFill>
                </w14:textFill>
              </w:rPr>
              <w:t>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00"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15</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费用清单</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按规定提供药品、检查、治疗、服务收费清单的，得2分。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16</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价格信息公示</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设立公示屏（牌）及时向群众公示药品价格和医疗服务价格信息及医保支付标准的，得3分。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17</w:t>
            </w: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内部管理（住院15分、门诊13分）</w:t>
            </w:r>
          </w:p>
        </w:tc>
        <w:tc>
          <w:tcPr>
            <w:tcW w:w="41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门诊患者抗菌药物使用率</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抽查10份门诊病历，抗菌药物使用率在50%</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以下的得2分；抗菌药物使用率在50%至60%</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的得1分</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60%以上不得分。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18</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住院患者大型检查阳性率（门诊医疗机构不评估）</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抽查10份住院病历，大型检查阳性率（CT、核磁共振、彩超）在80%</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以上的，得2分；大型检查阳性率在70%</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至80%的得1分</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70%以下不得分。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19</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医疗保险管理</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建立了与基本医疗保险管理相适应的内部组织管理制度，配备了必要的管理人员、设备和办公场所，得4分。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20</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环境卫生管理</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医疗机构干净整洁，无乱贴乱挂，功能分区合理，得3分。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21</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医疗纠纷调解</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建立健全医疗纠纷投诉和处理机构，并有专人负责，公布投诉电话、信箱，畅通投诉渠道，及时受理、处置患者投诉的，得2分。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22</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便民导诊服务</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设立导诊台、触摸屏、指示牌、就医流程、专家姓名和联系方式，方便群众看病就医的，得2分。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23</w:t>
            </w: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财务管理（14分）</w:t>
            </w: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在本机构参加城镇职工医疗保险情况</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（1）全部在职员工参加医疗保险，并及时缴费，得5分；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（2）80%及以上在职员工参加医疗保险，并及时缴费，得</w:t>
            </w:r>
            <w:r>
              <w:rPr>
                <w:rFonts w:hint="eastAsia" w:ascii="仿宋" w:hAnsi="仿宋" w:eastAsia="仿宋" w:cs="仿宋"/>
                <w:color w:val="000000" w:themeColor="text1"/>
                <w:sz w:val="24"/>
                <w:szCs w:val="24"/>
                <w:lang w:val="en-US" w:eastAsia="zh-CN"/>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8</w:t>
            </w:r>
            <w:r>
              <w:rPr>
                <w:rFonts w:hint="eastAsia" w:ascii="仿宋" w:hAnsi="仿宋" w:eastAsia="仿宋" w:cs="仿宋"/>
                <w:color w:val="000000" w:themeColor="text1"/>
                <w:sz w:val="24"/>
                <w:szCs w:val="24"/>
                <w14:textFill>
                  <w14:solidFill>
                    <w14:schemeClr w14:val="tx1"/>
                  </w14:solidFill>
                </w14:textFill>
              </w:rPr>
              <w:t>0%以下在职员工参加医疗保险的，不得纳入医保定点。</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24</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对药品、医用的材料的采购、验收、销售等环节、实行计算机实时管理情况</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（1）已实时录入全部环节数据并可查询3个月以上时间的真实数据，得3分；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（2）已实时录入全部环节数据并可查询1至3个月以内的真实数据，得2分；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（3）已实时录入全部环节数据并可查询1个月以下时间的真实数据，得1分；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（4）分别抽查20个药品和医用材料，进、销、存账物不符的，每发现一个品种扣0.5分，累计计算，最多扣3分。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25</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财务管理制度</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有健全和完善财务管理制度，对医疗机构财务活动进行全面管理，建立监督内控机制的，得2分。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26</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财务人员</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根据医疗机构规模，设置相应独立的财会机构，配备相应的会计、出纳人员，得2分。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27</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财务结算</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财务票据齐全、合法，且安装使用电子收费系统的，得2分。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28</w:t>
            </w: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信息系统（6分）</w:t>
            </w:r>
          </w:p>
        </w:tc>
        <w:tc>
          <w:tcPr>
            <w:tcW w:w="41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计算机配备使用</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按照医疗保险业务要求配置必要的电脑设备（包括POS机）和熟练的操作人员的，得2分。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29</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医疗信息化</w:t>
            </w: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对医疗服务过程实行全流程信息化管理的，得2分。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30</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联网结算能力</w:t>
            </w: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承诺在签订协议之前，实现与</w:t>
            </w:r>
            <w:r>
              <w:rPr>
                <w:rFonts w:hint="eastAsia" w:ascii="仿宋" w:hAnsi="仿宋" w:eastAsia="仿宋" w:cs="仿宋"/>
                <w:color w:val="000000" w:themeColor="text1"/>
                <w:kern w:val="0"/>
                <w:sz w:val="24"/>
                <w:szCs w:val="24"/>
                <w:lang w:eastAsia="zh-CN"/>
                <w14:textFill>
                  <w14:solidFill>
                    <w14:schemeClr w14:val="tx1"/>
                  </w14:solidFill>
                </w14:textFill>
              </w:rPr>
              <w:t>医保信息平台联网</w:t>
            </w:r>
            <w:r>
              <w:rPr>
                <w:rFonts w:hint="eastAsia" w:ascii="仿宋" w:hAnsi="仿宋" w:eastAsia="仿宋" w:cs="仿宋"/>
                <w:color w:val="000000" w:themeColor="text1"/>
                <w:kern w:val="0"/>
                <w:sz w:val="24"/>
                <w:szCs w:val="24"/>
                <w14:textFill>
                  <w14:solidFill>
                    <w14:schemeClr w14:val="tx1"/>
                  </w14:solidFill>
                </w14:textFill>
              </w:rPr>
              <w:t>对接，达到刷卡结算的</w:t>
            </w:r>
            <w:r>
              <w:rPr>
                <w:rFonts w:hint="eastAsia" w:ascii="仿宋" w:hAnsi="仿宋" w:eastAsia="仿宋" w:cs="仿宋"/>
                <w:color w:val="000000" w:themeColor="text1"/>
                <w:sz w:val="24"/>
                <w:szCs w:val="24"/>
                <w14:textFill>
                  <w14:solidFill>
                    <w14:schemeClr w14:val="tx1"/>
                  </w14:solidFill>
                </w14:textFill>
              </w:rPr>
              <w:t>，得2分。签订协议后一个月内未完成的，取消定点资格。</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31</w:t>
            </w: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社会评价（9分）</w:t>
            </w: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主流媒体负面报导</w:t>
            </w: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（1）医疗机构提交定点申请前</w:t>
            </w:r>
            <w:r>
              <w:rPr>
                <w:rFonts w:hint="eastAsia" w:ascii="仿宋" w:hAnsi="仿宋" w:eastAsia="仿宋" w:cs="仿宋"/>
                <w:color w:val="000000" w:themeColor="text1"/>
                <w:sz w:val="24"/>
                <w:szCs w:val="24"/>
                <w:lang w:eastAsia="zh-CN"/>
                <w14:textFill>
                  <w14:solidFill>
                    <w14:schemeClr w14:val="tx1"/>
                  </w14:solidFill>
                </w14:textFill>
              </w:rPr>
              <w:t>两</w:t>
            </w:r>
            <w:r>
              <w:rPr>
                <w:rFonts w:hint="eastAsia" w:ascii="仿宋" w:hAnsi="仿宋" w:eastAsia="仿宋" w:cs="仿宋"/>
                <w:color w:val="000000" w:themeColor="text1"/>
                <w:sz w:val="24"/>
                <w:szCs w:val="24"/>
                <w14:textFill>
                  <w14:solidFill>
                    <w14:schemeClr w14:val="tx1"/>
                  </w14:solidFill>
                </w14:textFill>
              </w:rPr>
              <w:t>年内无媒体负面报导的，得5分；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（2）医疗机构提交定点申请前两年内被媒体负面报导的，扣5分；社会影响恶劣及负面报导两次以上的，不得纳入医保定点。</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32</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医疗服务不良记录</w:t>
            </w:r>
          </w:p>
        </w:tc>
        <w:tc>
          <w:tcPr>
            <w:tcW w:w="2269" w:type="pct"/>
            <w:vAlign w:val="center"/>
          </w:tcPr>
          <w:p>
            <w:pPr>
              <w:spacing w:line="220" w:lineRule="exac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（1）医疗机构提交定点申请前两年内无医疗服务不良记录的，得2分；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20" w:lineRule="exac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（2）医疗机构提交定点申请前两年内被医疗保障、卫健、审计、市场监管等部门处罚一次的扣5分；情节严重的或查处两次以上的不得纳入医保定点。的扣5分。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33</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社会诚信体系建设</w:t>
            </w:r>
          </w:p>
        </w:tc>
        <w:tc>
          <w:tcPr>
            <w:tcW w:w="2269" w:type="pct"/>
            <w:vAlign w:val="center"/>
          </w:tcPr>
          <w:p>
            <w:pPr>
              <w:numPr>
                <w:ilvl w:val="0"/>
                <w:numId w:val="1"/>
              </w:numPr>
              <w:spacing w:line="220" w:lineRule="exac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机构及法人代表、负责人近两年内没有被纳入社会诚信体系建设“黑名单”，且无违法犯罪纪录的，得2分。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20" w:lineRule="exac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（2）机构及法人代表、负责人近两年内被纳入社会诚信体系建设“黑名单”或有违法犯罪纪录的，不得纳入定点。</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34</w:t>
            </w:r>
          </w:p>
        </w:tc>
        <w:tc>
          <w:tcPr>
            <w:tcW w:w="41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加分项目</w:t>
            </w:r>
          </w:p>
        </w:tc>
        <w:tc>
          <w:tcPr>
            <w:tcW w:w="416" w:type="pct"/>
            <w:vAlign w:val="center"/>
          </w:tcPr>
          <w:p>
            <w:pPr>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荣誉</w:t>
            </w:r>
          </w:p>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表彰</w:t>
            </w: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机构或法人在公共卫生事件、防汛抗旱等自然灾害事故中，服从党委、政府及相关行政主管部门调度和安排的，获市级以上表彰得3分，县级表彰得2分，乡镇表彰得1分。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bl>
    <w:p>
      <w:pPr>
        <w:rPr>
          <w:color w:val="000000" w:themeColor="text1"/>
          <w:sz w:val="24"/>
          <w:szCs w:val="24"/>
          <w14:textFill>
            <w14:solidFill>
              <w14:schemeClr w14:val="tx1"/>
            </w14:solidFill>
          </w14:textFill>
        </w:rPr>
      </w:pPr>
    </w:p>
    <w:p>
      <w:pPr>
        <w:rPr>
          <w:color w:val="000000" w:themeColor="text1"/>
          <w14:textFill>
            <w14:solidFill>
              <w14:schemeClr w14:val="tx1"/>
            </w14:solidFill>
          </w14:textFill>
        </w:rPr>
      </w:pPr>
      <w:r>
        <w:rPr>
          <w:rFonts w:hint="eastAsia"/>
          <w:color w:val="000000" w:themeColor="text1"/>
          <w:sz w:val="24"/>
          <w:szCs w:val="24"/>
          <w14:textFill>
            <w14:solidFill>
              <w14:schemeClr w14:val="tx1"/>
            </w14:solidFill>
          </w14:textFill>
        </w:rPr>
        <w:t>备注：第10、13、18项指标仅考核住院医疗机构，共10分。</w:t>
      </w:r>
    </w:p>
    <w:p>
      <w:pPr>
        <w:rPr>
          <w:rFonts w:hint="eastAsia"/>
          <w:color w:val="000000" w:themeColor="text1"/>
          <w14:textFill>
            <w14:solidFill>
              <w14:schemeClr w14:val="tx1"/>
            </w14:solidFill>
          </w14:textFill>
        </w:rPr>
      </w:pPr>
    </w:p>
    <w:p>
      <w:pPr>
        <w:rPr>
          <w:rFonts w:hint="eastAsia"/>
          <w:color w:val="000000" w:themeColor="text1"/>
          <w14:textFill>
            <w14:solidFill>
              <w14:schemeClr w14:val="tx1"/>
            </w14:solidFill>
          </w14:textFill>
        </w:rPr>
      </w:pPr>
    </w:p>
    <w:p>
      <w:pPr>
        <w:rPr>
          <w:rFonts w:hint="eastAsia"/>
          <w:color w:val="000000" w:themeColor="text1"/>
          <w14:textFill>
            <w14:solidFill>
              <w14:schemeClr w14:val="tx1"/>
            </w14:solidFill>
          </w14:textFill>
        </w:rPr>
      </w:pPr>
    </w:p>
    <w:p>
      <w:pPr>
        <w:rPr>
          <w:rFonts w:hint="eastAsia"/>
          <w:color w:val="000000" w:themeColor="text1"/>
          <w14:textFill>
            <w14:solidFill>
              <w14:schemeClr w14:val="tx1"/>
            </w14:solidFill>
          </w14:textFill>
        </w:rPr>
      </w:pPr>
    </w:p>
    <w:p>
      <w:pPr>
        <w:jc w:val="center"/>
        <w:rPr>
          <w:rFonts w:ascii="楷体" w:hAnsi="楷体" w:eastAsia="楷体"/>
          <w:b/>
          <w:color w:val="000000" w:themeColor="text1"/>
          <w:sz w:val="44"/>
          <w:szCs w:val="44"/>
          <w14:textFill>
            <w14:solidFill>
              <w14:schemeClr w14:val="tx1"/>
            </w14:solidFill>
          </w14:textFill>
        </w:rPr>
      </w:pPr>
      <w:r>
        <w:rPr>
          <w:rFonts w:hint="eastAsia" w:ascii="楷体" w:hAnsi="楷体" w:eastAsia="楷体"/>
          <w:b/>
          <w:color w:val="000000" w:themeColor="text1"/>
          <w:sz w:val="44"/>
          <w:szCs w:val="44"/>
          <w14:textFill>
            <w14:solidFill>
              <w14:schemeClr w14:val="tx1"/>
            </w14:solidFill>
          </w14:textFill>
        </w:rPr>
        <w:t>新余市基本医疗保险定点医疗机构综合评估表</w:t>
      </w:r>
    </w:p>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医疗机构名称（公章）：                    自评得分：                         总分：100分（门诊90分）</w:t>
      </w:r>
    </w:p>
    <w:tbl>
      <w:tblPr>
        <w:tblStyle w:val="6"/>
        <w:tblW w:w="5000" w:type="pct"/>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697"/>
        <w:gridCol w:w="889"/>
        <w:gridCol w:w="891"/>
        <w:gridCol w:w="4849"/>
        <w:gridCol w:w="1079"/>
        <w:gridCol w:w="1169"/>
        <w:gridCol w:w="110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blHeader/>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序号</w:t>
            </w:r>
          </w:p>
        </w:tc>
        <w:tc>
          <w:tcPr>
            <w:tcW w:w="833" w:type="pct"/>
            <w:gridSpan w:val="2"/>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评估项目</w:t>
            </w:r>
          </w:p>
        </w:tc>
        <w:tc>
          <w:tcPr>
            <w:tcW w:w="226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评估标准</w:t>
            </w:r>
          </w:p>
        </w:tc>
        <w:tc>
          <w:tcPr>
            <w:tcW w:w="505"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自评</w:t>
            </w:r>
          </w:p>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得分</w:t>
            </w:r>
          </w:p>
        </w:tc>
        <w:tc>
          <w:tcPr>
            <w:tcW w:w="547"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自评得分</w:t>
            </w:r>
          </w:p>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说明</w:t>
            </w:r>
          </w:p>
        </w:tc>
        <w:tc>
          <w:tcPr>
            <w:tcW w:w="518"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佐证材料编号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blHeader/>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833" w:type="pct"/>
            <w:gridSpan w:val="2"/>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门诊医疗机构（综合）</w:t>
            </w:r>
          </w:p>
        </w:tc>
        <w:tc>
          <w:tcPr>
            <w:tcW w:w="505"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w:t>
            </w: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规划布局（12分）</w:t>
            </w:r>
          </w:p>
        </w:tc>
        <w:tc>
          <w:tcPr>
            <w:tcW w:w="417" w:type="pct"/>
            <w:vMerge w:val="restart"/>
            <w:vAlign w:val="center"/>
          </w:tcPr>
          <w:p>
            <w:pPr>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开业</w:t>
            </w:r>
          </w:p>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时间</w:t>
            </w: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（1）3年（含）及以上，得5分；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（2）2年（含）至3年以内的得3分；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（3）1年（含）至2年以内，得2分；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（4）3个月（含）至1年以内得1分。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营业场所使用时间</w:t>
            </w: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（1）自有房产证或不动产登记证的，得5分；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（2）房屋租赁合同在5年（含）以上的，得4分；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（3）房屋租赁合同在3年（含）以上的得3分。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（4）房屋租赁合同在2年（含）以上的得2分。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（5）房屋租赁合同在2年以内的，得1分。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与最近医保定点同级医疗机构的距离</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（1）门诊医疗机构300米（含）以上，得2分；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（2）门诊医疗机构300米以下，得1分。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w:t>
            </w: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服务能力（住院23分、门诊19分）</w:t>
            </w:r>
          </w:p>
        </w:tc>
        <w:tc>
          <w:tcPr>
            <w:tcW w:w="417"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临床科室数量</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（1）5个（含）以上，得3分；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（2）4个，得2分；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（3）3个，得1分。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医保药品种数</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（1）100种</w:t>
            </w:r>
            <w:r>
              <w:rPr>
                <w:rFonts w:hint="eastAsia" w:ascii="宋体" w:hAnsi="宋体"/>
                <w:color w:val="000000" w:themeColor="text1"/>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以上，得3分；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（2）51至100种，得2分；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（3）50种</w:t>
            </w:r>
            <w:r>
              <w:rPr>
                <w:rFonts w:hint="eastAsia" w:ascii="宋体" w:hAnsi="宋体"/>
                <w:color w:val="000000" w:themeColor="text1"/>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以内，得1分。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6</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诊疗项目种数</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（1）50</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种以上，得3分；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（2）21种至50种，得2分；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（3）20种</w:t>
            </w:r>
            <w:r>
              <w:rPr>
                <w:rFonts w:hint="eastAsia" w:ascii="宋体" w:hAnsi="宋体"/>
                <w:color w:val="000000" w:themeColor="text1"/>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以内，得1分。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7</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第一</w:t>
            </w:r>
            <w:r>
              <w:rPr>
                <w:rFonts w:hint="eastAsia" w:ascii="仿宋" w:hAnsi="仿宋" w:eastAsia="仿宋" w:cs="仿宋"/>
                <w:color w:val="000000" w:themeColor="text1"/>
                <w:sz w:val="24"/>
                <w:szCs w:val="24"/>
                <w14:textFill>
                  <w14:solidFill>
                    <w14:schemeClr w14:val="tx1"/>
                  </w14:solidFill>
                </w14:textFill>
              </w:rPr>
              <w:t>注册</w:t>
            </w:r>
            <w:r>
              <w:rPr>
                <w:rFonts w:hint="eastAsia" w:ascii="仿宋" w:hAnsi="仿宋" w:eastAsia="仿宋" w:cs="仿宋"/>
                <w:color w:val="000000" w:themeColor="text1"/>
                <w:sz w:val="24"/>
                <w:szCs w:val="24"/>
                <w:lang w:eastAsia="zh-CN"/>
                <w14:textFill>
                  <w14:solidFill>
                    <w14:schemeClr w14:val="tx1"/>
                  </w14:solidFill>
                </w14:textFill>
              </w:rPr>
              <w:t>地</w:t>
            </w:r>
            <w:r>
              <w:rPr>
                <w:rFonts w:hint="eastAsia" w:ascii="仿宋" w:hAnsi="仿宋" w:eastAsia="仿宋" w:cs="仿宋"/>
                <w:color w:val="000000" w:themeColor="text1"/>
                <w:sz w:val="24"/>
                <w:szCs w:val="24"/>
                <w14:textFill>
                  <w14:solidFill>
                    <w14:schemeClr w14:val="tx1"/>
                  </w14:solidFill>
                </w14:textFill>
              </w:rPr>
              <w:t>在本医疗机构、在本医疗机构专职上班且在本机构参加城镇职工医疗保险的执业医师人数</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（1）10人（含）以上，得3分；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（2）6人（含）至10人，得2分；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（3）1人（含）至5人，得1分。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8</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注册在本医疗机构、在本医疗机构专职上班</w:t>
            </w:r>
            <w:r>
              <w:rPr>
                <w:rFonts w:hint="eastAsia" w:ascii="仿宋" w:hAnsi="仿宋" w:eastAsia="仿宋" w:cs="仿宋"/>
                <w:color w:val="000000" w:themeColor="text1"/>
                <w:kern w:val="0"/>
                <w:sz w:val="24"/>
                <w:szCs w:val="24"/>
                <w14:textFill>
                  <w14:solidFill>
                    <w14:schemeClr w14:val="tx1"/>
                  </w14:solidFill>
                </w14:textFill>
              </w:rPr>
              <w:t>且在本机构参加城镇职工医疗保险的执</w:t>
            </w:r>
            <w:r>
              <w:rPr>
                <w:rFonts w:hint="eastAsia" w:ascii="仿宋" w:hAnsi="仿宋" w:eastAsia="仿宋" w:cs="仿宋"/>
                <w:color w:val="000000" w:themeColor="text1"/>
                <w:sz w:val="24"/>
                <w:szCs w:val="24"/>
                <w14:textFill>
                  <w14:solidFill>
                    <w14:schemeClr w14:val="tx1"/>
                  </w14:solidFill>
                </w14:textFill>
              </w:rPr>
              <w:t>业药师(或药师)人数</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不作考核，得3分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9</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医疗业务用房面积</w:t>
            </w: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（1）1000平米（含）以上，得4分；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（2）501平米至1000平米，得3分；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（3）301平米至500平米，得2分；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（4）200平米（含）至300平米，得1分。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10</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核定病床数量</w:t>
            </w:r>
            <w:r>
              <w:rPr>
                <w:rFonts w:hint="eastAsia" w:ascii="仿宋" w:hAnsi="仿宋" w:eastAsia="仿宋" w:cs="仿宋"/>
                <w:color w:val="000000" w:themeColor="text1"/>
                <w:sz w:val="24"/>
                <w:szCs w:val="24"/>
                <w14:textFill>
                  <w14:solidFill>
                    <w14:schemeClr w14:val="tx1"/>
                  </w14:solidFill>
                </w14:textFill>
              </w:rPr>
              <w:t>（门诊医疗机构不评估）</w:t>
            </w:r>
          </w:p>
        </w:tc>
        <w:tc>
          <w:tcPr>
            <w:tcW w:w="226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不参与考核，不得分。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11</w:t>
            </w: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价格收费（住院21分、门诊17分）</w:t>
            </w:r>
          </w:p>
        </w:tc>
        <w:tc>
          <w:tcPr>
            <w:tcW w:w="417" w:type="pct"/>
            <w:vMerge w:val="restart"/>
            <w:vAlign w:val="center"/>
          </w:tcPr>
          <w:p>
            <w:pPr>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药品</w:t>
            </w:r>
          </w:p>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价格</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（1）随机抽查的10个药品价格均未超过</w:t>
            </w:r>
            <w:r>
              <w:rPr>
                <w:rFonts w:hint="eastAsia" w:ascii="仿宋" w:hAnsi="仿宋" w:eastAsia="仿宋" w:cs="仿宋"/>
                <w:color w:val="000000" w:themeColor="text1"/>
                <w:kern w:val="0"/>
                <w:sz w:val="24"/>
                <w:szCs w:val="24"/>
                <w:lang w:eastAsia="zh-CN"/>
                <w14:textFill>
                  <w14:solidFill>
                    <w14:schemeClr w14:val="tx1"/>
                  </w14:solidFill>
                </w14:textFill>
              </w:rPr>
              <w:t>国家医保信息平台药品招标采购子系统</w:t>
            </w:r>
            <w:r>
              <w:rPr>
                <w:rFonts w:hint="eastAsia" w:ascii="仿宋" w:hAnsi="仿宋" w:eastAsia="仿宋" w:cs="仿宋"/>
                <w:color w:val="000000" w:themeColor="text1"/>
                <w:sz w:val="24"/>
                <w:szCs w:val="24"/>
                <w14:textFill>
                  <w14:solidFill>
                    <w14:schemeClr w14:val="tx1"/>
                  </w14:solidFill>
                </w14:textFill>
              </w:rPr>
              <w:t>确定的公立医院销售价格的，得4分；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（2）随机抽查的药品价格超过</w:t>
            </w:r>
            <w:r>
              <w:rPr>
                <w:rFonts w:hint="eastAsia" w:ascii="仿宋" w:hAnsi="仿宋" w:eastAsia="仿宋" w:cs="仿宋"/>
                <w:color w:val="000000" w:themeColor="text1"/>
                <w:kern w:val="0"/>
                <w:sz w:val="24"/>
                <w:szCs w:val="24"/>
                <w:lang w:eastAsia="zh-CN"/>
                <w14:textFill>
                  <w14:solidFill>
                    <w14:schemeClr w14:val="tx1"/>
                  </w14:solidFill>
                </w14:textFill>
              </w:rPr>
              <w:t>国家医保信息平台药品招标采购子系统</w:t>
            </w:r>
            <w:r>
              <w:rPr>
                <w:rFonts w:hint="eastAsia" w:ascii="仿宋" w:hAnsi="仿宋" w:eastAsia="仿宋" w:cs="仿宋"/>
                <w:color w:val="000000" w:themeColor="text1"/>
                <w:sz w:val="24"/>
                <w:szCs w:val="24"/>
                <w14:textFill>
                  <w14:solidFill>
                    <w14:schemeClr w14:val="tx1"/>
                  </w14:solidFill>
                </w14:textFill>
              </w:rPr>
              <w:t>的，1个品种扣0.5分，累计计算，最多可扣4分。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12</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检查治疗收费</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（1）随机抽查的10个检查治疗收费均未超过省价格主管部门确定的收费价格的，得4分；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（2）随机抽查的检查治疗收费超过省价格主管部门确定的收费价格的，1个项目扣0.5分，累计计算，最多可扣4分。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13</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次均住院费用（</w:t>
            </w:r>
            <w:r>
              <w:rPr>
                <w:rFonts w:hint="eastAsia" w:ascii="仿宋" w:hAnsi="仿宋" w:eastAsia="仿宋" w:cs="仿宋"/>
                <w:color w:val="000000" w:themeColor="text1"/>
                <w:sz w:val="24"/>
                <w:szCs w:val="24"/>
                <w14:textFill>
                  <w14:solidFill>
                    <w14:schemeClr w14:val="tx1"/>
                  </w14:solidFill>
                </w14:textFill>
              </w:rPr>
              <w:t>门诊医疗机构不评估）</w:t>
            </w:r>
          </w:p>
        </w:tc>
        <w:tc>
          <w:tcPr>
            <w:tcW w:w="226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不参与考核，不得分。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14</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次均门诊费用</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上一年度次均门诊费用与统筹地区上一年度同级别医疗机构医保次均门诊费用相比，85%</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以下</w:t>
            </w:r>
            <w:r>
              <w:rPr>
                <w:rFonts w:hint="eastAsia" w:ascii="仿宋" w:hAnsi="仿宋" w:eastAsia="仿宋" w:cs="仿宋"/>
                <w:color w:val="000000" w:themeColor="text1"/>
                <w:sz w:val="24"/>
                <w:szCs w:val="24"/>
                <w14:textFill>
                  <w14:solidFill>
                    <w14:schemeClr w14:val="tx1"/>
                  </w14:solidFill>
                </w14:textFill>
              </w:rPr>
              <w:t>得4分</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宋体" w:hAnsi="宋体"/>
                <w:color w:val="000000" w:themeColor="text1"/>
                <w14:textFill>
                  <w14:solidFill>
                    <w14:schemeClr w14:val="tx1"/>
                  </w14:solidFill>
                </w14:textFill>
              </w:rPr>
              <w:t>8</w:t>
            </w:r>
            <w:r>
              <w:rPr>
                <w:rFonts w:hint="eastAsia" w:ascii="宋体" w:hAnsi="宋体"/>
                <w:color w:val="000000" w:themeColor="text1"/>
                <w:lang w:val="en-US" w:eastAsia="zh-CN"/>
                <w14:textFill>
                  <w14:solidFill>
                    <w14:schemeClr w14:val="tx1"/>
                  </w14:solidFill>
                </w14:textFill>
              </w:rPr>
              <w:t>4</w:t>
            </w:r>
            <w:r>
              <w:rPr>
                <w:rFonts w:hint="eastAsia" w:ascii="宋体" w:hAnsi="宋体"/>
                <w:color w:val="000000" w:themeColor="text1"/>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-89%的得3分</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90%-94%的得2分；95%-100%的得1分。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15</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费用清单</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按规定提供药品、检查、治疗、服务收费清单的，得2分。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16</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价格信息公示</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设立公示屏（牌）及时向群众公示药品价格和医疗服务价格信息及医保支付标准的，得3分。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17</w:t>
            </w: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内部管理（住院15分、门诊13分）</w:t>
            </w:r>
          </w:p>
        </w:tc>
        <w:tc>
          <w:tcPr>
            <w:tcW w:w="41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门诊患者抗菌药物使用率</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抽查10份门诊病历，抗菌药物使用率在50%</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以下的得2分；抗菌药物使用率在50%至60%</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的得1分</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60%以上不得分。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18</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住院患者大型检查阳性率（门诊医疗机构不评估）</w:t>
            </w:r>
          </w:p>
        </w:tc>
        <w:tc>
          <w:tcPr>
            <w:tcW w:w="2269"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不参与考核，不得分。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19</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医疗保险管理</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建立了与基本医疗保险管理相适应的内部组织管理制度，配备了必要的管理人员、设备和办公场所，得4分。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20</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环境卫生管理</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医疗机构干净整洁，无乱贴乱挂，功能分区合理，得3分。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21</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医疗纠纷调解</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公布投诉电话、信箱，畅通投诉渠道，及时受理、处置患者投诉的，得2分。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22</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便民导诊服务</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设立指示牌、就医流程、医生姓名和联系方式，方便群众看病就医的，得2分。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23</w:t>
            </w: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财务管理（14分）</w:t>
            </w:r>
          </w:p>
        </w:tc>
        <w:tc>
          <w:tcPr>
            <w:tcW w:w="417"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在本机构参加城镇职工医疗保险情况</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（1）全部在职员工参加医疗保险，并及时缴费，得5分；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（2）80%及以上在职员工参加医疗保险，并及时缴费，得</w:t>
            </w:r>
            <w:r>
              <w:rPr>
                <w:rFonts w:hint="eastAsia" w:ascii="仿宋" w:hAnsi="仿宋" w:eastAsia="仿宋" w:cs="仿宋"/>
                <w:color w:val="000000" w:themeColor="text1"/>
                <w:sz w:val="24"/>
                <w:szCs w:val="24"/>
                <w:lang w:val="en-US" w:eastAsia="zh-CN"/>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8</w:t>
            </w:r>
            <w:r>
              <w:rPr>
                <w:rFonts w:hint="eastAsia" w:ascii="仿宋" w:hAnsi="仿宋" w:eastAsia="仿宋" w:cs="仿宋"/>
                <w:color w:val="000000" w:themeColor="text1"/>
                <w:sz w:val="24"/>
                <w:szCs w:val="24"/>
                <w14:textFill>
                  <w14:solidFill>
                    <w14:schemeClr w14:val="tx1"/>
                  </w14:solidFill>
                </w14:textFill>
              </w:rPr>
              <w:t>0%以下在职员工参加医疗保险的，不得纳入医保定点。</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24</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对药品、医用的材料的采购、验收、销售等环节、实行计算机实时管理情况</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（1）已实时录入全部环节数据并可查询3个月以上时间的真实数据，得3分；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（2）已实时录入全部环节数据并可查询1至3个月以内的真实数据，得2分；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（3）已实时录入全部环节数据并可查询1个月以下时间的真实数据，得1分；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（4）分别抽查20个药品和医用材料，进、销、存账物不符的，每发现一个品种扣0.5分，累计计算，最多扣3分。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25</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财务管理制度</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有健全和完善财务管理制度，对医疗机构财务活动进行全面管理，建立监督内控机制的，得2分。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26</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财务人员</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根据医疗机构规模，配备相应的会计、出纳人员，得2分。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27</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财务结算</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财务票据齐全、合法，得2分。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28</w:t>
            </w: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信息系统（6分）</w:t>
            </w:r>
          </w:p>
        </w:tc>
        <w:tc>
          <w:tcPr>
            <w:tcW w:w="41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计算机配备使用</w:t>
            </w:r>
          </w:p>
        </w:tc>
        <w:tc>
          <w:tcPr>
            <w:tcW w:w="2269"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按照医疗保险业务要求配置必要的电脑设备（包括POS机）和熟练的操作人员的，得2分。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29</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医疗信息化</w:t>
            </w: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对医疗服务过程实行全流程信息化管理的得2分。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30</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联网结算能力</w:t>
            </w: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承诺在签订协议之前，实现与</w:t>
            </w:r>
            <w:r>
              <w:rPr>
                <w:rFonts w:hint="eastAsia" w:ascii="仿宋" w:hAnsi="仿宋" w:eastAsia="仿宋" w:cs="仿宋"/>
                <w:color w:val="000000" w:themeColor="text1"/>
                <w:kern w:val="0"/>
                <w:sz w:val="24"/>
                <w:szCs w:val="24"/>
                <w:lang w:eastAsia="zh-CN"/>
                <w14:textFill>
                  <w14:solidFill>
                    <w14:schemeClr w14:val="tx1"/>
                  </w14:solidFill>
                </w14:textFill>
              </w:rPr>
              <w:t>医保信息平台</w:t>
            </w:r>
            <w:r>
              <w:rPr>
                <w:rFonts w:hint="eastAsia" w:ascii="仿宋" w:hAnsi="仿宋" w:eastAsia="仿宋" w:cs="仿宋"/>
                <w:color w:val="000000" w:themeColor="text1"/>
                <w:kern w:val="0"/>
                <w:sz w:val="24"/>
                <w:szCs w:val="24"/>
                <w14:textFill>
                  <w14:solidFill>
                    <w14:schemeClr w14:val="tx1"/>
                  </w14:solidFill>
                </w14:textFill>
              </w:rPr>
              <w:t>联网对接，达到刷卡结算的</w:t>
            </w:r>
            <w:r>
              <w:rPr>
                <w:rFonts w:hint="eastAsia" w:ascii="仿宋" w:hAnsi="仿宋" w:eastAsia="仿宋" w:cs="仿宋"/>
                <w:color w:val="000000" w:themeColor="text1"/>
                <w:sz w:val="24"/>
                <w:szCs w:val="24"/>
                <w14:textFill>
                  <w14:solidFill>
                    <w14:schemeClr w14:val="tx1"/>
                  </w14:solidFill>
                </w14:textFill>
              </w:rPr>
              <w:t>，得2分。签订协议后一个月内未完成的，取消定点资格。</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31</w:t>
            </w:r>
          </w:p>
        </w:tc>
        <w:tc>
          <w:tcPr>
            <w:tcW w:w="41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社会评价（9分）</w:t>
            </w:r>
          </w:p>
        </w:tc>
        <w:tc>
          <w:tcPr>
            <w:tcW w:w="417"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主流媒体负面报导</w:t>
            </w: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（1）医疗机构提交定点申请前</w:t>
            </w:r>
            <w:r>
              <w:rPr>
                <w:rFonts w:hint="eastAsia" w:ascii="仿宋" w:hAnsi="仿宋" w:eastAsia="仿宋" w:cs="仿宋"/>
                <w:color w:val="000000" w:themeColor="text1"/>
                <w:sz w:val="24"/>
                <w:szCs w:val="24"/>
                <w:lang w:eastAsia="zh-CN"/>
                <w14:textFill>
                  <w14:solidFill>
                    <w14:schemeClr w14:val="tx1"/>
                  </w14:solidFill>
                </w14:textFill>
              </w:rPr>
              <w:t>两</w:t>
            </w:r>
            <w:r>
              <w:rPr>
                <w:rFonts w:hint="eastAsia" w:ascii="仿宋" w:hAnsi="仿宋" w:eastAsia="仿宋" w:cs="仿宋"/>
                <w:color w:val="000000" w:themeColor="text1"/>
                <w:sz w:val="24"/>
                <w:szCs w:val="24"/>
                <w14:textFill>
                  <w14:solidFill>
                    <w14:schemeClr w14:val="tx1"/>
                  </w14:solidFill>
                </w14:textFill>
              </w:rPr>
              <w:t>年内无媒体负面报导的，得5分；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（2）医疗机构提交定点申请前两年内被媒体负面报导的，扣5分；社会影响恶劣及负面报导两次以上的，不得纳入医保定点。</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32</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医疗服务不良记录</w:t>
            </w:r>
          </w:p>
        </w:tc>
        <w:tc>
          <w:tcPr>
            <w:tcW w:w="2269" w:type="pct"/>
            <w:vAlign w:val="center"/>
          </w:tcPr>
          <w:p>
            <w:pPr>
              <w:spacing w:line="220" w:lineRule="exac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（1）医疗机构提交定点申请前两年内无医疗服务不良记录的，得2分；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20" w:lineRule="exac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（2）医疗机构提交定点申请前两年内被医疗保障、卫健、审计、市场监管等部门处罚一次的扣5分；情节严重的或查处两次以上的不得纳入医保定点。</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33</w:t>
            </w:r>
          </w:p>
        </w:tc>
        <w:tc>
          <w:tcPr>
            <w:tcW w:w="416"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17" w:type="pct"/>
            <w:vMerge w:val="restart"/>
            <w:vAlign w:val="center"/>
          </w:tcPr>
          <w:p>
            <w:pPr>
              <w:jc w:val="center"/>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社会诚信体系建设</w:t>
            </w:r>
          </w:p>
        </w:tc>
        <w:tc>
          <w:tcPr>
            <w:tcW w:w="2269" w:type="pct"/>
            <w:vAlign w:val="center"/>
          </w:tcPr>
          <w:p>
            <w:pPr>
              <w:numPr>
                <w:ilvl w:val="0"/>
                <w:numId w:val="2"/>
              </w:numPr>
              <w:spacing w:line="220" w:lineRule="exact"/>
              <w:rPr>
                <w:rFonts w:hint="eastAsia" w:ascii="仿宋" w:hAnsi="仿宋" w:eastAsia="仿宋" w:cs="仿宋"/>
                <w:b w:val="0"/>
                <w:bCs w:val="0"/>
                <w:color w:val="000000" w:themeColor="text1"/>
                <w:sz w:val="24"/>
                <w:szCs w:val="24"/>
                <w14:textFill>
                  <w14:solidFill>
                    <w14:schemeClr w14:val="tx1"/>
                  </w14:solidFill>
                </w14:textFill>
              </w:rPr>
            </w:pPr>
            <w:r>
              <w:rPr>
                <w:rFonts w:hint="eastAsia" w:ascii="仿宋" w:hAnsi="仿宋" w:eastAsia="仿宋" w:cs="仿宋"/>
                <w:b w:val="0"/>
                <w:bCs w:val="0"/>
                <w:color w:val="000000" w:themeColor="text1"/>
                <w:sz w:val="24"/>
                <w:szCs w:val="24"/>
                <w14:textFill>
                  <w14:solidFill>
                    <w14:schemeClr w14:val="tx1"/>
                  </w14:solidFill>
                </w14:textFill>
              </w:rPr>
              <w:t>机构及法人代表、负责人近两年内没有被纳入社会诚信体系建设“黑名单”，且无违法犯罪纪录的，得2分。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416"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417"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2269" w:type="pct"/>
            <w:vAlign w:val="center"/>
          </w:tcPr>
          <w:p>
            <w:pPr>
              <w:spacing w:line="220" w:lineRule="exac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（2）机构及法人代表、负责人近两年内被纳入社会诚信体系建设“黑名单”或有违法犯罪纪录的，不得纳入定点。</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326"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34</w:t>
            </w:r>
          </w:p>
        </w:tc>
        <w:tc>
          <w:tcPr>
            <w:tcW w:w="416"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加分项目</w:t>
            </w:r>
          </w:p>
        </w:tc>
        <w:tc>
          <w:tcPr>
            <w:tcW w:w="417" w:type="pct"/>
            <w:vAlign w:val="center"/>
          </w:tcPr>
          <w:p>
            <w:pPr>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荣誉</w:t>
            </w:r>
          </w:p>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表彰</w:t>
            </w:r>
          </w:p>
        </w:tc>
        <w:tc>
          <w:tcPr>
            <w:tcW w:w="2269"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机构或法人在公共卫生事件、防汛抗旱等自然灾害事故中，服从党委、政府及相关行政主管部门调度和安排的，获市级以上表彰得3分，县级表彰得2分，乡镇表彰得1分。</w:t>
            </w:r>
          </w:p>
        </w:tc>
        <w:tc>
          <w:tcPr>
            <w:tcW w:w="505"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47"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18"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bl>
    <w:p>
      <w:pPr>
        <w:rPr>
          <w:color w:val="000000" w:themeColor="text1"/>
          <w:sz w:val="24"/>
          <w:szCs w:val="24"/>
          <w14:textFill>
            <w14:solidFill>
              <w14:schemeClr w14:val="tx1"/>
            </w14:solidFill>
          </w14:textFill>
        </w:rPr>
      </w:pPr>
    </w:p>
    <w:p>
      <w:pP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备注：第10、13、18项指标仅考核住院医疗机构，共10分。</w:t>
      </w:r>
    </w:p>
    <w:p>
      <w:pPr>
        <w:ind w:firstLine="883" w:firstLineChars="200"/>
        <w:jc w:val="both"/>
        <w:rPr>
          <w:rFonts w:hint="eastAsia" w:ascii="楷体" w:hAnsi="楷体" w:eastAsia="楷体"/>
          <w:b/>
          <w:color w:val="000000" w:themeColor="text1"/>
          <w:sz w:val="44"/>
          <w:szCs w:val="44"/>
          <w14:textFill>
            <w14:solidFill>
              <w14:schemeClr w14:val="tx1"/>
            </w14:solidFill>
          </w14:textFill>
        </w:rPr>
      </w:pPr>
    </w:p>
    <w:p>
      <w:pPr>
        <w:ind w:firstLine="883" w:firstLineChars="200"/>
        <w:jc w:val="both"/>
        <w:rPr>
          <w:rFonts w:hint="eastAsia" w:ascii="楷体" w:hAnsi="楷体" w:eastAsia="楷体"/>
          <w:b/>
          <w:color w:val="000000" w:themeColor="text1"/>
          <w:sz w:val="44"/>
          <w:szCs w:val="44"/>
          <w14:textFill>
            <w14:solidFill>
              <w14:schemeClr w14:val="tx1"/>
            </w14:solidFill>
          </w14:textFill>
        </w:rPr>
      </w:pPr>
    </w:p>
    <w:p>
      <w:pPr>
        <w:ind w:firstLine="883" w:firstLineChars="200"/>
        <w:jc w:val="both"/>
        <w:rPr>
          <w:rFonts w:ascii="楷体" w:hAnsi="楷体" w:eastAsia="楷体"/>
          <w:b/>
          <w:color w:val="000000" w:themeColor="text1"/>
          <w:sz w:val="44"/>
          <w:szCs w:val="44"/>
          <w14:textFill>
            <w14:solidFill>
              <w14:schemeClr w14:val="tx1"/>
            </w14:solidFill>
          </w14:textFill>
        </w:rPr>
      </w:pPr>
      <w:r>
        <w:rPr>
          <w:rFonts w:hint="eastAsia" w:ascii="楷体" w:hAnsi="楷体" w:eastAsia="楷体"/>
          <w:b/>
          <w:color w:val="000000" w:themeColor="text1"/>
          <w:sz w:val="44"/>
          <w:szCs w:val="44"/>
          <w14:textFill>
            <w14:solidFill>
              <w14:schemeClr w14:val="tx1"/>
            </w14:solidFill>
          </w14:textFill>
        </w:rPr>
        <w:t>新余市基本医疗保险定点医疗机构综合评估表</w:t>
      </w:r>
    </w:p>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医疗机构名称（公章）：                    自评得分：                         总分：100分（门诊90分）</w:t>
      </w:r>
    </w:p>
    <w:tbl>
      <w:tblPr>
        <w:tblStyle w:val="6"/>
        <w:tblW w:w="5000" w:type="pct"/>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543"/>
        <w:gridCol w:w="904"/>
        <w:gridCol w:w="906"/>
        <w:gridCol w:w="4877"/>
        <w:gridCol w:w="1111"/>
        <w:gridCol w:w="1201"/>
        <w:gridCol w:w="114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blHeader/>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序号</w:t>
            </w:r>
          </w:p>
        </w:tc>
        <w:tc>
          <w:tcPr>
            <w:tcW w:w="847" w:type="pct"/>
            <w:gridSpan w:val="2"/>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评估项目</w:t>
            </w:r>
          </w:p>
        </w:tc>
        <w:tc>
          <w:tcPr>
            <w:tcW w:w="228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评估标准</w:t>
            </w:r>
          </w:p>
        </w:tc>
        <w:tc>
          <w:tcPr>
            <w:tcW w:w="520"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自评</w:t>
            </w:r>
          </w:p>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得分</w:t>
            </w:r>
          </w:p>
        </w:tc>
        <w:tc>
          <w:tcPr>
            <w:tcW w:w="562"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自评得分</w:t>
            </w:r>
          </w:p>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说明</w:t>
            </w:r>
          </w:p>
        </w:tc>
        <w:tc>
          <w:tcPr>
            <w:tcW w:w="53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佐证材料编号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blHeader/>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847" w:type="pct"/>
            <w:gridSpan w:val="2"/>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门诊医疗机构（专科，含个体诊所、村卫生室）</w:t>
            </w:r>
          </w:p>
        </w:tc>
        <w:tc>
          <w:tcPr>
            <w:tcW w:w="520"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w:t>
            </w:r>
          </w:p>
        </w:tc>
        <w:tc>
          <w:tcPr>
            <w:tcW w:w="42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规划布局（12分）</w:t>
            </w:r>
          </w:p>
        </w:tc>
        <w:tc>
          <w:tcPr>
            <w:tcW w:w="424" w:type="pct"/>
            <w:vMerge w:val="restart"/>
            <w:vAlign w:val="center"/>
          </w:tcPr>
          <w:p>
            <w:pPr>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开业</w:t>
            </w:r>
          </w:p>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时间</w:t>
            </w: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（1）3年（含）及以上，得5分；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（2）2年（含）至3年以内的得3分；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（3）1年（含）至2年以内，得2分；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（4）3个月（含）至1年以内得1分。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营业场所使用时间</w:t>
            </w: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（1）自有房产证或不动产登记证的，得5分；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（2）房屋租赁合同在5年（含）以上的，得4分；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（3）房屋租赁合同在3年（含）以上的得3分。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（4）房屋租赁合同在2年（含）以上的得2分。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（5）房屋租赁合同在2年以内的，得1分。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与最近医保定点同级医疗机构的距离</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（1）门诊医疗机构300米（含）以上，得2分；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（2）门诊医疗机构300米以下，得1分。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w:t>
            </w:r>
          </w:p>
        </w:tc>
        <w:tc>
          <w:tcPr>
            <w:tcW w:w="42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服务能力（住院23分、门诊19分）</w:t>
            </w: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临床科室数量</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（1）3个（含）以上，得3分；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（2）2个，得2分；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（3）1个，得1分。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医保药品种数</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（1）100种</w:t>
            </w:r>
            <w:r>
              <w:rPr>
                <w:rFonts w:hint="eastAsia" w:ascii="宋体" w:hAnsi="宋体"/>
                <w:color w:val="000000" w:themeColor="text1"/>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以上，得3分；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（2）51至100种，得2分；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（3）50种</w:t>
            </w:r>
            <w:r>
              <w:rPr>
                <w:rFonts w:hint="eastAsia" w:ascii="宋体" w:hAnsi="宋体"/>
                <w:color w:val="000000" w:themeColor="text1"/>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以内，得1分。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6</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诊疗项目种数</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（1）50种</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以上，得3分；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（2）21种至50种，得2分；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（3）20种</w:t>
            </w:r>
            <w:r>
              <w:rPr>
                <w:rFonts w:hint="eastAsia" w:ascii="宋体" w:hAnsi="宋体"/>
                <w:color w:val="000000" w:themeColor="text1"/>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以内，得1分。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7</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第一</w:t>
            </w:r>
            <w:r>
              <w:rPr>
                <w:rFonts w:hint="eastAsia" w:ascii="仿宋" w:hAnsi="仿宋" w:eastAsia="仿宋" w:cs="仿宋"/>
                <w:color w:val="000000" w:themeColor="text1"/>
                <w:sz w:val="24"/>
                <w:szCs w:val="24"/>
                <w14:textFill>
                  <w14:solidFill>
                    <w14:schemeClr w14:val="tx1"/>
                  </w14:solidFill>
                </w14:textFill>
              </w:rPr>
              <w:t>注册</w:t>
            </w:r>
            <w:r>
              <w:rPr>
                <w:rFonts w:hint="eastAsia" w:ascii="仿宋" w:hAnsi="仿宋" w:eastAsia="仿宋" w:cs="仿宋"/>
                <w:color w:val="000000" w:themeColor="text1"/>
                <w:sz w:val="24"/>
                <w:szCs w:val="24"/>
                <w:lang w:eastAsia="zh-CN"/>
                <w14:textFill>
                  <w14:solidFill>
                    <w14:schemeClr w14:val="tx1"/>
                  </w14:solidFill>
                </w14:textFill>
              </w:rPr>
              <w:t>地</w:t>
            </w:r>
            <w:r>
              <w:rPr>
                <w:rFonts w:hint="eastAsia" w:ascii="仿宋" w:hAnsi="仿宋" w:eastAsia="仿宋" w:cs="仿宋"/>
                <w:color w:val="000000" w:themeColor="text1"/>
                <w:sz w:val="24"/>
                <w:szCs w:val="24"/>
                <w14:textFill>
                  <w14:solidFill>
                    <w14:schemeClr w14:val="tx1"/>
                  </w14:solidFill>
                </w14:textFill>
              </w:rPr>
              <w:t>在本医疗机构、在本医疗机构专职上班且在本机构参加城镇职工医疗保险的执业医师人数</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（1）3人（含）及以上，得3分；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（2）2人</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（3）1人</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8</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注册在本医疗机构、在本医疗机构专职上班</w:t>
            </w:r>
            <w:r>
              <w:rPr>
                <w:rFonts w:hint="eastAsia" w:ascii="仿宋" w:hAnsi="仿宋" w:eastAsia="仿宋" w:cs="仿宋"/>
                <w:color w:val="000000" w:themeColor="text1"/>
                <w:kern w:val="0"/>
                <w:sz w:val="24"/>
                <w:szCs w:val="24"/>
                <w14:textFill>
                  <w14:solidFill>
                    <w14:schemeClr w14:val="tx1"/>
                  </w14:solidFill>
                </w14:textFill>
              </w:rPr>
              <w:t>且在本机构参加城镇职工医疗保险的执</w:t>
            </w:r>
            <w:r>
              <w:rPr>
                <w:rFonts w:hint="eastAsia" w:ascii="仿宋" w:hAnsi="仿宋" w:eastAsia="仿宋" w:cs="仿宋"/>
                <w:color w:val="000000" w:themeColor="text1"/>
                <w:sz w:val="24"/>
                <w:szCs w:val="24"/>
                <w14:textFill>
                  <w14:solidFill>
                    <w14:schemeClr w14:val="tx1"/>
                  </w14:solidFill>
                </w14:textFill>
              </w:rPr>
              <w:t>业药师(或药师)人数</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不作考核，得3分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9</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医疗业务用房面积</w:t>
            </w: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（1）300平米（含）以上，得4分；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（2）201平米至300平米，得3分；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（3）101平米至200平米，得2分；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（4）50平米（含）至100平米，得1分。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10</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核定病床数量</w:t>
            </w:r>
            <w:r>
              <w:rPr>
                <w:rFonts w:hint="eastAsia" w:ascii="仿宋" w:hAnsi="仿宋" w:eastAsia="仿宋" w:cs="仿宋"/>
                <w:color w:val="000000" w:themeColor="text1"/>
                <w:sz w:val="24"/>
                <w:szCs w:val="24"/>
                <w14:textFill>
                  <w14:solidFill>
                    <w14:schemeClr w14:val="tx1"/>
                  </w14:solidFill>
                </w14:textFill>
              </w:rPr>
              <w:t>（门诊医疗机构不评估）</w:t>
            </w:r>
          </w:p>
        </w:tc>
        <w:tc>
          <w:tcPr>
            <w:tcW w:w="228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不参与考核，不得分。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11</w:t>
            </w:r>
          </w:p>
        </w:tc>
        <w:tc>
          <w:tcPr>
            <w:tcW w:w="42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价格收费（住院21分、门诊17分）</w:t>
            </w:r>
          </w:p>
        </w:tc>
        <w:tc>
          <w:tcPr>
            <w:tcW w:w="424" w:type="pct"/>
            <w:vMerge w:val="restart"/>
            <w:vAlign w:val="center"/>
          </w:tcPr>
          <w:p>
            <w:pPr>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药品</w:t>
            </w:r>
          </w:p>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价格</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（1）随机抽查的10个药品价格均未超过</w:t>
            </w:r>
            <w:r>
              <w:rPr>
                <w:rFonts w:hint="eastAsia" w:ascii="仿宋" w:hAnsi="仿宋" w:eastAsia="仿宋" w:cs="仿宋"/>
                <w:color w:val="000000" w:themeColor="text1"/>
                <w:sz w:val="24"/>
                <w:szCs w:val="24"/>
                <w:lang w:eastAsia="zh-CN"/>
                <w14:textFill>
                  <w14:solidFill>
                    <w14:schemeClr w14:val="tx1"/>
                  </w14:solidFill>
                </w14:textFill>
              </w:rPr>
              <w:t>国家医保信息平台药品招标采购子系统</w:t>
            </w:r>
            <w:r>
              <w:rPr>
                <w:rFonts w:hint="eastAsia" w:ascii="仿宋" w:hAnsi="仿宋" w:eastAsia="仿宋" w:cs="仿宋"/>
                <w:color w:val="000000" w:themeColor="text1"/>
                <w:sz w:val="24"/>
                <w:szCs w:val="24"/>
                <w14:textFill>
                  <w14:solidFill>
                    <w14:schemeClr w14:val="tx1"/>
                  </w14:solidFill>
                </w14:textFill>
              </w:rPr>
              <w:t>确定的公立医院销售价格的，得4分；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（2）随机抽查的药品价格超过超过</w:t>
            </w:r>
            <w:r>
              <w:rPr>
                <w:rFonts w:hint="eastAsia" w:ascii="仿宋" w:hAnsi="仿宋" w:eastAsia="仿宋" w:cs="仿宋"/>
                <w:color w:val="000000" w:themeColor="text1"/>
                <w:sz w:val="24"/>
                <w:szCs w:val="24"/>
                <w:lang w:eastAsia="zh-CN"/>
                <w14:textFill>
                  <w14:solidFill>
                    <w14:schemeClr w14:val="tx1"/>
                  </w14:solidFill>
                </w14:textFill>
              </w:rPr>
              <w:t>国家医保信息平台药品招标采购子系统</w:t>
            </w:r>
            <w:r>
              <w:rPr>
                <w:rFonts w:hint="eastAsia" w:ascii="仿宋" w:hAnsi="仿宋" w:eastAsia="仿宋" w:cs="仿宋"/>
                <w:color w:val="000000" w:themeColor="text1"/>
                <w:sz w:val="24"/>
                <w:szCs w:val="24"/>
                <w14:textFill>
                  <w14:solidFill>
                    <w14:schemeClr w14:val="tx1"/>
                  </w14:solidFill>
                </w14:textFill>
              </w:rPr>
              <w:t>的，1个品种扣0.5分，累计计算，最多可扣4分。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12</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检查治疗收费</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（1）随机抽查的10个检查治疗收费均未超过省价格主管部门确定的收费价格的，得4分；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（2）随机抽查的检查治疗收费超过省价格主管部门确定的收费价格的，1个项目扣0.5分，累计计算，最多可扣4分。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13</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次均住院费用</w:t>
            </w:r>
            <w:r>
              <w:rPr>
                <w:rFonts w:hint="eastAsia" w:ascii="仿宋" w:hAnsi="仿宋" w:eastAsia="仿宋" w:cs="仿宋"/>
                <w:color w:val="000000" w:themeColor="text1"/>
                <w:sz w:val="24"/>
                <w:szCs w:val="24"/>
                <w14:textFill>
                  <w14:solidFill>
                    <w14:schemeClr w14:val="tx1"/>
                  </w14:solidFill>
                </w14:textFill>
              </w:rPr>
              <w:t>（门诊医疗机构不评估）</w:t>
            </w:r>
          </w:p>
        </w:tc>
        <w:tc>
          <w:tcPr>
            <w:tcW w:w="228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不参与考核，不得分。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14</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次均门诊费用</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上一年度次均门诊费用与统筹地区上一年度同级别医疗机构医保次均门诊费用相比，85%</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以下得</w:t>
            </w:r>
            <w:r>
              <w:rPr>
                <w:rFonts w:hint="eastAsia" w:ascii="仿宋" w:hAnsi="仿宋" w:eastAsia="仿宋" w:cs="仿宋"/>
                <w:color w:val="000000" w:themeColor="text1"/>
                <w:sz w:val="24"/>
                <w:szCs w:val="24"/>
                <w14:textFill>
                  <w14:solidFill>
                    <w14:schemeClr w14:val="tx1"/>
                  </w14:solidFill>
                </w14:textFill>
              </w:rPr>
              <w:t>4分</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宋体" w:hAnsi="宋体"/>
                <w:color w:val="000000" w:themeColor="text1"/>
                <w14:textFill>
                  <w14:solidFill>
                    <w14:schemeClr w14:val="tx1"/>
                  </w14:solidFill>
                </w14:textFill>
              </w:rPr>
              <w:t>8</w:t>
            </w:r>
            <w:r>
              <w:rPr>
                <w:rFonts w:hint="eastAsia" w:ascii="宋体" w:hAnsi="宋体"/>
                <w:color w:val="000000" w:themeColor="text1"/>
                <w:lang w:val="en-US" w:eastAsia="zh-CN"/>
                <w14:textFill>
                  <w14:solidFill>
                    <w14:schemeClr w14:val="tx1"/>
                  </w14:solidFill>
                </w14:textFill>
              </w:rPr>
              <w:t>4</w:t>
            </w:r>
            <w:r>
              <w:rPr>
                <w:rFonts w:hint="eastAsia" w:ascii="宋体" w:hAnsi="宋体"/>
                <w:color w:val="000000" w:themeColor="text1"/>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-8</w:t>
            </w:r>
            <w:r>
              <w:rPr>
                <w:rFonts w:hint="eastAsia" w:ascii="仿宋" w:hAnsi="仿宋" w:eastAsia="仿宋" w:cs="仿宋"/>
                <w:color w:val="000000" w:themeColor="text1"/>
                <w:sz w:val="24"/>
                <w:szCs w:val="24"/>
                <w14:textFill>
                  <w14:solidFill>
                    <w14:schemeClr w14:val="tx1"/>
                  </w14:solidFill>
                </w14:textFill>
              </w:rPr>
              <w:t>9%的得3分</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90%-94%的得2分；95%-100%的得1分。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15</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费用清单</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按规定提供药品、检查、治疗、服务收费清单的，得2分。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16</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价格信息公示</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设立公示屏（牌）及时向群众公示药品价格和医疗服务价格信息及医保支付标准的，得3分。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17</w:t>
            </w:r>
          </w:p>
        </w:tc>
        <w:tc>
          <w:tcPr>
            <w:tcW w:w="42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内部管理（住院15分、门诊13分）</w:t>
            </w: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门诊患者抗菌药物使用率</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抽查10份门诊病历，抗菌药物使用率在50%</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以下的得2分；抗菌药物使用率在50%至60%</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的得1分，60%以上不得分。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18</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住院患者大型检查阳性率（门诊医疗机构不评估）</w:t>
            </w:r>
          </w:p>
        </w:tc>
        <w:tc>
          <w:tcPr>
            <w:tcW w:w="228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不参与考核，不得分。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19</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医疗保险管理</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建立了与基本医疗保险管理相适应的内部组织管理制度，配备了必要的管理人员、设备和办公场所，得4分。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20</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环境卫生管理</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医疗机构干净整洁，无乱贴乱挂，功能分区合理，得3分。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21</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医疗纠纷调解</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公布投诉电话、信箱，畅通投诉渠道，及时受理、处置患者投诉的，得2分。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22</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便民导诊服务</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设立指示牌、就医流程、医生姓名和联系方式，方便群众看病就医的，得2分。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23</w:t>
            </w:r>
          </w:p>
        </w:tc>
        <w:tc>
          <w:tcPr>
            <w:tcW w:w="42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财务管理（14分）</w:t>
            </w: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在本机构参加城镇职工医疗保险情况</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（1）全部在职员工参加医疗保险，并及时缴费，得5分；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2）80%及以上在职员工参加医疗保险，并及时缴费，得</w:t>
            </w:r>
            <w:r>
              <w:rPr>
                <w:rFonts w:hint="eastAsia" w:ascii="仿宋" w:hAnsi="仿宋" w:eastAsia="仿宋" w:cs="仿宋"/>
                <w:color w:val="000000" w:themeColor="text1"/>
                <w:sz w:val="24"/>
                <w:szCs w:val="24"/>
                <w:lang w:val="en-US" w:eastAsia="zh-CN"/>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8</w:t>
            </w:r>
            <w:r>
              <w:rPr>
                <w:rFonts w:hint="eastAsia" w:ascii="仿宋" w:hAnsi="仿宋" w:eastAsia="仿宋" w:cs="仿宋"/>
                <w:color w:val="000000" w:themeColor="text1"/>
                <w:sz w:val="24"/>
                <w:szCs w:val="24"/>
                <w14:textFill>
                  <w14:solidFill>
                    <w14:schemeClr w14:val="tx1"/>
                  </w14:solidFill>
                </w14:textFill>
              </w:rPr>
              <w:t>0%以下在职员工参加医疗保险的，不得纳入医保定点。</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24</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对药品、医用的材料的采购、验收、销售等环节、实行计算机实时管理情况</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（1）已实时录入全部环节数据并可查询3个月以上时间的真实数据，得3分；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（2）已实时录入全部环节数据并可查询1至3个月以内的真实数据，得2分；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（3）已实时录入全部环节数据并可查询1个月以下时间的真实数据，得1分；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（4）分别抽查20个药品和医用材料，进、销、存账物不符的，每发现一个品种扣0.5分，累计计算，最多扣3分。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25</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财务管理制度</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有健全和完善财务管理制度，对医疗机构财务活动进行全面管理，建立监督内控机制的，得2分。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26</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财务人员</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根据医疗机构规模，配备相应的会计、出纳人员，得2分。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27</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财务结算</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财务票据齐全、合法，得2分。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28</w:t>
            </w:r>
          </w:p>
        </w:tc>
        <w:tc>
          <w:tcPr>
            <w:tcW w:w="42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信息系统（6分）</w:t>
            </w: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计算机配备使用</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按照医疗保险业务要求配置必要的电脑设备（包括POS机）和熟练的操作人员的，得2分。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29</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医疗信息化</w:t>
            </w: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对医疗服务过程实行全流程信息化管理的，得2分。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30</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联网结算能力</w:t>
            </w: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承诺在签订协议之前，实现与</w:t>
            </w:r>
            <w:r>
              <w:rPr>
                <w:rFonts w:hint="eastAsia" w:ascii="仿宋" w:hAnsi="仿宋" w:eastAsia="仿宋" w:cs="仿宋"/>
                <w:color w:val="000000" w:themeColor="text1"/>
                <w:kern w:val="0"/>
                <w:sz w:val="24"/>
                <w:szCs w:val="24"/>
                <w:lang w:eastAsia="zh-CN"/>
                <w14:textFill>
                  <w14:solidFill>
                    <w14:schemeClr w14:val="tx1"/>
                  </w14:solidFill>
                </w14:textFill>
              </w:rPr>
              <w:t>医保信息平台</w:t>
            </w:r>
            <w:r>
              <w:rPr>
                <w:rFonts w:hint="eastAsia" w:ascii="仿宋" w:hAnsi="仿宋" w:eastAsia="仿宋" w:cs="仿宋"/>
                <w:color w:val="000000" w:themeColor="text1"/>
                <w:kern w:val="0"/>
                <w:sz w:val="24"/>
                <w:szCs w:val="24"/>
                <w14:textFill>
                  <w14:solidFill>
                    <w14:schemeClr w14:val="tx1"/>
                  </w14:solidFill>
                </w14:textFill>
              </w:rPr>
              <w:t>联网对接，达到刷卡结算的</w:t>
            </w:r>
            <w:r>
              <w:rPr>
                <w:rFonts w:hint="eastAsia" w:ascii="仿宋" w:hAnsi="仿宋" w:eastAsia="仿宋" w:cs="仿宋"/>
                <w:color w:val="000000" w:themeColor="text1"/>
                <w:sz w:val="24"/>
                <w:szCs w:val="24"/>
                <w14:textFill>
                  <w14:solidFill>
                    <w14:schemeClr w14:val="tx1"/>
                  </w14:solidFill>
                </w14:textFill>
              </w:rPr>
              <w:t>，得2分。签订协议后一个月内未完成的，取消定点资格。</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31</w:t>
            </w:r>
          </w:p>
        </w:tc>
        <w:tc>
          <w:tcPr>
            <w:tcW w:w="42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社会评价（9分）</w:t>
            </w: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主流媒体负面报导</w:t>
            </w: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（1）医疗机构提交定点申请前</w:t>
            </w:r>
            <w:r>
              <w:rPr>
                <w:rFonts w:hint="eastAsia" w:ascii="仿宋" w:hAnsi="仿宋" w:eastAsia="仿宋" w:cs="仿宋"/>
                <w:color w:val="000000" w:themeColor="text1"/>
                <w:sz w:val="24"/>
                <w:szCs w:val="24"/>
                <w:lang w:eastAsia="zh-CN"/>
                <w14:textFill>
                  <w14:solidFill>
                    <w14:schemeClr w14:val="tx1"/>
                  </w14:solidFill>
                </w14:textFill>
              </w:rPr>
              <w:t>两</w:t>
            </w:r>
            <w:r>
              <w:rPr>
                <w:rFonts w:hint="eastAsia" w:ascii="仿宋" w:hAnsi="仿宋" w:eastAsia="仿宋" w:cs="仿宋"/>
                <w:color w:val="000000" w:themeColor="text1"/>
                <w:sz w:val="24"/>
                <w:szCs w:val="24"/>
                <w14:textFill>
                  <w14:solidFill>
                    <w14:schemeClr w14:val="tx1"/>
                  </w14:solidFill>
                </w14:textFill>
              </w:rPr>
              <w:t>年内无媒体负面报导的，得5分；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（2）医疗机构提交定点申请前两年内被媒体负面报导的，扣5分；社会影响恶劣及负面报导两次以上的，不得纳入医保定点。</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32</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医疗服务不良记录</w:t>
            </w:r>
          </w:p>
        </w:tc>
        <w:tc>
          <w:tcPr>
            <w:tcW w:w="2282" w:type="pct"/>
            <w:vAlign w:val="center"/>
          </w:tcPr>
          <w:p>
            <w:pPr>
              <w:spacing w:line="220" w:lineRule="exac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（1）医疗机构提交定点申请前两年内无医疗服务不良记录的，得2分；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20" w:lineRule="exac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（2）医疗机构提交定点申请前两年内被医疗保障、卫健、审计、市场监管等部门处罚一次的扣5分；情节严重的或查处两次以上的不得纳入医保定点。</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33</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社会诚信体系建设</w:t>
            </w:r>
          </w:p>
        </w:tc>
        <w:tc>
          <w:tcPr>
            <w:tcW w:w="2282" w:type="pct"/>
            <w:vAlign w:val="center"/>
          </w:tcPr>
          <w:p>
            <w:pPr>
              <w:numPr>
                <w:ilvl w:val="0"/>
                <w:numId w:val="3"/>
              </w:numPr>
              <w:spacing w:line="220" w:lineRule="exac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机构及法人代表、负责人近两年内没有被纳入社会诚信体系建设“黑名单”，且无违法犯罪纪录的，得2分。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left"/>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20" w:lineRule="exac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（2）机构及法人代表、负责人近两年内被纳入社会诚信体系建设“黑名单”或有违法犯罪纪录的，不得纳入定点。</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jc w:val="center"/>
        </w:trPr>
        <w:tc>
          <w:tcPr>
            <w:tcW w:w="254"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34</w:t>
            </w:r>
          </w:p>
        </w:tc>
        <w:tc>
          <w:tcPr>
            <w:tcW w:w="423"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加分项目</w:t>
            </w:r>
          </w:p>
        </w:tc>
        <w:tc>
          <w:tcPr>
            <w:tcW w:w="424" w:type="pct"/>
            <w:vAlign w:val="center"/>
          </w:tcPr>
          <w:p>
            <w:pPr>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荣誉</w:t>
            </w:r>
          </w:p>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表彰</w:t>
            </w:r>
          </w:p>
        </w:tc>
        <w:tc>
          <w:tcPr>
            <w:tcW w:w="2282" w:type="pct"/>
            <w:vAlign w:val="center"/>
          </w:tcPr>
          <w:p>
            <w:pPr>
              <w:spacing w:line="240" w:lineRule="exact"/>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机构或法人在公共卫生事件、防汛抗旱等自然灾害事故中，服从党委、政府及相关行政主管部门调度和安排的，获市级以上表彰得3分，县级表彰得2分，乡镇表彰得1分。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bl>
    <w:p>
      <w:pPr>
        <w:rPr>
          <w:color w:val="000000" w:themeColor="text1"/>
          <w:sz w:val="24"/>
          <w:szCs w:val="24"/>
          <w14:textFill>
            <w14:solidFill>
              <w14:schemeClr w14:val="tx1"/>
            </w14:solidFill>
          </w14:textFill>
        </w:rPr>
      </w:pPr>
    </w:p>
    <w:p>
      <w:pPr>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备注：第10、13、18项指标仅考核住院医疗机构，共10分。</w:t>
      </w:r>
    </w:p>
    <w:p>
      <w:pPr>
        <w:ind w:firstLine="442" w:firstLineChars="100"/>
        <w:jc w:val="both"/>
        <w:rPr>
          <w:rFonts w:hint="eastAsia" w:ascii="楷体" w:hAnsi="楷体" w:eastAsia="楷体"/>
          <w:b/>
          <w:color w:val="000000" w:themeColor="text1"/>
          <w:sz w:val="44"/>
          <w:szCs w:val="44"/>
          <w14:textFill>
            <w14:solidFill>
              <w14:schemeClr w14:val="tx1"/>
            </w14:solidFill>
          </w14:textFill>
        </w:rPr>
      </w:pPr>
    </w:p>
    <w:p>
      <w:pPr>
        <w:ind w:firstLine="442" w:firstLineChars="100"/>
        <w:jc w:val="both"/>
        <w:rPr>
          <w:rFonts w:hint="eastAsia" w:ascii="楷体" w:hAnsi="楷体" w:eastAsia="楷体"/>
          <w:b/>
          <w:color w:val="000000" w:themeColor="text1"/>
          <w:sz w:val="44"/>
          <w:szCs w:val="44"/>
          <w14:textFill>
            <w14:solidFill>
              <w14:schemeClr w14:val="tx1"/>
            </w14:solidFill>
          </w14:textFill>
        </w:rPr>
      </w:pPr>
    </w:p>
    <w:p>
      <w:pPr>
        <w:ind w:firstLine="442" w:firstLineChars="100"/>
        <w:jc w:val="both"/>
        <w:rPr>
          <w:rFonts w:hint="eastAsia" w:ascii="楷体" w:hAnsi="楷体" w:eastAsia="楷体"/>
          <w:b/>
          <w:color w:val="000000" w:themeColor="text1"/>
          <w:sz w:val="44"/>
          <w:szCs w:val="44"/>
          <w14:textFill>
            <w14:solidFill>
              <w14:schemeClr w14:val="tx1"/>
            </w14:solidFill>
          </w14:textFill>
        </w:rPr>
      </w:pPr>
    </w:p>
    <w:p>
      <w:pPr>
        <w:ind w:firstLine="442" w:firstLineChars="100"/>
        <w:jc w:val="both"/>
        <w:rPr>
          <w:rFonts w:hint="eastAsia" w:ascii="楷体" w:hAnsi="楷体" w:eastAsia="楷体"/>
          <w:b/>
          <w:color w:val="000000" w:themeColor="text1"/>
          <w:sz w:val="44"/>
          <w:szCs w:val="44"/>
          <w14:textFill>
            <w14:solidFill>
              <w14:schemeClr w14:val="tx1"/>
            </w14:solidFill>
          </w14:textFill>
        </w:rPr>
      </w:pPr>
    </w:p>
    <w:p>
      <w:pPr>
        <w:ind w:firstLine="442" w:firstLineChars="100"/>
        <w:jc w:val="both"/>
        <w:rPr>
          <w:rFonts w:hint="eastAsia" w:ascii="楷体" w:hAnsi="楷体" w:eastAsia="楷体"/>
          <w:b/>
          <w:color w:val="000000" w:themeColor="text1"/>
          <w:sz w:val="44"/>
          <w:szCs w:val="44"/>
          <w14:textFill>
            <w14:solidFill>
              <w14:schemeClr w14:val="tx1"/>
            </w14:solidFill>
          </w14:textFill>
        </w:rPr>
      </w:pPr>
    </w:p>
    <w:p>
      <w:pPr>
        <w:ind w:firstLine="442" w:firstLineChars="100"/>
        <w:jc w:val="both"/>
        <w:rPr>
          <w:rFonts w:hint="eastAsia" w:ascii="楷体" w:hAnsi="楷体" w:eastAsia="楷体"/>
          <w:b/>
          <w:color w:val="000000" w:themeColor="text1"/>
          <w:sz w:val="44"/>
          <w:szCs w:val="44"/>
          <w14:textFill>
            <w14:solidFill>
              <w14:schemeClr w14:val="tx1"/>
            </w14:solidFill>
          </w14:textFill>
        </w:rPr>
      </w:pPr>
    </w:p>
    <w:p>
      <w:pPr>
        <w:ind w:firstLine="442" w:firstLineChars="100"/>
        <w:jc w:val="both"/>
        <w:rPr>
          <w:rFonts w:hint="eastAsia" w:ascii="楷体" w:hAnsi="楷体" w:eastAsia="楷体"/>
          <w:b/>
          <w:color w:val="000000" w:themeColor="text1"/>
          <w:sz w:val="44"/>
          <w:szCs w:val="44"/>
          <w14:textFill>
            <w14:solidFill>
              <w14:schemeClr w14:val="tx1"/>
            </w14:solidFill>
          </w14:textFill>
        </w:rPr>
      </w:pPr>
    </w:p>
    <w:p>
      <w:pPr>
        <w:ind w:firstLine="442" w:firstLineChars="100"/>
        <w:jc w:val="both"/>
        <w:rPr>
          <w:rFonts w:hint="eastAsia" w:ascii="楷体" w:hAnsi="楷体" w:eastAsia="楷体"/>
          <w:b/>
          <w:color w:val="000000" w:themeColor="text1"/>
          <w:sz w:val="44"/>
          <w:szCs w:val="44"/>
          <w14:textFill>
            <w14:solidFill>
              <w14:schemeClr w14:val="tx1"/>
            </w14:solidFill>
          </w14:textFill>
        </w:rPr>
      </w:pPr>
    </w:p>
    <w:p>
      <w:pPr>
        <w:ind w:firstLine="442" w:firstLineChars="100"/>
        <w:jc w:val="both"/>
        <w:rPr>
          <w:rFonts w:hint="eastAsia" w:ascii="楷体" w:hAnsi="楷体" w:eastAsia="楷体"/>
          <w:b/>
          <w:color w:val="000000" w:themeColor="text1"/>
          <w:sz w:val="44"/>
          <w:szCs w:val="44"/>
          <w14:textFill>
            <w14:solidFill>
              <w14:schemeClr w14:val="tx1"/>
            </w14:solidFill>
          </w14:textFill>
        </w:rPr>
      </w:pPr>
    </w:p>
    <w:p>
      <w:pPr>
        <w:ind w:firstLine="442" w:firstLineChars="100"/>
        <w:jc w:val="both"/>
        <w:rPr>
          <w:rFonts w:hint="eastAsia" w:ascii="楷体" w:hAnsi="楷体" w:eastAsia="楷体"/>
          <w:b/>
          <w:color w:val="000000" w:themeColor="text1"/>
          <w:sz w:val="44"/>
          <w:szCs w:val="44"/>
          <w14:textFill>
            <w14:solidFill>
              <w14:schemeClr w14:val="tx1"/>
            </w14:solidFill>
          </w14:textFill>
        </w:rPr>
      </w:pPr>
    </w:p>
    <w:p>
      <w:pPr>
        <w:ind w:firstLine="442" w:firstLineChars="100"/>
        <w:jc w:val="both"/>
        <w:rPr>
          <w:rFonts w:hint="eastAsia" w:ascii="楷体" w:hAnsi="楷体" w:eastAsia="楷体"/>
          <w:b/>
          <w:color w:val="000000" w:themeColor="text1"/>
          <w:sz w:val="44"/>
          <w:szCs w:val="44"/>
          <w14:textFill>
            <w14:solidFill>
              <w14:schemeClr w14:val="tx1"/>
            </w14:solidFill>
          </w14:textFill>
        </w:rPr>
      </w:pPr>
    </w:p>
    <w:p>
      <w:pPr>
        <w:ind w:firstLine="442" w:firstLineChars="100"/>
        <w:jc w:val="both"/>
        <w:rPr>
          <w:rFonts w:hint="eastAsia" w:ascii="楷体" w:hAnsi="楷体" w:eastAsia="楷体"/>
          <w:b/>
          <w:color w:val="000000" w:themeColor="text1"/>
          <w:sz w:val="44"/>
          <w:szCs w:val="44"/>
          <w14:textFill>
            <w14:solidFill>
              <w14:schemeClr w14:val="tx1"/>
            </w14:solidFill>
          </w14:textFill>
        </w:rPr>
      </w:pPr>
    </w:p>
    <w:p>
      <w:pPr>
        <w:ind w:firstLine="442" w:firstLineChars="100"/>
        <w:jc w:val="both"/>
        <w:rPr>
          <w:rFonts w:hint="eastAsia" w:ascii="楷体" w:hAnsi="楷体" w:eastAsia="楷体"/>
          <w:b/>
          <w:color w:val="000000" w:themeColor="text1"/>
          <w:sz w:val="44"/>
          <w:szCs w:val="44"/>
          <w14:textFill>
            <w14:solidFill>
              <w14:schemeClr w14:val="tx1"/>
            </w14:solidFill>
          </w14:textFill>
        </w:rPr>
      </w:pPr>
      <w:bookmarkStart w:id="0" w:name="_GoBack"/>
      <w:bookmarkEnd w:id="0"/>
    </w:p>
    <w:p>
      <w:pPr>
        <w:ind w:firstLine="442" w:firstLineChars="100"/>
        <w:jc w:val="both"/>
        <w:rPr>
          <w:rFonts w:hint="eastAsia" w:ascii="楷体" w:hAnsi="楷体" w:eastAsia="楷体"/>
          <w:b/>
          <w:color w:val="000000" w:themeColor="text1"/>
          <w:sz w:val="44"/>
          <w:szCs w:val="44"/>
          <w14:textFill>
            <w14:solidFill>
              <w14:schemeClr w14:val="tx1"/>
            </w14:solidFill>
          </w14:textFill>
        </w:rPr>
      </w:pPr>
    </w:p>
    <w:p>
      <w:pPr>
        <w:ind w:firstLine="442" w:firstLineChars="100"/>
        <w:jc w:val="both"/>
        <w:rPr>
          <w:rFonts w:ascii="楷体" w:hAnsi="楷体" w:eastAsia="楷体"/>
          <w:b/>
          <w:color w:val="000000" w:themeColor="text1"/>
          <w:sz w:val="44"/>
          <w:szCs w:val="44"/>
          <w14:textFill>
            <w14:solidFill>
              <w14:schemeClr w14:val="tx1"/>
            </w14:solidFill>
          </w14:textFill>
        </w:rPr>
      </w:pPr>
      <w:r>
        <w:rPr>
          <w:rFonts w:hint="eastAsia" w:ascii="楷体" w:hAnsi="楷体" w:eastAsia="楷体"/>
          <w:b/>
          <w:color w:val="000000" w:themeColor="text1"/>
          <w:sz w:val="44"/>
          <w:szCs w:val="44"/>
          <w14:textFill>
            <w14:solidFill>
              <w14:schemeClr w14:val="tx1"/>
            </w14:solidFill>
          </w14:textFill>
        </w:rPr>
        <w:t>新余市基本医疗保险基层医疗卫生机构综合评估表</w:t>
      </w:r>
    </w:p>
    <w:p>
      <w:pPr>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医疗机构名称（公章）：                    自评得分：                         总分：100分（门诊90分）</w:t>
      </w:r>
    </w:p>
    <w:tbl>
      <w:tblPr>
        <w:tblStyle w:val="6"/>
        <w:tblW w:w="5000" w:type="pct"/>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543"/>
        <w:gridCol w:w="904"/>
        <w:gridCol w:w="906"/>
        <w:gridCol w:w="4877"/>
        <w:gridCol w:w="1111"/>
        <w:gridCol w:w="1201"/>
        <w:gridCol w:w="114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tblHeader/>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序号</w:t>
            </w:r>
          </w:p>
        </w:tc>
        <w:tc>
          <w:tcPr>
            <w:tcW w:w="847" w:type="pct"/>
            <w:gridSpan w:val="2"/>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评估项目</w:t>
            </w:r>
          </w:p>
        </w:tc>
        <w:tc>
          <w:tcPr>
            <w:tcW w:w="228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评估标准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自评</w:t>
            </w:r>
          </w:p>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得分</w:t>
            </w: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自评得分</w:t>
            </w:r>
          </w:p>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说明</w:t>
            </w: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佐证材料编号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w:t>
            </w:r>
          </w:p>
        </w:tc>
        <w:tc>
          <w:tcPr>
            <w:tcW w:w="42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规划布局（12分）</w:t>
            </w: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开业时间</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（1）2年以上（含2年），得5分；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（2）1年至2年以内（含1年），得3分。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（3）3个月（含）至1年以内得1分。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营业场所使用时间</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（1）根据租赁合同的有效期和房产证确定，产权自有永久使用的，得5分；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（2）根据租赁合同的有效期和房产证确定，有效期在3年以上的（含3年），得4分；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（3）根据租赁合同的有效期和房产证确定，有效期在3年以下的，得3分。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与最近医保定点同级医疗机构的距离</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（1）住院医疗机构500米</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以上，得2分；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（2）住院医疗机构500米以下得1分。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w:t>
            </w:r>
          </w:p>
        </w:tc>
        <w:tc>
          <w:tcPr>
            <w:tcW w:w="42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服务能力（23分）</w:t>
            </w: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临床科室数量</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（1）6个及以上，得3分；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（2）4个至5个，得2分；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（3）2个至3个，得1分。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医保药品种数</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（1）600种</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以上，得3分；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401</w:t>
            </w:r>
            <w:r>
              <w:rPr>
                <w:rFonts w:hint="eastAsia" w:ascii="宋体" w:hAnsi="宋体"/>
                <w:color w:val="000000" w:themeColor="text1"/>
                <w:lang w:eastAsia="zh-CN"/>
                <w14:textFill>
                  <w14:solidFill>
                    <w14:schemeClr w14:val="tx1"/>
                  </w14:solidFill>
                </w14:textFill>
              </w:rPr>
              <w:t>种</w:t>
            </w:r>
            <w:r>
              <w:rPr>
                <w:rFonts w:hint="eastAsia" w:ascii="仿宋" w:hAnsi="仿宋" w:eastAsia="仿宋" w:cs="仿宋"/>
                <w:color w:val="000000" w:themeColor="text1"/>
                <w:sz w:val="24"/>
                <w:szCs w:val="24"/>
                <w14:textFill>
                  <w14:solidFill>
                    <w14:schemeClr w14:val="tx1"/>
                  </w14:solidFill>
                </w14:textFill>
              </w:rPr>
              <w:t>至600种，得2分；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200</w:t>
            </w:r>
            <w:r>
              <w:rPr>
                <w:rFonts w:hint="eastAsia" w:ascii="宋体" w:hAnsi="宋体"/>
                <w:color w:val="000000" w:themeColor="text1"/>
                <w:lang w:eastAsia="zh-CN"/>
                <w14:textFill>
                  <w14:solidFill>
                    <w14:schemeClr w14:val="tx1"/>
                  </w14:solidFill>
                </w14:textFill>
              </w:rPr>
              <w:t>种（含）至</w:t>
            </w:r>
            <w:r>
              <w:rPr>
                <w:rFonts w:hint="eastAsia" w:ascii="仿宋" w:hAnsi="仿宋" w:eastAsia="仿宋" w:cs="仿宋"/>
                <w:color w:val="000000" w:themeColor="text1"/>
                <w:sz w:val="24"/>
                <w:szCs w:val="24"/>
                <w14:textFill>
                  <w14:solidFill>
                    <w14:schemeClr w14:val="tx1"/>
                  </w14:solidFill>
                </w14:textFill>
              </w:rPr>
              <w:t>40</w:t>
            </w:r>
            <w:r>
              <w:rPr>
                <w:rFonts w:hint="eastAsia" w:ascii="仿宋" w:hAnsi="仿宋" w:eastAsia="仿宋" w:cs="仿宋"/>
                <w:color w:val="000000" w:themeColor="text1"/>
                <w:sz w:val="24"/>
                <w:szCs w:val="24"/>
                <w14:textFill>
                  <w14:solidFill>
                    <w14:schemeClr w14:val="tx1"/>
                  </w14:solidFill>
                </w14:textFill>
              </w:rPr>
              <w:t>0种，得1分。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6</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诊疗项目种数</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（1）300种</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以上，得3分；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（2）201种至300种，得2分；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100</w:t>
            </w:r>
            <w:r>
              <w:rPr>
                <w:rFonts w:hint="eastAsia" w:ascii="宋体" w:hAnsi="宋体"/>
                <w:color w:val="000000" w:themeColor="text1"/>
                <w:lang w:eastAsia="zh-CN"/>
                <w14:textFill>
                  <w14:solidFill>
                    <w14:schemeClr w14:val="tx1"/>
                  </w14:solidFill>
                </w14:textFill>
              </w:rPr>
              <w:t>种（含）至</w:t>
            </w:r>
            <w:r>
              <w:rPr>
                <w:rFonts w:hint="eastAsia" w:ascii="仿宋" w:hAnsi="仿宋" w:eastAsia="仿宋" w:cs="仿宋"/>
                <w:color w:val="000000" w:themeColor="text1"/>
                <w:sz w:val="24"/>
                <w:szCs w:val="24"/>
                <w14:textFill>
                  <w14:solidFill>
                    <w14:schemeClr w14:val="tx1"/>
                  </w14:solidFill>
                </w14:textFill>
              </w:rPr>
              <w:t>200</w:t>
            </w:r>
            <w:r>
              <w:rPr>
                <w:rFonts w:hint="eastAsia" w:ascii="仿宋" w:hAnsi="仿宋" w:eastAsia="仿宋" w:cs="仿宋"/>
                <w:color w:val="000000" w:themeColor="text1"/>
                <w:sz w:val="24"/>
                <w:szCs w:val="24"/>
                <w14:textFill>
                  <w14:solidFill>
                    <w14:schemeClr w14:val="tx1"/>
                  </w14:solidFill>
                </w14:textFill>
              </w:rPr>
              <w:t>种，得1分。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7</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widowControl/>
              <w:jc w:val="left"/>
              <w:textAlignment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第一注册地</w:t>
            </w:r>
            <w:r>
              <w:rPr>
                <w:rFonts w:hint="eastAsia" w:ascii="仿宋" w:hAnsi="仿宋" w:eastAsia="仿宋" w:cs="仿宋"/>
                <w:color w:val="000000" w:themeColor="text1"/>
                <w:sz w:val="24"/>
                <w:szCs w:val="24"/>
                <w14:textFill>
                  <w14:solidFill>
                    <w14:schemeClr w14:val="tx1"/>
                  </w14:solidFill>
                </w14:textFill>
              </w:rPr>
              <w:t>注册在本医疗机构、</w:t>
            </w:r>
            <w:r>
              <w:rPr>
                <w:rFonts w:hint="eastAsia" w:ascii="仿宋" w:hAnsi="仿宋" w:eastAsia="仿宋" w:cs="仿宋"/>
                <w:color w:val="000000" w:themeColor="text1"/>
                <w:kern w:val="0"/>
                <w:sz w:val="24"/>
                <w:szCs w:val="24"/>
                <w14:textFill>
                  <w14:solidFill>
                    <w14:schemeClr w14:val="tx1"/>
                  </w14:solidFill>
                </w14:textFill>
              </w:rPr>
              <w:t>在本医疗机构专职上班且在本机构参加城镇职工医疗保险的执业医师人数</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（1）20人</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以上，得3分；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（2）11人至20人，得2分；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（3）10人以内，得1分。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8</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注册在本医疗机构、在本医疗机构专职上班</w:t>
            </w:r>
            <w:r>
              <w:rPr>
                <w:rFonts w:hint="eastAsia" w:ascii="仿宋" w:hAnsi="仿宋" w:eastAsia="仿宋" w:cs="仿宋"/>
                <w:color w:val="000000" w:themeColor="text1"/>
                <w:kern w:val="0"/>
                <w:sz w:val="24"/>
                <w:szCs w:val="24"/>
                <w14:textFill>
                  <w14:solidFill>
                    <w14:schemeClr w14:val="tx1"/>
                  </w14:solidFill>
                </w14:textFill>
              </w:rPr>
              <w:t>且在本机构参加城镇职工医疗保险的</w:t>
            </w:r>
            <w:r>
              <w:rPr>
                <w:rFonts w:hint="eastAsia" w:ascii="仿宋" w:hAnsi="仿宋" w:eastAsia="仿宋" w:cs="仿宋"/>
                <w:color w:val="000000" w:themeColor="text1"/>
                <w:sz w:val="24"/>
                <w:szCs w:val="24"/>
                <w14:textFill>
                  <w14:solidFill>
                    <w14:schemeClr w14:val="tx1"/>
                  </w14:solidFill>
                </w14:textFill>
              </w:rPr>
              <w:t>执业药师(或药师)人数</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（1）6人</w:t>
            </w:r>
            <w:r>
              <w:rPr>
                <w:rFonts w:hint="eastAsia" w:ascii="宋体" w:hAnsi="宋体"/>
                <w:color w:val="000000" w:themeColor="text1"/>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及以上，得3分；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（2）4人至5人，得2分；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（3）2人至3人，得1分。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9</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医疗业务用房面积</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（1）2000平米</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以上，得4分；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（2）1501平米至2000平米，得3分；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（3）1001平米至1500平米，得2分；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w:t>
            </w:r>
            <w:r>
              <w:rPr>
                <w:rFonts w:hint="eastAsia" w:ascii="仿宋" w:hAnsi="仿宋" w:eastAsia="仿宋" w:cs="仿宋"/>
                <w:color w:val="000000" w:themeColor="text1"/>
                <w:sz w:val="24"/>
                <w:szCs w:val="24"/>
                <w14:textFill>
                  <w14:solidFill>
                    <w14:schemeClr w14:val="tx1"/>
                  </w14:solidFill>
                </w14:textFill>
              </w:rPr>
              <w:t>500平米</w:t>
            </w:r>
            <w:r>
              <w:rPr>
                <w:rFonts w:hint="eastAsia" w:ascii="宋体" w:hAnsi="宋体"/>
                <w:color w:val="000000" w:themeColor="text1"/>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至1000平米，得1分。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10</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核定病床数量（</w:t>
            </w:r>
            <w:r>
              <w:rPr>
                <w:rFonts w:hint="eastAsia" w:ascii="仿宋" w:hAnsi="仿宋" w:eastAsia="仿宋" w:cs="仿宋"/>
                <w:color w:val="000000" w:themeColor="text1"/>
                <w:sz w:val="24"/>
                <w:szCs w:val="24"/>
                <w14:textFill>
                  <w14:solidFill>
                    <w14:schemeClr w14:val="tx1"/>
                  </w14:solidFill>
                </w14:textFill>
              </w:rPr>
              <w:t>门诊医疗机构不评估）</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（1）50张</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以上，得4分；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（2）31张至50张，得3分；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（3）11张至30张，得2分；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w:t>
            </w:r>
            <w:r>
              <w:rPr>
                <w:rFonts w:hint="eastAsia" w:ascii="仿宋" w:hAnsi="仿宋" w:eastAsia="仿宋" w:cs="仿宋"/>
                <w:color w:val="000000" w:themeColor="text1"/>
                <w:sz w:val="24"/>
                <w:szCs w:val="24"/>
                <w14:textFill>
                  <w14:solidFill>
                    <w14:schemeClr w14:val="tx1"/>
                  </w14:solidFill>
                </w14:textFill>
              </w:rPr>
              <w:t>5张</w:t>
            </w:r>
            <w:r>
              <w:rPr>
                <w:rFonts w:hint="eastAsia" w:ascii="宋体" w:hAnsi="宋体"/>
                <w:color w:val="000000" w:themeColor="text1"/>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至</w:t>
            </w:r>
            <w:r>
              <w:rPr>
                <w:rFonts w:hint="eastAsia" w:ascii="仿宋" w:hAnsi="仿宋" w:eastAsia="仿宋" w:cs="仿宋"/>
                <w:color w:val="000000" w:themeColor="text1"/>
                <w:sz w:val="24"/>
                <w:szCs w:val="24"/>
                <w14:textFill>
                  <w14:solidFill>
                    <w14:schemeClr w14:val="tx1"/>
                  </w14:solidFill>
                </w14:textFill>
              </w:rPr>
              <w:t>10张，得1分。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11</w:t>
            </w:r>
          </w:p>
        </w:tc>
        <w:tc>
          <w:tcPr>
            <w:tcW w:w="42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价格收费（21分）</w:t>
            </w: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药品价格</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（1）随机抽查的10个药品价格均未超过超过</w:t>
            </w:r>
            <w:r>
              <w:rPr>
                <w:rFonts w:hint="eastAsia" w:ascii="仿宋" w:hAnsi="仿宋" w:eastAsia="仿宋" w:cs="仿宋"/>
                <w:color w:val="000000" w:themeColor="text1"/>
                <w:sz w:val="24"/>
                <w:szCs w:val="24"/>
                <w:lang w:eastAsia="zh-CN"/>
                <w14:textFill>
                  <w14:solidFill>
                    <w14:schemeClr w14:val="tx1"/>
                  </w14:solidFill>
                </w14:textFill>
              </w:rPr>
              <w:t>国家医保信息平台药品招标采购子系统</w:t>
            </w:r>
            <w:r>
              <w:rPr>
                <w:rFonts w:hint="eastAsia" w:ascii="仿宋" w:hAnsi="仿宋" w:eastAsia="仿宋" w:cs="仿宋"/>
                <w:color w:val="000000" w:themeColor="text1"/>
                <w:sz w:val="24"/>
                <w:szCs w:val="24"/>
                <w14:textFill>
                  <w14:solidFill>
                    <w14:schemeClr w14:val="tx1"/>
                  </w14:solidFill>
                </w14:textFill>
              </w:rPr>
              <w:t>确定的公立医院销售价格的，得4分；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（2）随机抽查的药品价格超过超过</w:t>
            </w:r>
            <w:r>
              <w:rPr>
                <w:rFonts w:hint="eastAsia" w:ascii="仿宋" w:hAnsi="仿宋" w:eastAsia="仿宋" w:cs="仿宋"/>
                <w:color w:val="000000" w:themeColor="text1"/>
                <w:sz w:val="24"/>
                <w:szCs w:val="24"/>
                <w:lang w:eastAsia="zh-CN"/>
                <w14:textFill>
                  <w14:solidFill>
                    <w14:schemeClr w14:val="tx1"/>
                  </w14:solidFill>
                </w14:textFill>
              </w:rPr>
              <w:t>国家医保信息平台药品招标采购子系统</w:t>
            </w:r>
            <w:r>
              <w:rPr>
                <w:rFonts w:hint="eastAsia" w:ascii="仿宋" w:hAnsi="仿宋" w:eastAsia="仿宋" w:cs="仿宋"/>
                <w:color w:val="000000" w:themeColor="text1"/>
                <w:sz w:val="24"/>
                <w:szCs w:val="24"/>
                <w14:textFill>
                  <w14:solidFill>
                    <w14:schemeClr w14:val="tx1"/>
                  </w14:solidFill>
                </w14:textFill>
              </w:rPr>
              <w:t>的，1个品种扣0.5分，累计计算，最多可扣4分。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12</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检查治疗收费</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（1）随机抽查的10个检查治疗收费均未超过省价格主管部门确定的收费价格的，得4分；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（2）随机抽查的检查治疗收费超过省价格主管部门确定的收费价格的，1个项目扣0.5分，累计计算，最多可扣4分。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13</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次均住院费用</w:t>
            </w:r>
            <w:r>
              <w:rPr>
                <w:rFonts w:hint="eastAsia" w:ascii="仿宋" w:hAnsi="仿宋" w:eastAsia="仿宋" w:cs="仿宋"/>
                <w:color w:val="000000" w:themeColor="text1"/>
                <w:sz w:val="24"/>
                <w:szCs w:val="24"/>
                <w14:textFill>
                  <w14:solidFill>
                    <w14:schemeClr w14:val="tx1"/>
                  </w14:solidFill>
                </w14:textFill>
              </w:rPr>
              <w:t>（门诊医疗机构不评估）</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上一年度次均住院费用与统筹地区上一年度同级别医疗机构医保次均住院费用相比，90%</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以下的得4</w:t>
            </w:r>
            <w:r>
              <w:rPr>
                <w:rFonts w:hint="eastAsia" w:ascii="仿宋" w:hAnsi="仿宋" w:eastAsia="仿宋" w:cs="仿宋"/>
                <w:color w:val="000000" w:themeColor="text1"/>
                <w:sz w:val="24"/>
                <w:szCs w:val="24"/>
                <w14:textFill>
                  <w14:solidFill>
                    <w14:schemeClr w14:val="tx1"/>
                  </w14:solidFill>
                </w14:textFill>
              </w:rPr>
              <w:t>分；</w:t>
            </w:r>
            <w:r>
              <w:rPr>
                <w:rFonts w:hint="eastAsia" w:ascii="宋体" w:hAnsi="宋体"/>
                <w:color w:val="000000" w:themeColor="text1"/>
                <w:lang w:val="en-US" w:eastAsia="zh-CN"/>
                <w14:textFill>
                  <w14:solidFill>
                    <w14:schemeClr w14:val="tx1"/>
                  </w14:solidFill>
                </w14:textFill>
              </w:rPr>
              <w:t>89</w:t>
            </w:r>
            <w:r>
              <w:rPr>
                <w:rFonts w:ascii="宋体" w:hAnsi="宋体"/>
                <w:color w:val="000000" w:themeColor="text1"/>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-10</w:t>
            </w:r>
            <w:r>
              <w:rPr>
                <w:rFonts w:hint="eastAsia" w:ascii="仿宋" w:hAnsi="仿宋" w:eastAsia="仿宋" w:cs="仿宋"/>
                <w:color w:val="000000" w:themeColor="text1"/>
                <w:sz w:val="24"/>
                <w:szCs w:val="24"/>
                <w14:textFill>
                  <w14:solidFill>
                    <w14:schemeClr w14:val="tx1"/>
                  </w14:solidFill>
                </w14:textFill>
              </w:rPr>
              <w:t>0%的得2分。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14</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次均门诊费用</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上一年度次均门诊费用与统筹地区上一年度同级别医疗机构医保次均门诊费用相比，90%</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以下的得4分</w:t>
            </w:r>
            <w:r>
              <w:rPr>
                <w:rFonts w:hint="eastAsia" w:ascii="仿宋" w:hAnsi="仿宋" w:eastAsia="仿宋" w:cs="仿宋"/>
                <w:color w:val="000000" w:themeColor="text1"/>
                <w:sz w:val="24"/>
                <w:szCs w:val="24"/>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89</w:t>
            </w:r>
            <w:r>
              <w:rPr>
                <w:rFonts w:ascii="宋体" w:hAnsi="宋体"/>
                <w:color w:val="000000" w:themeColor="text1"/>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-100</w:t>
            </w:r>
            <w:r>
              <w:rPr>
                <w:rFonts w:hint="eastAsia" w:ascii="仿宋" w:hAnsi="仿宋" w:eastAsia="仿宋" w:cs="仿宋"/>
                <w:color w:val="000000" w:themeColor="text1"/>
                <w:sz w:val="24"/>
                <w:szCs w:val="24"/>
                <w14:textFill>
                  <w14:solidFill>
                    <w14:schemeClr w14:val="tx1"/>
                  </w14:solidFill>
                </w14:textFill>
              </w:rPr>
              <w:t>%的得2分。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15</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费用清单</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按规定提供药品、检查、治疗、服务收费清单的，得2分。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16</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价格信息公示</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设立公示屏（牌）及时向群众公示药品价格和医疗服务价格信息及医保支付标准的，得3分。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17</w:t>
            </w:r>
          </w:p>
        </w:tc>
        <w:tc>
          <w:tcPr>
            <w:tcW w:w="42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内部管理（15分）</w:t>
            </w: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门诊患者抗菌药物使用率</w:t>
            </w:r>
          </w:p>
        </w:tc>
        <w:tc>
          <w:tcPr>
            <w:tcW w:w="2282" w:type="pct"/>
            <w:vAlign w:val="center"/>
          </w:tcPr>
          <w:p>
            <w:pPr>
              <w:jc w:val="left"/>
              <w:rPr>
                <w:rFonts w:hint="eastAsia" w:ascii="仿宋" w:hAnsi="仿宋" w:eastAsia="仿宋" w:cs="仿宋"/>
                <w:b/>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抽查10份门诊病历，抗菌药物使用率在50%</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以下的得2分；抗菌药物使用率在50%至60%</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的得1分</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60%</w:t>
            </w:r>
            <w:r>
              <w:rPr>
                <w:rFonts w:hint="eastAsia" w:ascii="仿宋" w:hAnsi="仿宋" w:eastAsia="仿宋" w:cs="仿宋"/>
                <w:color w:val="000000" w:themeColor="text1"/>
                <w:sz w:val="24"/>
                <w:szCs w:val="24"/>
                <w:lang w:eastAsia="zh-CN"/>
                <w14:textFill>
                  <w14:solidFill>
                    <w14:schemeClr w14:val="tx1"/>
                  </w14:solidFill>
                </w14:textFill>
              </w:rPr>
              <w:t>以上不得分。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18</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住院患者大型检查阳性率（门诊医疗机构不评估）</w:t>
            </w:r>
          </w:p>
        </w:tc>
        <w:tc>
          <w:tcPr>
            <w:tcW w:w="2282" w:type="pct"/>
            <w:vAlign w:val="center"/>
          </w:tcPr>
          <w:p>
            <w:pPr>
              <w:jc w:val="left"/>
              <w:rPr>
                <w:rFonts w:hint="eastAsia" w:ascii="仿宋" w:hAnsi="仿宋" w:eastAsia="仿宋" w:cs="仿宋"/>
                <w:b/>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抽查10份住院病历，大型检查阳性率（CT、核磁共振、彩超）在80%</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以上的，得2分；大型检查阳性率在70%</w:t>
            </w:r>
            <w:r>
              <w:rPr>
                <w:rFonts w:hint="eastAsia" w:ascii="仿宋" w:hAnsi="仿宋" w:eastAsia="仿宋" w:cs="仿宋"/>
                <w:color w:val="000000" w:themeColor="text1"/>
                <w:sz w:val="24"/>
                <w:szCs w:val="24"/>
                <w:lang w:eastAsia="zh-CN"/>
                <w14:textFill>
                  <w14:solidFill>
                    <w14:schemeClr w14:val="tx1"/>
                  </w14:solidFill>
                </w14:textFill>
              </w:rPr>
              <w:t>（含）</w:t>
            </w:r>
            <w:r>
              <w:rPr>
                <w:rFonts w:hint="eastAsia" w:ascii="仿宋" w:hAnsi="仿宋" w:eastAsia="仿宋" w:cs="仿宋"/>
                <w:color w:val="000000" w:themeColor="text1"/>
                <w:sz w:val="24"/>
                <w:szCs w:val="24"/>
                <w14:textFill>
                  <w14:solidFill>
                    <w14:schemeClr w14:val="tx1"/>
                  </w14:solidFill>
                </w14:textFill>
              </w:rPr>
              <w:t>至80%的得1分</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70%</w:t>
            </w:r>
            <w:r>
              <w:rPr>
                <w:rFonts w:hint="eastAsia" w:ascii="仿宋" w:hAnsi="仿宋" w:eastAsia="仿宋" w:cs="仿宋"/>
                <w:color w:val="000000" w:themeColor="text1"/>
                <w:sz w:val="24"/>
                <w:szCs w:val="24"/>
                <w:lang w:eastAsia="zh-CN"/>
                <w14:textFill>
                  <w14:solidFill>
                    <w14:schemeClr w14:val="tx1"/>
                  </w14:solidFill>
                </w14:textFill>
              </w:rPr>
              <w:t>以下不得分。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19</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医疗保险管理</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建立了与基本医疗保险管理相适应的内部组织管理制度，配备了必要的管理人员、设备和办公场所，得4分。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20</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环境卫生管理</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医疗机构干净整洁，无乱贴乱挂，功能分区合理，得3分。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21</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医疗纠纷调解</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建立健全医疗纠纷投诉和处理机构，并有专人负责，公布投诉电话、信箱，畅通投诉渠道，及时受理、处置患放投诉的，得2分。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22</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便民导诊服务</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设立导诊台、触摸屏、指示牌、就医流程、专家姓名和联系方式，方便群众看病就医的，得2分。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23</w:t>
            </w:r>
          </w:p>
        </w:tc>
        <w:tc>
          <w:tcPr>
            <w:tcW w:w="42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财务管理（14分）</w:t>
            </w: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在本机构参加城镇职工医疗保险情况</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（1）全部在职员工参加医疗保险，并及时缴费，得5分；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（2）80%</w:t>
            </w:r>
            <w:r>
              <w:rPr>
                <w:rFonts w:hint="eastAsia" w:ascii="仿宋" w:hAnsi="仿宋" w:eastAsia="仿宋" w:cs="仿宋"/>
                <w:color w:val="000000" w:themeColor="text1"/>
                <w:sz w:val="24"/>
                <w:szCs w:val="24"/>
                <w:lang w:eastAsia="zh-CN"/>
                <w14:textFill>
                  <w14:solidFill>
                    <w14:schemeClr w14:val="tx1"/>
                  </w14:solidFill>
                </w14:textFill>
              </w:rPr>
              <w:t>及</w:t>
            </w:r>
            <w:r>
              <w:rPr>
                <w:rFonts w:hint="eastAsia" w:ascii="仿宋" w:hAnsi="仿宋" w:eastAsia="仿宋" w:cs="仿宋"/>
                <w:color w:val="000000" w:themeColor="text1"/>
                <w:sz w:val="24"/>
                <w:szCs w:val="24"/>
                <w14:textFill>
                  <w14:solidFill>
                    <w14:schemeClr w14:val="tx1"/>
                  </w14:solidFill>
                </w14:textFill>
              </w:rPr>
              <w:t>以上在职员工参加医疗保险，并及时缴费，得</w:t>
            </w:r>
            <w:r>
              <w:rPr>
                <w:rFonts w:hint="eastAsia" w:ascii="仿宋" w:hAnsi="仿宋" w:eastAsia="仿宋" w:cs="仿宋"/>
                <w:color w:val="000000" w:themeColor="text1"/>
                <w:sz w:val="24"/>
                <w:szCs w:val="24"/>
                <w:lang w:val="en-US" w:eastAsia="zh-CN"/>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）不足</w:t>
            </w:r>
            <w:r>
              <w:rPr>
                <w:rFonts w:hint="eastAsia" w:ascii="仿宋" w:hAnsi="仿宋" w:eastAsia="仿宋" w:cs="仿宋"/>
                <w:color w:val="000000" w:themeColor="text1"/>
                <w:sz w:val="24"/>
                <w:szCs w:val="24"/>
                <w:lang w:val="en-US" w:eastAsia="zh-CN"/>
                <w14:textFill>
                  <w14:solidFill>
                    <w14:schemeClr w14:val="tx1"/>
                  </w14:solidFill>
                </w14:textFill>
              </w:rPr>
              <w:t>8</w:t>
            </w:r>
            <w:r>
              <w:rPr>
                <w:rFonts w:hint="eastAsia" w:ascii="仿宋" w:hAnsi="仿宋" w:eastAsia="仿宋" w:cs="仿宋"/>
                <w:color w:val="000000" w:themeColor="text1"/>
                <w:sz w:val="24"/>
                <w:szCs w:val="24"/>
                <w14:textFill>
                  <w14:solidFill>
                    <w14:schemeClr w14:val="tx1"/>
                  </w14:solidFill>
                </w14:textFill>
              </w:rPr>
              <w:t>0%在职员工参加医疗保险的，不得纳入医保定点。</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24</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对药品、医用的材料的采购、验收、销售等环节、实行计算机实时管理情况</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（1）已实时录入全部环节数据并可查询3个月以上时间的真实数据，得3分；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（2）已实时录入全部环节数据并可查询1至3个月以内的真实数据，得2分；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（3）已实时录入全部环节数据并可查询1个月以下时间的真实数据，得1分；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（4）分别抽查20个药品和医用材料，进、销、存账物不符的，每发现一个品种扣0.5分，累计计算，最多扣3分。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25</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财务管理制度</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有健全和完善财务管理制度，对医疗机构财务活动进行全面管理，建立监督内控机制的，得2分。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26</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财务人员</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根据医疗机构规模，设置相应独立的财会机构，配备相应的会计、出纳人员，得2分。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27</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财务结算</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财务票据齐全、合法，且安装使用电子收费系统的，得2分。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28</w:t>
            </w:r>
          </w:p>
        </w:tc>
        <w:tc>
          <w:tcPr>
            <w:tcW w:w="42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信息系统（6分）</w:t>
            </w: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计算机配备使用</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按照医疗保险业务要求配置必要的电脑设备（包括POS机）和熟练的操作人员的，得2分。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29</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医疗信息化</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对医疗服务过程实行全流程信息化管理的，得2分。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30</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联网结算能力</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kern w:val="0"/>
                <w14:textFill>
                  <w14:solidFill>
                    <w14:schemeClr w14:val="tx1"/>
                  </w14:solidFill>
                </w14:textFill>
              </w:rPr>
              <w:t>承诺在签订协议之前，实现与</w:t>
            </w:r>
            <w:r>
              <w:rPr>
                <w:rFonts w:hint="eastAsia" w:ascii="仿宋" w:hAnsi="仿宋" w:eastAsia="仿宋" w:cs="仿宋"/>
                <w:color w:val="000000" w:themeColor="text1"/>
                <w:kern w:val="0"/>
                <w:lang w:eastAsia="zh-CN"/>
                <w14:textFill>
                  <w14:solidFill>
                    <w14:schemeClr w14:val="tx1"/>
                  </w14:solidFill>
                </w14:textFill>
              </w:rPr>
              <w:t>医保信息平台</w:t>
            </w:r>
            <w:r>
              <w:rPr>
                <w:rFonts w:hint="eastAsia" w:ascii="仿宋" w:hAnsi="仿宋" w:eastAsia="仿宋" w:cs="仿宋"/>
                <w:color w:val="000000" w:themeColor="text1"/>
                <w:kern w:val="0"/>
                <w14:textFill>
                  <w14:solidFill>
                    <w14:schemeClr w14:val="tx1"/>
                  </w14:solidFill>
                </w14:textFill>
              </w:rPr>
              <w:t>联网对接，达到刷卡结算的</w:t>
            </w:r>
            <w:r>
              <w:rPr>
                <w:rFonts w:hint="eastAsia" w:ascii="仿宋" w:hAnsi="仿宋" w:eastAsia="仿宋" w:cs="仿宋"/>
                <w:color w:val="000000" w:themeColor="text1"/>
                <w14:textFill>
                  <w14:solidFill>
                    <w14:schemeClr w14:val="tx1"/>
                  </w14:solidFill>
                </w14:textFill>
              </w:rPr>
              <w:t>，得2分。签订协议后一个月内未完成的，取消定点资格。</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31</w:t>
            </w:r>
          </w:p>
        </w:tc>
        <w:tc>
          <w:tcPr>
            <w:tcW w:w="423"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社会评价（9分）</w:t>
            </w: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主流媒体负面报导</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（1）医疗机构提交定点申请前</w:t>
            </w:r>
            <w:r>
              <w:rPr>
                <w:rFonts w:hint="eastAsia" w:ascii="仿宋" w:hAnsi="仿宋" w:eastAsia="仿宋" w:cs="仿宋"/>
                <w:color w:val="000000" w:themeColor="text1"/>
                <w:sz w:val="24"/>
                <w:szCs w:val="24"/>
                <w:lang w:eastAsia="zh-CN"/>
                <w14:textFill>
                  <w14:solidFill>
                    <w14:schemeClr w14:val="tx1"/>
                  </w14:solidFill>
                </w14:textFill>
              </w:rPr>
              <w:t>两</w:t>
            </w:r>
            <w:r>
              <w:rPr>
                <w:rFonts w:hint="eastAsia" w:ascii="仿宋" w:hAnsi="仿宋" w:eastAsia="仿宋" w:cs="仿宋"/>
                <w:color w:val="000000" w:themeColor="text1"/>
                <w:sz w:val="24"/>
                <w:szCs w:val="24"/>
                <w14:textFill>
                  <w14:solidFill>
                    <w14:schemeClr w14:val="tx1"/>
                  </w14:solidFill>
                </w14:textFill>
              </w:rPr>
              <w:t>年内无媒体负面报导的，得5分；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（2）医疗机构提交定点申请前两年内被媒体负面报导的，扣5分；社会影响恶劣及负面报导两次以上的，不得纳入医保定点。</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32</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医疗服务不良记录</w:t>
            </w: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（1）医疗机构提交定点申请前两年内无医疗服务不良记录的，得2分；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（2）医疗机构提交定点申请前两年内被医疗保障、卫健、审计、市场监督管理等部门查处一次的扣5分；情节严重的或查处两次以上的不得纳入医保定点。</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33</w:t>
            </w: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restar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社会诚信体系建设</w:t>
            </w:r>
          </w:p>
        </w:tc>
        <w:tc>
          <w:tcPr>
            <w:tcW w:w="2282" w:type="pct"/>
            <w:vAlign w:val="center"/>
          </w:tcPr>
          <w:p>
            <w:pPr>
              <w:spacing w:line="220" w:lineRule="exac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（1）机构及法人代表、负责人近两年内没有被纳入社会诚信体系建设“黑名单”，且无违法犯罪纪录的，得2分。</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3"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424" w:type="pct"/>
            <w:vMerge w:val="continue"/>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2282" w:type="pct"/>
            <w:vAlign w:val="center"/>
          </w:tcPr>
          <w:p>
            <w:pPr>
              <w:spacing w:line="220" w:lineRule="exac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（2）机构及法人代表、负责人近两年内被纳入社会诚信体系建设“黑名单”或有违法犯罪纪录的，不得纳入定点。</w:t>
            </w: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8" w:hRule="atLeast"/>
          <w:jc w:val="center"/>
        </w:trPr>
        <w:tc>
          <w:tcPr>
            <w:tcW w:w="25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34</w:t>
            </w:r>
          </w:p>
        </w:tc>
        <w:tc>
          <w:tcPr>
            <w:tcW w:w="42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加分项目</w:t>
            </w:r>
          </w:p>
        </w:tc>
        <w:tc>
          <w:tcPr>
            <w:tcW w:w="424"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获得荣誉表彰情况</w:t>
            </w:r>
          </w:p>
        </w:tc>
        <w:tc>
          <w:tcPr>
            <w:tcW w:w="2282" w:type="pct"/>
            <w:vAlign w:val="center"/>
          </w:tcPr>
          <w:p>
            <w:pPr>
              <w:spacing w:line="22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机构或法人在公共卫生事件、防汛抗旱等自然灾害事故中，服从党委、政府及相关行政主管部门调度和安排的，获市级以上表彰得3分，县级表彰得2分，乡镇表彰得1分。</w:t>
            </w:r>
          </w:p>
          <w:p>
            <w:pPr>
              <w:spacing w:line="220" w:lineRule="exact"/>
              <w:rPr>
                <w:rFonts w:hint="eastAsia" w:ascii="仿宋" w:hAnsi="仿宋" w:eastAsia="仿宋" w:cs="仿宋"/>
                <w:b/>
                <w:color w:val="000000" w:themeColor="text1"/>
                <w:sz w:val="24"/>
                <w:szCs w:val="24"/>
                <w14:textFill>
                  <w14:solidFill>
                    <w14:schemeClr w14:val="tx1"/>
                  </w14:solidFill>
                </w14:textFill>
              </w:rPr>
            </w:pPr>
          </w:p>
        </w:tc>
        <w:tc>
          <w:tcPr>
            <w:tcW w:w="520"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62"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c>
          <w:tcPr>
            <w:tcW w:w="533" w:type="pct"/>
            <w:vAlign w:val="center"/>
          </w:tcPr>
          <w:p>
            <w:pPr>
              <w:jc w:val="center"/>
              <w:rPr>
                <w:rFonts w:hint="eastAsia" w:ascii="仿宋" w:hAnsi="仿宋" w:eastAsia="仿宋" w:cs="仿宋"/>
                <w:b/>
                <w:color w:val="000000" w:themeColor="text1"/>
                <w:sz w:val="24"/>
                <w:szCs w:val="24"/>
                <w14:textFill>
                  <w14:solidFill>
                    <w14:schemeClr w14:val="tx1"/>
                  </w14:solidFill>
                </w14:textFill>
              </w:rPr>
            </w:pPr>
          </w:p>
        </w:tc>
      </w:tr>
    </w:tbl>
    <w:p>
      <w:pPr>
        <w:rPr>
          <w:color w:val="000000" w:themeColor="text1"/>
          <w:sz w:val="24"/>
          <w:szCs w:val="24"/>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sectPr>
      <w:headerReference r:id="rId3" w:type="default"/>
      <w:footerReference r:id="rId4" w:type="default"/>
      <w:pgSz w:w="11906" w:h="16838"/>
      <w:pgMar w:top="720" w:right="720" w:bottom="720" w:left="72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799820"/>
    </w:sdtPr>
    <w:sdtEndPr>
      <w:rPr>
        <w:sz w:val="21"/>
        <w:szCs w:val="21"/>
      </w:rPr>
    </w:sdtEndPr>
    <w:sdtContent>
      <w:sdt>
        <w:sdtPr>
          <w:id w:val="98381352"/>
        </w:sdtPr>
        <w:sdtEndPr>
          <w:rPr>
            <w:sz w:val="21"/>
            <w:szCs w:val="21"/>
          </w:rPr>
        </w:sdtEndPr>
        <w:sdtContent>
          <w:p>
            <w:pPr>
              <w:pStyle w:val="3"/>
              <w:jc w:val="center"/>
              <w:rPr>
                <w:sz w:val="21"/>
                <w:szCs w:val="21"/>
              </w:rPr>
            </w:pPr>
            <w:r>
              <w:rPr>
                <w:rFonts w:hint="eastAsia"/>
                <w:sz w:val="21"/>
                <w:szCs w:val="21"/>
                <w:lang w:val="zh-CN"/>
              </w:rPr>
              <w:t>第</w:t>
            </w:r>
            <w:r>
              <w:rPr>
                <w:sz w:val="21"/>
                <w:szCs w:val="21"/>
              </w:rPr>
              <w:fldChar w:fldCharType="begin"/>
            </w:r>
            <w:r>
              <w:rPr>
                <w:sz w:val="21"/>
                <w:szCs w:val="21"/>
              </w:rPr>
              <w:instrText xml:space="preserve">PAGE</w:instrText>
            </w:r>
            <w:r>
              <w:rPr>
                <w:sz w:val="21"/>
                <w:szCs w:val="21"/>
              </w:rPr>
              <w:fldChar w:fldCharType="separate"/>
            </w:r>
            <w:r>
              <w:rPr>
                <w:sz w:val="21"/>
                <w:szCs w:val="21"/>
              </w:rPr>
              <w:t>28</w:t>
            </w:r>
            <w:r>
              <w:rPr>
                <w:sz w:val="21"/>
                <w:szCs w:val="21"/>
              </w:rPr>
              <w:fldChar w:fldCharType="end"/>
            </w:r>
            <w:r>
              <w:rPr>
                <w:rFonts w:hint="eastAsia"/>
                <w:sz w:val="21"/>
                <w:szCs w:val="21"/>
                <w:lang w:val="zh-CN"/>
              </w:rPr>
              <w:t>页</w:t>
            </w:r>
            <w:r>
              <w:rPr>
                <w:rFonts w:hint="eastAsia"/>
                <w:sz w:val="21"/>
                <w:szCs w:val="21"/>
                <w:lang w:val="en-US" w:eastAsia="zh-CN"/>
              </w:rPr>
              <w:t>·</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rPr>
        <w:b/>
        <w:bCs/>
        <w:sz w:val="21"/>
        <w:szCs w:val="21"/>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126236"/>
    <w:multiLevelType w:val="singleLevel"/>
    <w:tmpl w:val="B7126236"/>
    <w:lvl w:ilvl="0" w:tentative="0">
      <w:start w:val="1"/>
      <w:numFmt w:val="decimal"/>
      <w:suff w:val="nothing"/>
      <w:lvlText w:val="（%1）"/>
      <w:lvlJc w:val="left"/>
      <w:rPr>
        <w:rFonts w:cs="Times New Roman"/>
      </w:rPr>
    </w:lvl>
  </w:abstractNum>
  <w:abstractNum w:abstractNumId="1">
    <w:nsid w:val="EC15AB4B"/>
    <w:multiLevelType w:val="singleLevel"/>
    <w:tmpl w:val="EC15AB4B"/>
    <w:lvl w:ilvl="0" w:tentative="0">
      <w:start w:val="1"/>
      <w:numFmt w:val="decimal"/>
      <w:suff w:val="nothing"/>
      <w:lvlText w:val="（%1）"/>
      <w:lvlJc w:val="left"/>
      <w:rPr>
        <w:rFonts w:hint="default" w:cs="Times New Roman"/>
        <w:b w:val="0"/>
        <w:bCs w:val="0"/>
      </w:rPr>
    </w:lvl>
  </w:abstractNum>
  <w:abstractNum w:abstractNumId="2">
    <w:nsid w:val="6328241D"/>
    <w:multiLevelType w:val="singleLevel"/>
    <w:tmpl w:val="6328241D"/>
    <w:lvl w:ilvl="0" w:tentative="0">
      <w:start w:val="1"/>
      <w:numFmt w:val="decimal"/>
      <w:suff w:val="nothing"/>
      <w:lvlText w:val="（%1）"/>
      <w:lvlJc w:val="left"/>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MyMDVmNzAwMzJjODQyNjcxMDg1NDJmNmVkMmRlNzAifQ=="/>
  </w:docVars>
  <w:rsids>
    <w:rsidRoot w:val="009B089D"/>
    <w:rsid w:val="00024FF5"/>
    <w:rsid w:val="00037715"/>
    <w:rsid w:val="0005547C"/>
    <w:rsid w:val="0009690A"/>
    <w:rsid w:val="000A71F5"/>
    <w:rsid w:val="000F4534"/>
    <w:rsid w:val="00100DDA"/>
    <w:rsid w:val="00112376"/>
    <w:rsid w:val="001140B6"/>
    <w:rsid w:val="00115AFF"/>
    <w:rsid w:val="00126DF1"/>
    <w:rsid w:val="00134FDC"/>
    <w:rsid w:val="00147CE3"/>
    <w:rsid w:val="00181F0B"/>
    <w:rsid w:val="001846F7"/>
    <w:rsid w:val="00195B59"/>
    <w:rsid w:val="001A261D"/>
    <w:rsid w:val="001A3012"/>
    <w:rsid w:val="001C5275"/>
    <w:rsid w:val="001F6F47"/>
    <w:rsid w:val="00207CC0"/>
    <w:rsid w:val="00212981"/>
    <w:rsid w:val="00216100"/>
    <w:rsid w:val="00221AF7"/>
    <w:rsid w:val="00244864"/>
    <w:rsid w:val="00260421"/>
    <w:rsid w:val="0029136D"/>
    <w:rsid w:val="00293EDC"/>
    <w:rsid w:val="002A0EBB"/>
    <w:rsid w:val="002A2793"/>
    <w:rsid w:val="002C52E5"/>
    <w:rsid w:val="002E317B"/>
    <w:rsid w:val="002E6140"/>
    <w:rsid w:val="0030238E"/>
    <w:rsid w:val="003109F7"/>
    <w:rsid w:val="0031680F"/>
    <w:rsid w:val="00326C38"/>
    <w:rsid w:val="003365CF"/>
    <w:rsid w:val="003536B7"/>
    <w:rsid w:val="00360F3C"/>
    <w:rsid w:val="003616BA"/>
    <w:rsid w:val="003722FC"/>
    <w:rsid w:val="003764A4"/>
    <w:rsid w:val="00386526"/>
    <w:rsid w:val="003A3F54"/>
    <w:rsid w:val="003C6B9F"/>
    <w:rsid w:val="004031D8"/>
    <w:rsid w:val="0041090D"/>
    <w:rsid w:val="0041169F"/>
    <w:rsid w:val="004346AF"/>
    <w:rsid w:val="004438E5"/>
    <w:rsid w:val="004469B1"/>
    <w:rsid w:val="00457382"/>
    <w:rsid w:val="00491258"/>
    <w:rsid w:val="004963F0"/>
    <w:rsid w:val="004A2F24"/>
    <w:rsid w:val="004B7241"/>
    <w:rsid w:val="004C414B"/>
    <w:rsid w:val="004C52F7"/>
    <w:rsid w:val="004D6149"/>
    <w:rsid w:val="004D69C4"/>
    <w:rsid w:val="004E13C3"/>
    <w:rsid w:val="004E5114"/>
    <w:rsid w:val="004F2489"/>
    <w:rsid w:val="004F3B94"/>
    <w:rsid w:val="004F3CF5"/>
    <w:rsid w:val="005111D5"/>
    <w:rsid w:val="005138D3"/>
    <w:rsid w:val="00533D38"/>
    <w:rsid w:val="005640D8"/>
    <w:rsid w:val="005773E0"/>
    <w:rsid w:val="0058691C"/>
    <w:rsid w:val="0059798A"/>
    <w:rsid w:val="005A0334"/>
    <w:rsid w:val="005B3E19"/>
    <w:rsid w:val="005B6D11"/>
    <w:rsid w:val="005C418E"/>
    <w:rsid w:val="005F3E3A"/>
    <w:rsid w:val="0060198B"/>
    <w:rsid w:val="006041BD"/>
    <w:rsid w:val="00605454"/>
    <w:rsid w:val="00610FA2"/>
    <w:rsid w:val="006221B5"/>
    <w:rsid w:val="0062496C"/>
    <w:rsid w:val="00637F3B"/>
    <w:rsid w:val="00663CD8"/>
    <w:rsid w:val="00682C83"/>
    <w:rsid w:val="00695AE9"/>
    <w:rsid w:val="0069730D"/>
    <w:rsid w:val="006A14A5"/>
    <w:rsid w:val="006A2121"/>
    <w:rsid w:val="006A3930"/>
    <w:rsid w:val="006B4B5D"/>
    <w:rsid w:val="006E1B1F"/>
    <w:rsid w:val="006E56E5"/>
    <w:rsid w:val="006F136D"/>
    <w:rsid w:val="00704BC9"/>
    <w:rsid w:val="00750F21"/>
    <w:rsid w:val="00755DD4"/>
    <w:rsid w:val="00757045"/>
    <w:rsid w:val="00780D65"/>
    <w:rsid w:val="00790BC1"/>
    <w:rsid w:val="007D04CB"/>
    <w:rsid w:val="007D3063"/>
    <w:rsid w:val="00812229"/>
    <w:rsid w:val="00815940"/>
    <w:rsid w:val="00827609"/>
    <w:rsid w:val="00831D6F"/>
    <w:rsid w:val="00834292"/>
    <w:rsid w:val="00844E6F"/>
    <w:rsid w:val="008455ED"/>
    <w:rsid w:val="00872335"/>
    <w:rsid w:val="00876F54"/>
    <w:rsid w:val="00883EC8"/>
    <w:rsid w:val="008903BB"/>
    <w:rsid w:val="008A0F9D"/>
    <w:rsid w:val="008A1BC3"/>
    <w:rsid w:val="008A389E"/>
    <w:rsid w:val="008B0C00"/>
    <w:rsid w:val="008D1FB7"/>
    <w:rsid w:val="008D5159"/>
    <w:rsid w:val="009166F2"/>
    <w:rsid w:val="00917B00"/>
    <w:rsid w:val="00917BD1"/>
    <w:rsid w:val="00950A21"/>
    <w:rsid w:val="00971616"/>
    <w:rsid w:val="00973AEC"/>
    <w:rsid w:val="00984FA8"/>
    <w:rsid w:val="009860D6"/>
    <w:rsid w:val="0098671E"/>
    <w:rsid w:val="009A19FC"/>
    <w:rsid w:val="009A2536"/>
    <w:rsid w:val="009B089D"/>
    <w:rsid w:val="009B2B0B"/>
    <w:rsid w:val="009B2B8D"/>
    <w:rsid w:val="009C1ADD"/>
    <w:rsid w:val="009C71E7"/>
    <w:rsid w:val="009D0E7E"/>
    <w:rsid w:val="009D28A3"/>
    <w:rsid w:val="009F06A6"/>
    <w:rsid w:val="00A148D3"/>
    <w:rsid w:val="00A21DD0"/>
    <w:rsid w:val="00A44DB5"/>
    <w:rsid w:val="00A63531"/>
    <w:rsid w:val="00A70010"/>
    <w:rsid w:val="00AC3340"/>
    <w:rsid w:val="00B047CF"/>
    <w:rsid w:val="00B11E77"/>
    <w:rsid w:val="00B14EA0"/>
    <w:rsid w:val="00B648B6"/>
    <w:rsid w:val="00B6590D"/>
    <w:rsid w:val="00B7783D"/>
    <w:rsid w:val="00B80612"/>
    <w:rsid w:val="00BB563F"/>
    <w:rsid w:val="00BB6029"/>
    <w:rsid w:val="00BE60BA"/>
    <w:rsid w:val="00BF0641"/>
    <w:rsid w:val="00BF6E0C"/>
    <w:rsid w:val="00C0754A"/>
    <w:rsid w:val="00C23C05"/>
    <w:rsid w:val="00C254E8"/>
    <w:rsid w:val="00C27D98"/>
    <w:rsid w:val="00C475D9"/>
    <w:rsid w:val="00C87827"/>
    <w:rsid w:val="00C9112E"/>
    <w:rsid w:val="00C9216B"/>
    <w:rsid w:val="00C96E52"/>
    <w:rsid w:val="00C97B26"/>
    <w:rsid w:val="00CA0DD0"/>
    <w:rsid w:val="00CC193E"/>
    <w:rsid w:val="00D36CAB"/>
    <w:rsid w:val="00D96324"/>
    <w:rsid w:val="00DB4D08"/>
    <w:rsid w:val="00DB74F9"/>
    <w:rsid w:val="00DD7172"/>
    <w:rsid w:val="00DE0D75"/>
    <w:rsid w:val="00DE41C9"/>
    <w:rsid w:val="00E11018"/>
    <w:rsid w:val="00E13DAA"/>
    <w:rsid w:val="00E14CEF"/>
    <w:rsid w:val="00E25D55"/>
    <w:rsid w:val="00E31A01"/>
    <w:rsid w:val="00E44566"/>
    <w:rsid w:val="00E53C30"/>
    <w:rsid w:val="00E801A8"/>
    <w:rsid w:val="00E831BA"/>
    <w:rsid w:val="00E90598"/>
    <w:rsid w:val="00E958F0"/>
    <w:rsid w:val="00EA0FB8"/>
    <w:rsid w:val="00EA39C1"/>
    <w:rsid w:val="00EA6085"/>
    <w:rsid w:val="00EB1080"/>
    <w:rsid w:val="00F03590"/>
    <w:rsid w:val="00F3776E"/>
    <w:rsid w:val="00F50F92"/>
    <w:rsid w:val="00F77A75"/>
    <w:rsid w:val="00F819F6"/>
    <w:rsid w:val="00FA355C"/>
    <w:rsid w:val="00FA4D94"/>
    <w:rsid w:val="00FA60BB"/>
    <w:rsid w:val="00FA7F76"/>
    <w:rsid w:val="00FD59F7"/>
    <w:rsid w:val="00FE4A70"/>
    <w:rsid w:val="00FE7760"/>
    <w:rsid w:val="019D0897"/>
    <w:rsid w:val="02631893"/>
    <w:rsid w:val="04160DD9"/>
    <w:rsid w:val="043E7F38"/>
    <w:rsid w:val="05537C7A"/>
    <w:rsid w:val="0597042E"/>
    <w:rsid w:val="05EF03F3"/>
    <w:rsid w:val="096560EE"/>
    <w:rsid w:val="0B8D3204"/>
    <w:rsid w:val="0BAC691D"/>
    <w:rsid w:val="0CAA01C1"/>
    <w:rsid w:val="0CD87933"/>
    <w:rsid w:val="0D2B26EE"/>
    <w:rsid w:val="0D851C9F"/>
    <w:rsid w:val="0DAF05A0"/>
    <w:rsid w:val="0DE9040F"/>
    <w:rsid w:val="0E4F6E55"/>
    <w:rsid w:val="0E9E1110"/>
    <w:rsid w:val="0FB6506E"/>
    <w:rsid w:val="10207B26"/>
    <w:rsid w:val="10463CD6"/>
    <w:rsid w:val="1057352B"/>
    <w:rsid w:val="106B27A6"/>
    <w:rsid w:val="110D6F32"/>
    <w:rsid w:val="11916802"/>
    <w:rsid w:val="12D60970"/>
    <w:rsid w:val="12EB48C5"/>
    <w:rsid w:val="138F2E53"/>
    <w:rsid w:val="146B60BD"/>
    <w:rsid w:val="152C16EA"/>
    <w:rsid w:val="15C918AE"/>
    <w:rsid w:val="160256B0"/>
    <w:rsid w:val="16C86822"/>
    <w:rsid w:val="17B8589C"/>
    <w:rsid w:val="18245CDA"/>
    <w:rsid w:val="185E6F23"/>
    <w:rsid w:val="199649B5"/>
    <w:rsid w:val="1B982E35"/>
    <w:rsid w:val="1C984EE8"/>
    <w:rsid w:val="1CFF40A9"/>
    <w:rsid w:val="1E3D7AF5"/>
    <w:rsid w:val="1E6C03DB"/>
    <w:rsid w:val="1ECA012F"/>
    <w:rsid w:val="1F5D2D9A"/>
    <w:rsid w:val="210B4F5B"/>
    <w:rsid w:val="21EF55AB"/>
    <w:rsid w:val="22500C9D"/>
    <w:rsid w:val="22857CBD"/>
    <w:rsid w:val="230558F2"/>
    <w:rsid w:val="231F5CFE"/>
    <w:rsid w:val="23E80503"/>
    <w:rsid w:val="24294678"/>
    <w:rsid w:val="253C6D41"/>
    <w:rsid w:val="257B1855"/>
    <w:rsid w:val="25A0739C"/>
    <w:rsid w:val="25FF350C"/>
    <w:rsid w:val="26345C82"/>
    <w:rsid w:val="291B7E30"/>
    <w:rsid w:val="2BB92AEB"/>
    <w:rsid w:val="2D44499A"/>
    <w:rsid w:val="2D9D4236"/>
    <w:rsid w:val="2E8576E1"/>
    <w:rsid w:val="2F9E416C"/>
    <w:rsid w:val="2FC340A5"/>
    <w:rsid w:val="2FC43488"/>
    <w:rsid w:val="2FF6149B"/>
    <w:rsid w:val="30EB1633"/>
    <w:rsid w:val="312608BD"/>
    <w:rsid w:val="312F7772"/>
    <w:rsid w:val="315F399E"/>
    <w:rsid w:val="320947D2"/>
    <w:rsid w:val="342324A9"/>
    <w:rsid w:val="356348FD"/>
    <w:rsid w:val="35992709"/>
    <w:rsid w:val="35A85E9C"/>
    <w:rsid w:val="35B44695"/>
    <w:rsid w:val="360A2D99"/>
    <w:rsid w:val="36662DDB"/>
    <w:rsid w:val="3701378C"/>
    <w:rsid w:val="371D4551"/>
    <w:rsid w:val="37340726"/>
    <w:rsid w:val="37C12E29"/>
    <w:rsid w:val="3849628B"/>
    <w:rsid w:val="38EA224E"/>
    <w:rsid w:val="39416486"/>
    <w:rsid w:val="394B297C"/>
    <w:rsid w:val="3A07612D"/>
    <w:rsid w:val="3B025DB0"/>
    <w:rsid w:val="3B762441"/>
    <w:rsid w:val="3F6850A4"/>
    <w:rsid w:val="3FFB252B"/>
    <w:rsid w:val="40756571"/>
    <w:rsid w:val="43BF0ABD"/>
    <w:rsid w:val="441426A5"/>
    <w:rsid w:val="44F05012"/>
    <w:rsid w:val="458262EE"/>
    <w:rsid w:val="47710D74"/>
    <w:rsid w:val="47E32C0C"/>
    <w:rsid w:val="482A6DA7"/>
    <w:rsid w:val="48B5113D"/>
    <w:rsid w:val="48D72771"/>
    <w:rsid w:val="49241ED2"/>
    <w:rsid w:val="49CE64E6"/>
    <w:rsid w:val="4A1B3AC2"/>
    <w:rsid w:val="4B2075EA"/>
    <w:rsid w:val="4B967555"/>
    <w:rsid w:val="4BBA580D"/>
    <w:rsid w:val="4C505B13"/>
    <w:rsid w:val="4FC21359"/>
    <w:rsid w:val="4FD600B2"/>
    <w:rsid w:val="4FDD1AB9"/>
    <w:rsid w:val="50632996"/>
    <w:rsid w:val="511C1759"/>
    <w:rsid w:val="51D22FA1"/>
    <w:rsid w:val="51DC3B2D"/>
    <w:rsid w:val="521F6F37"/>
    <w:rsid w:val="54AD6A7C"/>
    <w:rsid w:val="57290676"/>
    <w:rsid w:val="58076B50"/>
    <w:rsid w:val="58585953"/>
    <w:rsid w:val="5921202D"/>
    <w:rsid w:val="5A5A4182"/>
    <w:rsid w:val="5B0D37AB"/>
    <w:rsid w:val="5F08322C"/>
    <w:rsid w:val="60787F3E"/>
    <w:rsid w:val="615D2A06"/>
    <w:rsid w:val="61993FC2"/>
    <w:rsid w:val="61C62F8E"/>
    <w:rsid w:val="61DC0673"/>
    <w:rsid w:val="61F7059A"/>
    <w:rsid w:val="663B5CFF"/>
    <w:rsid w:val="67100BC0"/>
    <w:rsid w:val="675651DE"/>
    <w:rsid w:val="679B09B6"/>
    <w:rsid w:val="6831183F"/>
    <w:rsid w:val="691E2357"/>
    <w:rsid w:val="69F820EF"/>
    <w:rsid w:val="6B8C6F93"/>
    <w:rsid w:val="6C101972"/>
    <w:rsid w:val="6DD54C21"/>
    <w:rsid w:val="6E3E48A3"/>
    <w:rsid w:val="6F122DC3"/>
    <w:rsid w:val="70F474B1"/>
    <w:rsid w:val="721812EC"/>
    <w:rsid w:val="72393778"/>
    <w:rsid w:val="72691DDC"/>
    <w:rsid w:val="733259D5"/>
    <w:rsid w:val="74024296"/>
    <w:rsid w:val="74345EFB"/>
    <w:rsid w:val="74B10754"/>
    <w:rsid w:val="75327742"/>
    <w:rsid w:val="75A867A3"/>
    <w:rsid w:val="76FD35E6"/>
    <w:rsid w:val="77361C9C"/>
    <w:rsid w:val="788306DD"/>
    <w:rsid w:val="78851257"/>
    <w:rsid w:val="78DE7B22"/>
    <w:rsid w:val="79F24465"/>
    <w:rsid w:val="7A8C6329"/>
    <w:rsid w:val="7AF53C69"/>
    <w:rsid w:val="7CA73C2D"/>
    <w:rsid w:val="7CFD6A04"/>
    <w:rsid w:val="7EFB6C3D"/>
    <w:rsid w:val="7F1B01A4"/>
    <w:rsid w:val="7FC83E41"/>
    <w:rsid w:val="7FDC61B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DD0B76-EDE8-493F-A9D6-9E596864478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26</Pages>
  <Words>12875</Words>
  <Characters>13613</Characters>
  <Lines>117</Lines>
  <Paragraphs>32</Paragraphs>
  <TotalTime>8</TotalTime>
  <ScaleCrop>false</ScaleCrop>
  <LinksUpToDate>false</LinksUpToDate>
  <CharactersWithSpaces>13838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2019-06-20T07:55:00Z</dcterms:created>
  <dc:creator>微软用户</dc:creator>
  <cp:lastModifiedBy>lili  </cp:lastModifiedBy>
  <cp:lastPrinted>2018-03-23T07:04:00Z</cp:lastPrinted>
  <dcterms:modified xsi:type="dcterms:W3CDTF">2023-11-28T01:25:21Z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02DF6D87E761416696292E5683AA5083</vt:lpwstr>
  </property>
</Properties>
</file>