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color w:val="000000" w:themeColor="text1"/>
          <w:sz w:val="44"/>
          <w:szCs w:val="44"/>
        </w:rPr>
      </w:pPr>
      <w:r>
        <w:rPr>
          <w:rFonts w:hint="eastAsia" w:ascii="楷体" w:hAnsi="楷体" w:eastAsia="楷体"/>
          <w:b/>
          <w:color w:val="000000" w:themeColor="text1"/>
          <w:sz w:val="44"/>
          <w:szCs w:val="44"/>
        </w:rPr>
        <w:t>新余市基本医疗保险定点医疗机构综合评估表</w:t>
      </w:r>
    </w:p>
    <w:p>
      <w:pPr>
        <w:jc w:val="left"/>
        <w:rPr>
          <w:color w:val="000000" w:themeColor="text1"/>
        </w:rPr>
      </w:pPr>
      <w:r>
        <w:rPr>
          <w:rFonts w:hint="eastAsia"/>
          <w:color w:val="000000" w:themeColor="text1"/>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序号</w:t>
            </w:r>
          </w:p>
        </w:tc>
        <w:tc>
          <w:tcPr>
            <w:tcW w:w="847" w:type="pct"/>
            <w:gridSpan w:val="2"/>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评估项目</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评估标准</w:t>
            </w:r>
          </w:p>
        </w:tc>
        <w:tc>
          <w:tcPr>
            <w:tcW w:w="520"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得分</w:t>
            </w:r>
          </w:p>
        </w:tc>
        <w:tc>
          <w:tcPr>
            <w:tcW w:w="562"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自评得分</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说明</w:t>
            </w:r>
          </w:p>
        </w:tc>
        <w:tc>
          <w:tcPr>
            <w:tcW w:w="53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847" w:type="pct"/>
            <w:gridSpan w:val="2"/>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住院医疗机构（综合，含中医院）</w:t>
            </w:r>
          </w:p>
        </w:tc>
        <w:tc>
          <w:tcPr>
            <w:tcW w:w="520" w:type="pct"/>
            <w:vMerge w:val="continue"/>
            <w:vAlign w:val="center"/>
          </w:tcPr>
          <w:p>
            <w:pPr>
              <w:jc w:val="center"/>
              <w:rPr>
                <w:rFonts w:hint="eastAsia" w:ascii="仿宋" w:hAnsi="仿宋" w:eastAsia="仿宋" w:cs="仿宋"/>
                <w:b/>
                <w:color w:val="000000" w:themeColor="text1"/>
                <w:sz w:val="24"/>
                <w:szCs w:val="24"/>
              </w:rPr>
            </w:pPr>
          </w:p>
        </w:tc>
        <w:tc>
          <w:tcPr>
            <w:tcW w:w="562" w:type="pct"/>
            <w:vMerge w:val="continue"/>
            <w:vAlign w:val="center"/>
          </w:tcPr>
          <w:p>
            <w:pPr>
              <w:jc w:val="center"/>
              <w:rPr>
                <w:rFonts w:hint="eastAsia" w:ascii="仿宋" w:hAnsi="仿宋" w:eastAsia="仿宋" w:cs="仿宋"/>
                <w:b/>
                <w:color w:val="000000" w:themeColor="text1"/>
                <w:sz w:val="24"/>
                <w:szCs w:val="24"/>
              </w:rPr>
            </w:pPr>
          </w:p>
        </w:tc>
        <w:tc>
          <w:tcPr>
            <w:tcW w:w="533" w:type="pct"/>
            <w:vMerge w:val="continue"/>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规划布局（12分）</w:t>
            </w:r>
          </w:p>
        </w:tc>
        <w:tc>
          <w:tcPr>
            <w:tcW w:w="424"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开业</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时间</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（1）3年（含）及以上，得5分；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（2）2年（含）至3年以内的得3分；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（3）1年（含）至2年以内，得2分；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rPr>
            </w:pPr>
          </w:p>
        </w:tc>
        <w:tc>
          <w:tcPr>
            <w:tcW w:w="423" w:type="pct"/>
            <w:vMerge w:val="continue"/>
            <w:vAlign w:val="center"/>
          </w:tcPr>
          <w:p>
            <w:pPr>
              <w:jc w:val="left"/>
              <w:rPr>
                <w:rFonts w:hint="eastAsia" w:ascii="仿宋" w:hAnsi="仿宋" w:eastAsia="仿宋" w:cs="仿宋"/>
                <w:b/>
                <w:color w:val="000000" w:themeColor="text1"/>
                <w:sz w:val="24"/>
                <w:szCs w:val="24"/>
              </w:rPr>
            </w:pPr>
          </w:p>
        </w:tc>
        <w:tc>
          <w:tcPr>
            <w:tcW w:w="424" w:type="pct"/>
            <w:vMerge w:val="continue"/>
            <w:vAlign w:val="center"/>
          </w:tcPr>
          <w:p>
            <w:pPr>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（4）3个月（含）至1年以内得1分。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营业场所使用时间</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（1）自有房产证或不动产登记证的，得5分；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（2）房屋租赁合同在5年（含）以上的，得4分；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（3）房屋租赁合同在3年（含）以上的得3分。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（4）房屋租赁合同在2年（含）以上的得2分。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（5）房屋租赁合同在2年以内的，得1分。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1"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（1）住院医疗机构1000米（含）以上，得2分；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（2）住院医疗机构1000米以下，得1分。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服务能力（住院23分、门诊19分）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临床科室数量</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（1）15个（含）以上，得3分；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（2）11个至14个，得2分；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（3）6个至10个，得1分。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医保药品种数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（1）1800种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（2）1201种至1800种，得2分；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（3）800种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至1200种，得1分。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诊疗项目种数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（1）1200种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（2）801种至1200种，得2分；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（3）500种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至800种，得1分。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lang w:eastAsia="zh-CN"/>
              </w:rPr>
              <w:t>第一</w:t>
            </w:r>
            <w:r>
              <w:rPr>
                <w:rFonts w:hint="eastAsia" w:ascii="仿宋" w:hAnsi="仿宋" w:eastAsia="仿宋" w:cs="仿宋"/>
                <w:color w:val="000000" w:themeColor="text1"/>
                <w:sz w:val="24"/>
                <w:szCs w:val="24"/>
              </w:rPr>
              <w:t>注册</w:t>
            </w:r>
            <w:r>
              <w:rPr>
                <w:rFonts w:hint="eastAsia" w:ascii="仿宋" w:hAnsi="仿宋" w:eastAsia="仿宋" w:cs="仿宋"/>
                <w:color w:val="000000" w:themeColor="text1"/>
                <w:sz w:val="24"/>
                <w:szCs w:val="24"/>
                <w:lang w:eastAsia="zh-CN"/>
              </w:rPr>
              <w:t>地</w:t>
            </w:r>
            <w:r>
              <w:rPr>
                <w:rFonts w:hint="eastAsia" w:ascii="仿宋" w:hAnsi="仿宋" w:eastAsia="仿宋" w:cs="仿宋"/>
                <w:color w:val="000000" w:themeColor="text1"/>
                <w:sz w:val="24"/>
                <w:szCs w:val="24"/>
              </w:rPr>
              <w:t>在本医疗机构、在本医疗机构专职上班且在本机构参加城镇职工医疗保险的执业医师人数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（1）50人（含）以上，得3分；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（2）21人（含）至50人，得2分；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（3）10至20人，得1分。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3"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注册在本医疗机构、在本医疗机构专职上班</w:t>
            </w:r>
            <w:r>
              <w:rPr>
                <w:rFonts w:hint="eastAsia" w:ascii="仿宋" w:hAnsi="仿宋" w:eastAsia="仿宋" w:cs="仿宋"/>
                <w:color w:val="000000" w:themeColor="text1"/>
                <w:kern w:val="0"/>
                <w:sz w:val="24"/>
                <w:szCs w:val="24"/>
              </w:rPr>
              <w:t>且在本机构参加城镇职工医疗保险的执</w:t>
            </w:r>
            <w:r>
              <w:rPr>
                <w:rFonts w:hint="eastAsia" w:ascii="仿宋" w:hAnsi="仿宋" w:eastAsia="仿宋" w:cs="仿宋"/>
                <w:color w:val="000000" w:themeColor="text1"/>
                <w:sz w:val="24"/>
                <w:szCs w:val="24"/>
              </w:rPr>
              <w:t>业药师(或药师)人数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（1）10人（含）以上，得3分；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（2）6人（含）至9人，得2分；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（3）3人至5人（含），得1分。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医疗业务用房面积</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（1）10000平米（含）以上，得4分；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（2）5001平米至10000平米，得3分；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（3）3001平米至5000平米，2分。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（4）2000平米（含）至3000平米，得1分。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核定病床数量（门诊医疗机构不评估）</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（1）200张（含）以上，得4分；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（2）101张至200张，得3分；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（3）51张至100张，得2分；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（4）20张（含）至</w:t>
            </w:r>
            <w:r>
              <w:rPr>
                <w:rFonts w:hint="eastAsia" w:ascii="仿宋" w:hAnsi="仿宋" w:eastAsia="仿宋" w:cs="仿宋"/>
                <w:color w:val="000000" w:themeColor="text1"/>
                <w:sz w:val="24"/>
                <w:szCs w:val="24"/>
                <w:lang w:val="en-US" w:eastAsia="zh-CN"/>
              </w:rPr>
              <w:t>50</w:t>
            </w:r>
            <w:r>
              <w:rPr>
                <w:rFonts w:hint="eastAsia" w:ascii="仿宋" w:hAnsi="仿宋" w:eastAsia="仿宋" w:cs="仿宋"/>
                <w:color w:val="000000" w:themeColor="text1"/>
                <w:sz w:val="24"/>
                <w:szCs w:val="24"/>
              </w:rPr>
              <w:t>张，得1分。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价格收费（住院21分、门诊17分）</w:t>
            </w:r>
          </w:p>
        </w:tc>
        <w:tc>
          <w:tcPr>
            <w:tcW w:w="424"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药品</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（1）随机抽查的10个药品价格均未超过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（2）随机抽查的药品价格超过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检查治疗收费</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次均住院费用（门诊医疗机构不评估）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上一年度次均住院费用与统筹地区上一年度同级别医疗机构医保次均住院费用相比，85%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90%-100%的得2分。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次均门诊费用</w:t>
            </w:r>
          </w:p>
        </w:tc>
        <w:tc>
          <w:tcPr>
            <w:tcW w:w="2282" w:type="pct"/>
            <w:vAlign w:val="center"/>
          </w:tcPr>
          <w:p>
            <w:pPr>
              <w:jc w:val="left"/>
              <w:rPr>
                <w:rFonts w:hint="default" w:ascii="仿宋" w:hAnsi="仿宋" w:eastAsia="仿宋" w:cs="仿宋"/>
                <w:b/>
                <w:color w:val="000000" w:themeColor="text1"/>
                <w:sz w:val="24"/>
                <w:szCs w:val="24"/>
                <w:lang w:val="en-US" w:eastAsia="zh-CN"/>
              </w:rPr>
            </w:pPr>
            <w:r>
              <w:rPr>
                <w:rFonts w:hint="eastAsia" w:ascii="仿宋" w:hAnsi="仿宋" w:eastAsia="仿宋" w:cs="仿宋"/>
                <w:color w:val="000000" w:themeColor="text1"/>
                <w:sz w:val="24"/>
                <w:szCs w:val="24"/>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w:t>
            </w:r>
            <w:r>
              <w:rPr>
                <w:rFonts w:hint="eastAsia" w:ascii="仿宋" w:hAnsi="仿宋" w:eastAsia="仿宋" w:cs="仿宋"/>
                <w:color w:val="000000" w:themeColor="text1"/>
                <w:sz w:val="24"/>
                <w:szCs w:val="24"/>
                <w:lang w:val="en-US" w:eastAsia="zh-CN"/>
              </w:rPr>
              <w:t>94</w:t>
            </w:r>
            <w:r>
              <w:rPr>
                <w:rFonts w:hint="eastAsia" w:ascii="仿宋" w:hAnsi="仿宋" w:eastAsia="仿宋" w:cs="仿宋"/>
                <w:color w:val="000000" w:themeColor="text1"/>
                <w:sz w:val="24"/>
                <w:szCs w:val="24"/>
              </w:rPr>
              <w:t>%的得2分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w:t>
            </w:r>
            <w:r>
              <w:rPr>
                <w:rFonts w:hint="eastAsia" w:ascii="仿宋" w:hAnsi="仿宋" w:eastAsia="仿宋" w:cs="仿宋"/>
                <w:color w:val="000000" w:themeColor="text1"/>
                <w:sz w:val="24"/>
                <w:szCs w:val="24"/>
                <w:lang w:val="en-US" w:eastAsia="zh-CN"/>
              </w:rPr>
              <w:t>5</w:t>
            </w:r>
            <w:r>
              <w:rPr>
                <w:rFonts w:hint="eastAsia" w:ascii="仿宋" w:hAnsi="仿宋" w:eastAsia="仿宋" w:cs="仿宋"/>
                <w:color w:val="000000" w:themeColor="text1"/>
                <w:sz w:val="24"/>
                <w:szCs w:val="24"/>
              </w:rPr>
              <w:t>%-100%</w:t>
            </w:r>
            <w:r>
              <w:rPr>
                <w:rFonts w:hint="eastAsia" w:ascii="仿宋" w:hAnsi="仿宋" w:eastAsia="仿宋" w:cs="仿宋"/>
                <w:color w:val="000000" w:themeColor="text1"/>
                <w:sz w:val="24"/>
                <w:szCs w:val="24"/>
                <w:lang w:eastAsia="zh-CN"/>
              </w:rPr>
              <w:t>的得</w:t>
            </w:r>
            <w:r>
              <w:rPr>
                <w:rFonts w:hint="eastAsia" w:ascii="仿宋" w:hAnsi="仿宋" w:eastAsia="仿宋" w:cs="仿宋"/>
                <w:color w:val="000000" w:themeColor="text1"/>
                <w:sz w:val="24"/>
                <w:szCs w:val="24"/>
                <w:lang w:val="en-US" w:eastAsia="zh-CN"/>
              </w:rPr>
              <w:t>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费用清单</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价格信息公示</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17</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内部管理（住院15分、门诊13分）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门诊患者抗菌药物使用率</w:t>
            </w:r>
          </w:p>
        </w:tc>
        <w:tc>
          <w:tcPr>
            <w:tcW w:w="2282" w:type="pct"/>
            <w:vAlign w:val="center"/>
          </w:tcPr>
          <w:p>
            <w:pPr>
              <w:jc w:val="left"/>
              <w:rPr>
                <w:rFonts w:hint="eastAsia" w:ascii="仿宋" w:hAnsi="仿宋" w:eastAsia="仿宋" w:cs="仿宋"/>
                <w:b/>
                <w:color w:val="000000" w:themeColor="text1"/>
                <w:sz w:val="24"/>
                <w:szCs w:val="24"/>
                <w:lang w:eastAsia="zh-CN"/>
              </w:rPr>
            </w:pPr>
            <w:r>
              <w:rPr>
                <w:rFonts w:hint="eastAsia" w:ascii="仿宋" w:hAnsi="仿宋" w:eastAsia="仿宋" w:cs="仿宋"/>
                <w:color w:val="000000" w:themeColor="text1"/>
                <w:sz w:val="24"/>
                <w:szCs w:val="24"/>
              </w:rPr>
              <w:t>抽查10份门诊病历，抗菌药物使用率在50%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以下的得2分；抗菌药物使用率在50%至60%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60%以上不得分</w:t>
            </w:r>
            <w:r>
              <w:rPr>
                <w:rFonts w:hint="eastAsia" w:ascii="仿宋" w:hAnsi="仿宋" w:eastAsia="仿宋" w:cs="仿宋"/>
                <w:color w:val="000000" w:themeColor="text1"/>
                <w:sz w:val="24"/>
                <w:szCs w:val="24"/>
                <w:lang w:eastAsia="zh-CN"/>
              </w:rPr>
              <w:t>。</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住院患者大型检查阳性率（门诊医疗机构不评估）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抽查10份住院病历，大型检查阳性率（CT、核磁共振、彩超）在80%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以上的，得2分；大型检查阳性率在70%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至80%的得1分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70%以下不得分。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医疗保险管理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环境卫生管理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医疗纠纷调解</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建立健全医疗纠纷投诉和处理机构，并有专人负责，公布投诉电话、信箱，畅通投诉渠道，及时受理、处置患者投诉的，得2分。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便民导诊服务</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设立导诊台、触摸屏、指示牌、就医流程、专家姓名和联系方式，方便群众看病就医的，得2分。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财务管理（14分）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（2）80%及以上在职员工参加医疗保险，并及时缴费，得</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8</w:t>
            </w:r>
            <w:r>
              <w:rPr>
                <w:rFonts w:hint="eastAsia" w:ascii="仿宋" w:hAnsi="仿宋" w:eastAsia="仿宋" w:cs="仿宋"/>
                <w:color w:val="000000" w:themeColor="text1"/>
                <w:sz w:val="24"/>
                <w:szCs w:val="24"/>
              </w:rPr>
              <w:t>0%以下在职员工参加医疗保险的，不得纳入医保定点。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财务管理制度</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财务人员</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根据医疗机构规模，设置相应独立的财会机构，配备相应的会计、出纳人员，得2分。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财务结算</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财务票据齐全、合法，且安装使用电子收费系统的，得2分。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信息系统（6分）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计算机配备使用</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医疗信息化</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联网结算能力</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kern w:val="0"/>
                <w:sz w:val="24"/>
                <w:szCs w:val="24"/>
              </w:rPr>
              <w:t>承诺在签订协议之前，实现与医保</w:t>
            </w:r>
            <w:r>
              <w:rPr>
                <w:rFonts w:hint="eastAsia" w:ascii="仿宋" w:hAnsi="仿宋" w:eastAsia="仿宋" w:cs="仿宋"/>
                <w:color w:val="000000" w:themeColor="text1"/>
                <w:kern w:val="0"/>
                <w:sz w:val="24"/>
                <w:szCs w:val="24"/>
                <w:lang w:eastAsia="zh-CN"/>
              </w:rPr>
              <w:t>信息平台</w:t>
            </w:r>
            <w:r>
              <w:rPr>
                <w:rFonts w:hint="eastAsia" w:ascii="仿宋" w:hAnsi="仿宋" w:eastAsia="仿宋" w:cs="仿宋"/>
                <w:color w:val="000000" w:themeColor="text1"/>
                <w:kern w:val="0"/>
                <w:sz w:val="24"/>
                <w:szCs w:val="24"/>
              </w:rPr>
              <w:t>联网对接，达到刷卡结算的</w:t>
            </w:r>
            <w:r>
              <w:rPr>
                <w:rFonts w:hint="eastAsia" w:ascii="仿宋" w:hAnsi="仿宋" w:eastAsia="仿宋" w:cs="仿宋"/>
                <w:color w:val="000000" w:themeColor="text1"/>
                <w:sz w:val="24"/>
                <w:szCs w:val="24"/>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5"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社会评价（9分）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主流媒体负面报导</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w:t>
            </w:r>
            <w:r>
              <w:rPr>
                <w:rFonts w:hint="eastAsia" w:ascii="仿宋" w:hAnsi="仿宋" w:eastAsia="仿宋" w:cs="仿宋"/>
                <w:color w:val="000000" w:themeColor="text1"/>
                <w:sz w:val="24"/>
                <w:szCs w:val="24"/>
                <w:lang w:eastAsia="zh-CN"/>
              </w:rPr>
              <w:t>两</w:t>
            </w:r>
            <w:r>
              <w:rPr>
                <w:rFonts w:hint="eastAsia" w:ascii="仿宋" w:hAnsi="仿宋" w:eastAsia="仿宋" w:cs="仿宋"/>
                <w:color w:val="000000" w:themeColor="text1"/>
                <w:sz w:val="24"/>
                <w:szCs w:val="24"/>
              </w:rPr>
              <w:t>年内无媒体负面报导的，得5分；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5"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9"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医疗服务不良记录</w:t>
            </w: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（2）医疗机构提交定点申请前两年内被医疗保障、卫健、审计、市场监管等部门处罚一次的扣5分；情节严重的或查处两次以上的不得纳入医保定点。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社会诚信体系建设</w:t>
            </w: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rPr>
            </w:pPr>
          </w:p>
        </w:tc>
        <w:tc>
          <w:tcPr>
            <w:tcW w:w="423" w:type="pct"/>
            <w:vMerge w:val="continue"/>
            <w:vAlign w:val="center"/>
          </w:tcPr>
          <w:p>
            <w:pPr>
              <w:jc w:val="left"/>
              <w:rPr>
                <w:rFonts w:hint="eastAsia" w:ascii="仿宋" w:hAnsi="仿宋" w:eastAsia="仿宋" w:cs="仿宋"/>
                <w:b/>
                <w:color w:val="000000" w:themeColor="text1"/>
                <w:sz w:val="24"/>
                <w:szCs w:val="24"/>
              </w:rPr>
            </w:pPr>
          </w:p>
        </w:tc>
        <w:tc>
          <w:tcPr>
            <w:tcW w:w="424" w:type="pct"/>
            <w:vMerge w:val="continue"/>
            <w:vAlign w:val="center"/>
          </w:tcPr>
          <w:p>
            <w:pPr>
              <w:jc w:val="left"/>
              <w:rPr>
                <w:rFonts w:hint="eastAsia" w:ascii="仿宋" w:hAnsi="仿宋" w:eastAsia="仿宋" w:cs="仿宋"/>
                <w:b/>
                <w:color w:val="000000" w:themeColor="text1"/>
                <w:sz w:val="24"/>
                <w:szCs w:val="24"/>
              </w:rPr>
            </w:pP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34</w:t>
            </w:r>
          </w:p>
        </w:tc>
        <w:tc>
          <w:tcPr>
            <w:tcW w:w="423"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加分项目</w:t>
            </w:r>
          </w:p>
        </w:tc>
        <w:tc>
          <w:tcPr>
            <w:tcW w:w="424" w:type="pct"/>
            <w:vAlign w:val="center"/>
          </w:tcPr>
          <w:p>
            <w:pPr>
              <w:jc w:val="left"/>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荣誉</w:t>
            </w:r>
          </w:p>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表彰</w:t>
            </w: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机构或法人在公共卫生事件、防汛抗旱等自然灾害事故中，服从党委、政府及相关行政主管部门调度和安排的，获市级以上表彰得3分，县级表彰得2分，乡镇表彰得1分。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bl>
    <w:p>
      <w:pPr>
        <w:rPr>
          <w:rFonts w:ascii="楷体" w:hAnsi="楷体" w:eastAsia="楷体"/>
          <w:b/>
          <w:color w:val="000000" w:themeColor="text1"/>
          <w:sz w:val="44"/>
          <w:szCs w:val="44"/>
        </w:rPr>
      </w:pPr>
      <w:r>
        <w:rPr>
          <w:rFonts w:hint="eastAsia"/>
          <w:color w:val="000000" w:themeColor="text1"/>
          <w:sz w:val="24"/>
          <w:szCs w:val="24"/>
        </w:rPr>
        <w:t>备注：第10、13、18项指标仅考核住院医疗机构，共10分。</w:t>
      </w:r>
    </w:p>
    <w:p>
      <w:pPr>
        <w:jc w:val="center"/>
        <w:rPr>
          <w:rFonts w:ascii="楷体" w:hAnsi="楷体" w:eastAsia="楷体"/>
          <w:b/>
          <w:color w:val="000000" w:themeColor="text1"/>
          <w:sz w:val="44"/>
          <w:szCs w:val="44"/>
        </w:rPr>
      </w:pPr>
      <w:r>
        <w:rPr>
          <w:rFonts w:hint="eastAsia" w:ascii="楷体" w:hAnsi="楷体" w:eastAsia="楷体"/>
          <w:b/>
          <w:color w:val="000000" w:themeColor="text1"/>
          <w:sz w:val="44"/>
          <w:szCs w:val="44"/>
        </w:rPr>
        <w:t>新余市基本医疗保险定点医疗机构综合评估表</w:t>
      </w:r>
    </w:p>
    <w:p>
      <w:pPr>
        <w:jc w:val="left"/>
        <w:rPr>
          <w:color w:val="000000" w:themeColor="text1"/>
        </w:rPr>
      </w:pPr>
      <w:r>
        <w:rPr>
          <w:rFonts w:hint="eastAsia"/>
          <w:color w:val="000000" w:themeColor="text1"/>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97"/>
        <w:gridCol w:w="889"/>
        <w:gridCol w:w="889"/>
        <w:gridCol w:w="4849"/>
        <w:gridCol w:w="1079"/>
        <w:gridCol w:w="1169"/>
        <w:gridCol w:w="11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序号</w:t>
            </w:r>
          </w:p>
        </w:tc>
        <w:tc>
          <w:tcPr>
            <w:tcW w:w="832" w:type="pct"/>
            <w:gridSpan w:val="2"/>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评估项目</w:t>
            </w: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评估标准</w:t>
            </w:r>
          </w:p>
        </w:tc>
        <w:tc>
          <w:tcPr>
            <w:tcW w:w="505"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得分</w:t>
            </w:r>
          </w:p>
        </w:tc>
        <w:tc>
          <w:tcPr>
            <w:tcW w:w="54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自评得分</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说明</w:t>
            </w:r>
          </w:p>
        </w:tc>
        <w:tc>
          <w:tcPr>
            <w:tcW w:w="519"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832" w:type="pct"/>
            <w:gridSpan w:val="2"/>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住院医疗机构（专科）</w:t>
            </w:r>
          </w:p>
        </w:tc>
        <w:tc>
          <w:tcPr>
            <w:tcW w:w="505" w:type="pct"/>
            <w:vMerge w:val="continue"/>
            <w:vAlign w:val="center"/>
          </w:tcPr>
          <w:p>
            <w:pPr>
              <w:jc w:val="center"/>
              <w:rPr>
                <w:rFonts w:hint="eastAsia" w:ascii="仿宋" w:hAnsi="仿宋" w:eastAsia="仿宋" w:cs="仿宋"/>
                <w:b/>
                <w:color w:val="000000" w:themeColor="text1"/>
                <w:sz w:val="24"/>
                <w:szCs w:val="24"/>
              </w:rPr>
            </w:pPr>
          </w:p>
        </w:tc>
        <w:tc>
          <w:tcPr>
            <w:tcW w:w="547" w:type="pct"/>
            <w:vMerge w:val="continue"/>
            <w:vAlign w:val="center"/>
          </w:tcPr>
          <w:p>
            <w:pPr>
              <w:jc w:val="center"/>
              <w:rPr>
                <w:rFonts w:hint="eastAsia" w:ascii="仿宋" w:hAnsi="仿宋" w:eastAsia="仿宋" w:cs="仿宋"/>
                <w:b/>
                <w:color w:val="000000" w:themeColor="text1"/>
                <w:sz w:val="24"/>
                <w:szCs w:val="24"/>
              </w:rPr>
            </w:pPr>
          </w:p>
        </w:tc>
        <w:tc>
          <w:tcPr>
            <w:tcW w:w="519" w:type="pct"/>
            <w:vMerge w:val="continue"/>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规划布局（12分）</w:t>
            </w:r>
          </w:p>
        </w:tc>
        <w:tc>
          <w:tcPr>
            <w:tcW w:w="416"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开业</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时间</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（1）3年（含）及以上，得5分；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（2）2年（含）至3年以内的得3分；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（3）1年（含）至2年以内，得2分；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（4）3个月（含）至1年以内得1分。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营业场所使用时间</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（1）自有房产证或不动产登记证的，得5分；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（2）房屋租赁合同在5（含）年以上的，得4分；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（3）房屋租赁合同在3年（含）以上的得3分。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（4）房屋租赁合同在2年（含）以上的得2分。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（5）房屋租赁合同在2年以内的，得1分。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与最近医保定点同级医疗机构的距离</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（1）住院医疗机构500米（含）及以上，得2分；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（2）住院医疗机构500米以下，得1分。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服务能力（住院23分、门诊19分）</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临床科室数量</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（1）6个（含）以上，得3分；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（2）4个至5个，得2分；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（3）2个至3个，得1分。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医保药品种数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（1）300种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（2）201至300种，得2分；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（3）200种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诊疗项目种数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（1）150种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（2）101种至150种，得2分；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7</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lang w:eastAsia="zh-CN"/>
              </w:rPr>
              <w:t>第一</w:t>
            </w:r>
            <w:r>
              <w:rPr>
                <w:rFonts w:hint="eastAsia" w:ascii="仿宋" w:hAnsi="仿宋" w:eastAsia="仿宋" w:cs="仿宋"/>
                <w:color w:val="000000" w:themeColor="text1"/>
                <w:sz w:val="24"/>
                <w:szCs w:val="24"/>
              </w:rPr>
              <w:t>注册</w:t>
            </w:r>
            <w:r>
              <w:rPr>
                <w:rFonts w:hint="eastAsia" w:ascii="仿宋" w:hAnsi="仿宋" w:eastAsia="仿宋" w:cs="仿宋"/>
                <w:color w:val="000000" w:themeColor="text1"/>
                <w:sz w:val="24"/>
                <w:szCs w:val="24"/>
                <w:lang w:eastAsia="zh-CN"/>
              </w:rPr>
              <w:t>地</w:t>
            </w:r>
            <w:r>
              <w:rPr>
                <w:rFonts w:hint="eastAsia" w:ascii="仿宋" w:hAnsi="仿宋" w:eastAsia="仿宋" w:cs="仿宋"/>
                <w:color w:val="000000" w:themeColor="text1"/>
                <w:sz w:val="24"/>
                <w:szCs w:val="24"/>
              </w:rPr>
              <w:t>在本医疗机构、在本医疗机构专职上班且在本机构参加城镇职工医疗保险的执业医师人数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（1）20人（含）以上，得3分；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（2）11人（含）至20人，得2分；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（3）10人以内，得1分。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8</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注册在本医疗机构、在本医疗机构专职上班</w:t>
            </w:r>
            <w:r>
              <w:rPr>
                <w:rFonts w:hint="eastAsia" w:ascii="仿宋" w:hAnsi="仿宋" w:eastAsia="仿宋" w:cs="仿宋"/>
                <w:color w:val="000000" w:themeColor="text1"/>
                <w:kern w:val="0"/>
                <w:sz w:val="24"/>
                <w:szCs w:val="24"/>
              </w:rPr>
              <w:t>且在本机构参加城镇职工医疗保险的执</w:t>
            </w:r>
            <w:r>
              <w:rPr>
                <w:rFonts w:hint="eastAsia" w:ascii="仿宋" w:hAnsi="仿宋" w:eastAsia="仿宋" w:cs="仿宋"/>
                <w:color w:val="000000" w:themeColor="text1"/>
                <w:sz w:val="24"/>
                <w:szCs w:val="24"/>
              </w:rPr>
              <w:t>业药师(或药师)人数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（1）6人（含）以上，得3分；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（2）4人至5人，得2分；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（3）2人至3人（含），得1分。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医疗业务用房面积</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（1）5000平（含）米以上，得4分；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（2）3001平米至5000平米，得3分；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（3）2001平米至3000平米，得2分；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（4）1500平米</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至2000平米，得1分。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核定病床数量（门诊医疗机构不评估）</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（1）100张（含）以上，得4分；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（2）51张至100张，得3分；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（3）21张至50张，得2分；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（4）10张（含）至20张，得1分。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价格收费（住院21分、门诊17分）</w:t>
            </w:r>
          </w:p>
        </w:tc>
        <w:tc>
          <w:tcPr>
            <w:tcW w:w="416"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药品</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（1）随机抽查的10个药品价格均未超过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确定的公立医院销售价格的，得4分；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（2）随机抽查的药品价格超过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的，1个品种扣0.5分，累计计算，最多可扣4分。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检查治疗收费</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（1）随机抽查的10个检查治疗收费均未超过省价格主管部门确定的收费价格的，得4分；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（2）随机抽查的检查治疗收费超过省价格主管部门确定的收费价格的，1个项目扣0.5分，累计计算，最多可扣4分。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次均住院费用（门诊医疗机构不评估）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上一年度次均住院费用与统筹地区上一年度同级别医疗机构医保次均住院费用相比，85%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90%-100%的得2分。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14</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次均门诊费用</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w:t>
            </w:r>
            <w:r>
              <w:rPr>
                <w:rFonts w:hint="eastAsia" w:ascii="仿宋" w:hAnsi="仿宋" w:eastAsia="仿宋" w:cs="仿宋"/>
                <w:color w:val="000000" w:themeColor="text1"/>
                <w:sz w:val="24"/>
                <w:szCs w:val="24"/>
                <w:lang w:val="en-US" w:eastAsia="zh-CN"/>
              </w:rPr>
              <w:t>94</w:t>
            </w:r>
            <w:r>
              <w:rPr>
                <w:rFonts w:hint="eastAsia" w:ascii="仿宋" w:hAnsi="仿宋" w:eastAsia="仿宋" w:cs="仿宋"/>
                <w:color w:val="000000" w:themeColor="text1"/>
                <w:sz w:val="24"/>
                <w:szCs w:val="24"/>
              </w:rPr>
              <w:t>%的得2分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w:t>
            </w:r>
            <w:r>
              <w:rPr>
                <w:rFonts w:hint="eastAsia" w:ascii="仿宋" w:hAnsi="仿宋" w:eastAsia="仿宋" w:cs="仿宋"/>
                <w:color w:val="000000" w:themeColor="text1"/>
                <w:sz w:val="24"/>
                <w:szCs w:val="24"/>
                <w:lang w:val="en-US" w:eastAsia="zh-CN"/>
              </w:rPr>
              <w:t>5</w:t>
            </w:r>
            <w:r>
              <w:rPr>
                <w:rFonts w:hint="eastAsia" w:ascii="仿宋" w:hAnsi="仿宋" w:eastAsia="仿宋" w:cs="仿宋"/>
                <w:color w:val="000000" w:themeColor="text1"/>
                <w:sz w:val="24"/>
                <w:szCs w:val="24"/>
              </w:rPr>
              <w:t>%-100%</w:t>
            </w:r>
            <w:r>
              <w:rPr>
                <w:rFonts w:hint="eastAsia" w:ascii="仿宋" w:hAnsi="仿宋" w:eastAsia="仿宋" w:cs="仿宋"/>
                <w:color w:val="000000" w:themeColor="text1"/>
                <w:sz w:val="24"/>
                <w:szCs w:val="24"/>
                <w:lang w:eastAsia="zh-CN"/>
              </w:rPr>
              <w:t>的得</w:t>
            </w:r>
            <w:r>
              <w:rPr>
                <w:rFonts w:hint="eastAsia" w:ascii="仿宋" w:hAnsi="仿宋" w:eastAsia="仿宋" w:cs="仿宋"/>
                <w:color w:val="000000" w:themeColor="text1"/>
                <w:sz w:val="24"/>
                <w:szCs w:val="24"/>
                <w:lang w:val="en-US" w:eastAsia="zh-CN"/>
              </w:rPr>
              <w:t>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费用清单</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按规定提供药品、检查、治疗、服务收费清单的，得2分。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价格信息公示</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设立公示屏（牌）及时向群众公示药品价格和医疗服务价格信息及医保支付标准的，得3分。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17</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内部管理（住院15分、门诊13分）</w:t>
            </w: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门诊患者抗菌药物使用率</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抽查10份门诊病历，抗菌药物使用率在50%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以下的得2分；抗菌药物使用率在50%至60%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60%以上不得分。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18</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住院患者大型检查阳性率（门诊医疗机构不评估）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抽查10份住院病历，大型检查阳性率（CT、核磁共振、彩超）在80%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以上的，得2分；大型检查阳性率在70%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至80%的得1分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70%以下不得分。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医疗保险管理</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建立了与基本医疗保险管理相适应的内部组织管理制度，配备了必要的管理人员、设备和办公场所，得4分。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环境卫生管理</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医疗机构干净整洁，无乱贴乱挂，功能分区合理，得3分。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医疗纠纷调解</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建立健全医疗纠纷投诉和处理机构，并有专人负责，公布投诉电话、信箱，畅通投诉渠道，及时受理、处置患者投诉的，得2分。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便民导诊服务</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设立导诊台、触摸屏、指示牌、就医流程、专家姓名和联系方式，方便群众看病就医的，得2分。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财务管理（14分）</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在本机构参加城镇职工医疗保险情况</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（1）全部在职员工参加医疗保险，并及时缴费，得5分；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（2）80%及以上在职员工参加医疗保险，并及时缴费，得</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8</w:t>
            </w:r>
            <w:r>
              <w:rPr>
                <w:rFonts w:hint="eastAsia" w:ascii="仿宋" w:hAnsi="仿宋" w:eastAsia="仿宋" w:cs="仿宋"/>
                <w:color w:val="000000" w:themeColor="text1"/>
                <w:sz w:val="24"/>
                <w:szCs w:val="24"/>
              </w:rPr>
              <w:t>0%以下在职员工参加医疗保险的，不得纳入医保定点。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对药品、医用的材料的采购、验收、销售等环节、实行计算机实时管理情况</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（1）已实时录入全部环节数据并可查询3个月以上时间的真实数据，得3分；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（2）已实时录入全部环节数据并可查询1至3个月以内的真实数据，得2分；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（3）已实时录入全部环节数据并可查询1个月以下时间的真实数据，得1分；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（4）分别抽查20个药品和医用材料，进、销、存账物不符的，每发现一个品种扣0.5分，累计计算，最多扣3分。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财务管理制度</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有健全和完善财务管理制度，对医疗机构财务活动进行全面管理，建立监督内控机制的，得2分。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财务人员</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根据医疗机构规模，设置相应独立的财会机构，配备相应的会计、出纳人员，得2分。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27</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财务结算</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财务票据齐全、合法，且安装使用电子收费系统的，得2分。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信息系统（6分）</w:t>
            </w: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计算机配备使用</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按照医疗保险业务要求配置必要的电脑设备（包括POS机）和熟练的操作人员的，得2分。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医疗信息化</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对医疗服务过程实行全流程信息化管理的，得2分。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联网结算能力</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kern w:val="0"/>
                <w:sz w:val="24"/>
                <w:szCs w:val="24"/>
              </w:rPr>
              <w:t>承诺在签订协议之前，实现与</w:t>
            </w:r>
            <w:r>
              <w:rPr>
                <w:rFonts w:hint="eastAsia" w:ascii="仿宋" w:hAnsi="仿宋" w:eastAsia="仿宋" w:cs="仿宋"/>
                <w:color w:val="000000" w:themeColor="text1"/>
                <w:kern w:val="0"/>
                <w:sz w:val="24"/>
                <w:szCs w:val="24"/>
                <w:lang w:eastAsia="zh-CN"/>
              </w:rPr>
              <w:t>医保信息平台联网</w:t>
            </w:r>
            <w:r>
              <w:rPr>
                <w:rFonts w:hint="eastAsia" w:ascii="仿宋" w:hAnsi="仿宋" w:eastAsia="仿宋" w:cs="仿宋"/>
                <w:color w:val="000000" w:themeColor="text1"/>
                <w:kern w:val="0"/>
                <w:sz w:val="24"/>
                <w:szCs w:val="24"/>
              </w:rPr>
              <w:t>对接，达到刷卡结算的</w:t>
            </w:r>
            <w:r>
              <w:rPr>
                <w:rFonts w:hint="eastAsia" w:ascii="仿宋" w:hAnsi="仿宋" w:eastAsia="仿宋" w:cs="仿宋"/>
                <w:color w:val="000000" w:themeColor="text1"/>
                <w:sz w:val="24"/>
                <w:szCs w:val="24"/>
              </w:rPr>
              <w:t>，得2分。签订协议后一个月内未完成的，取消定点资格。</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社会评价（9分）</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主流媒体负面报导</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w:t>
            </w:r>
            <w:r>
              <w:rPr>
                <w:rFonts w:hint="eastAsia" w:ascii="仿宋" w:hAnsi="仿宋" w:eastAsia="仿宋" w:cs="仿宋"/>
                <w:color w:val="000000" w:themeColor="text1"/>
                <w:sz w:val="24"/>
                <w:szCs w:val="24"/>
                <w:lang w:eastAsia="zh-CN"/>
              </w:rPr>
              <w:t>两</w:t>
            </w:r>
            <w:r>
              <w:rPr>
                <w:rFonts w:hint="eastAsia" w:ascii="仿宋" w:hAnsi="仿宋" w:eastAsia="仿宋" w:cs="仿宋"/>
                <w:color w:val="000000" w:themeColor="text1"/>
                <w:sz w:val="24"/>
                <w:szCs w:val="24"/>
              </w:rPr>
              <w:t>年内无媒体负面报导的，得5分；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（2）医疗机构提交定点申请前两年内被媒体负面报导的，扣5分；社会影响恶劣及负面报导两次以上的，不得纳入医保定点。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医疗服务不良记录</w:t>
            </w: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（1）医疗机构提交定点申请前两年内无医疗服务不良记录的，得2分；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（2）医疗机构提交定点申请前两年内被医疗保障、卫健、审计、市场监管等部门处罚一次的扣5分；情节严重的或查处两次以上的不得纳入医保定点。的扣5分。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社会诚信体系建设</w:t>
            </w:r>
          </w:p>
        </w:tc>
        <w:tc>
          <w:tcPr>
            <w:tcW w:w="2269" w:type="pct"/>
            <w:vAlign w:val="center"/>
          </w:tcPr>
          <w:p>
            <w:pPr>
              <w:numPr>
                <w:ilvl w:val="0"/>
                <w:numId w:val="1"/>
              </w:num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机构及法人代表、负责人近两年内没有被纳入社会诚信体系建设“黑名单”，且无违法犯罪纪录的，得2分。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（2）机构及法人代表、负责人近两年内被纳入社会诚信体系建设“黑名单”或有违法犯罪纪录的，不得纳入定点。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34</w:t>
            </w:r>
          </w:p>
        </w:tc>
        <w:tc>
          <w:tcPr>
            <w:tcW w:w="41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加分项目</w:t>
            </w:r>
          </w:p>
        </w:tc>
        <w:tc>
          <w:tcPr>
            <w:tcW w:w="416" w:type="pc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荣誉</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表彰</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机构或法人在公共卫生事件、防汛抗旱等自然灾害事故中，服从党委、政府及相关行政主管部门调度和安排的，获市级以上表彰得3分，县级表彰得2分，乡镇表彰得1分。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9" w:type="pct"/>
            <w:vAlign w:val="center"/>
          </w:tcPr>
          <w:p>
            <w:pPr>
              <w:jc w:val="center"/>
              <w:rPr>
                <w:rFonts w:hint="eastAsia" w:ascii="仿宋" w:hAnsi="仿宋" w:eastAsia="仿宋" w:cs="仿宋"/>
                <w:b/>
                <w:color w:val="000000" w:themeColor="text1"/>
                <w:sz w:val="24"/>
                <w:szCs w:val="24"/>
              </w:rPr>
            </w:pPr>
          </w:p>
        </w:tc>
      </w:tr>
    </w:tbl>
    <w:p>
      <w:pPr>
        <w:rPr>
          <w:color w:val="000000" w:themeColor="text1"/>
          <w:sz w:val="24"/>
          <w:szCs w:val="24"/>
        </w:rPr>
      </w:pPr>
    </w:p>
    <w:p>
      <w:pPr>
        <w:rPr>
          <w:color w:val="000000" w:themeColor="text1"/>
        </w:rPr>
      </w:pPr>
      <w:r>
        <w:rPr>
          <w:rFonts w:hint="eastAsia"/>
          <w:color w:val="000000" w:themeColor="text1"/>
          <w:sz w:val="24"/>
          <w:szCs w:val="24"/>
        </w:rPr>
        <w:t>备注：第10、13、18项指标仅考核住院医疗机构，共10分。</w:t>
      </w:r>
    </w:p>
    <w:p>
      <w:pPr>
        <w:rPr>
          <w:rFonts w:hint="eastAsia"/>
          <w:color w:val="000000" w:themeColor="text1"/>
        </w:rPr>
      </w:pPr>
    </w:p>
    <w:p>
      <w:pPr>
        <w:rPr>
          <w:rFonts w:hint="eastAsia"/>
          <w:color w:val="000000" w:themeColor="text1"/>
        </w:rPr>
      </w:pPr>
    </w:p>
    <w:p>
      <w:pPr>
        <w:rPr>
          <w:rFonts w:hint="eastAsia"/>
          <w:color w:val="000000" w:themeColor="text1"/>
        </w:rPr>
      </w:pPr>
    </w:p>
    <w:p>
      <w:pPr>
        <w:rPr>
          <w:rFonts w:hint="eastAsia"/>
          <w:color w:val="000000" w:themeColor="text1"/>
        </w:rPr>
      </w:pPr>
    </w:p>
    <w:p>
      <w:pPr>
        <w:jc w:val="center"/>
        <w:rPr>
          <w:rFonts w:ascii="楷体" w:hAnsi="楷体" w:eastAsia="楷体"/>
          <w:b/>
          <w:color w:val="000000" w:themeColor="text1"/>
          <w:sz w:val="44"/>
          <w:szCs w:val="44"/>
        </w:rPr>
      </w:pPr>
      <w:r>
        <w:rPr>
          <w:rFonts w:hint="eastAsia" w:ascii="楷体" w:hAnsi="楷体" w:eastAsia="楷体"/>
          <w:b/>
          <w:color w:val="000000" w:themeColor="text1"/>
          <w:sz w:val="44"/>
          <w:szCs w:val="44"/>
        </w:rPr>
        <w:t>新余市基本医疗保险定点医疗机构综合评估表</w:t>
      </w:r>
    </w:p>
    <w:p>
      <w:pPr>
        <w:jc w:val="left"/>
        <w:rPr>
          <w:color w:val="000000" w:themeColor="text1"/>
        </w:rPr>
      </w:pPr>
      <w:r>
        <w:rPr>
          <w:rFonts w:hint="eastAsia"/>
          <w:color w:val="000000" w:themeColor="text1"/>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97"/>
        <w:gridCol w:w="889"/>
        <w:gridCol w:w="891"/>
        <w:gridCol w:w="4849"/>
        <w:gridCol w:w="1079"/>
        <w:gridCol w:w="1169"/>
        <w:gridCol w:w="110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序号</w:t>
            </w:r>
          </w:p>
        </w:tc>
        <w:tc>
          <w:tcPr>
            <w:tcW w:w="833" w:type="pct"/>
            <w:gridSpan w:val="2"/>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评估项目</w:t>
            </w: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评估标准</w:t>
            </w:r>
          </w:p>
        </w:tc>
        <w:tc>
          <w:tcPr>
            <w:tcW w:w="505"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得分</w:t>
            </w:r>
          </w:p>
        </w:tc>
        <w:tc>
          <w:tcPr>
            <w:tcW w:w="54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自评得分</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说明</w:t>
            </w:r>
          </w:p>
        </w:tc>
        <w:tc>
          <w:tcPr>
            <w:tcW w:w="518"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833" w:type="pct"/>
            <w:gridSpan w:val="2"/>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门诊医疗机构（综合）</w:t>
            </w:r>
          </w:p>
        </w:tc>
        <w:tc>
          <w:tcPr>
            <w:tcW w:w="505" w:type="pct"/>
            <w:vMerge w:val="continue"/>
            <w:vAlign w:val="center"/>
          </w:tcPr>
          <w:p>
            <w:pPr>
              <w:jc w:val="center"/>
              <w:rPr>
                <w:rFonts w:hint="eastAsia" w:ascii="仿宋" w:hAnsi="仿宋" w:eastAsia="仿宋" w:cs="仿宋"/>
                <w:b/>
                <w:color w:val="000000" w:themeColor="text1"/>
                <w:sz w:val="24"/>
                <w:szCs w:val="24"/>
              </w:rPr>
            </w:pPr>
          </w:p>
        </w:tc>
        <w:tc>
          <w:tcPr>
            <w:tcW w:w="547" w:type="pct"/>
            <w:vMerge w:val="continue"/>
            <w:vAlign w:val="center"/>
          </w:tcPr>
          <w:p>
            <w:pPr>
              <w:jc w:val="center"/>
              <w:rPr>
                <w:rFonts w:hint="eastAsia" w:ascii="仿宋" w:hAnsi="仿宋" w:eastAsia="仿宋" w:cs="仿宋"/>
                <w:b/>
                <w:color w:val="000000" w:themeColor="text1"/>
                <w:sz w:val="24"/>
                <w:szCs w:val="24"/>
              </w:rPr>
            </w:pPr>
          </w:p>
        </w:tc>
        <w:tc>
          <w:tcPr>
            <w:tcW w:w="518" w:type="pct"/>
            <w:vMerge w:val="continue"/>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规划布局（12分）</w:t>
            </w:r>
          </w:p>
        </w:tc>
        <w:tc>
          <w:tcPr>
            <w:tcW w:w="417"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开业</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时间</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（1）3年（含）及以上，得5分；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（2）2年（含）至3年以内的得3分；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（3）1年（含）至2年以内，得2分；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417" w:type="pct"/>
            <w:vMerge w:val="continue"/>
            <w:vAlign w:val="center"/>
          </w:tcPr>
          <w:p>
            <w:pPr>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（4）3个月（含）至1年以内得1分。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营业场所使用时间</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（1）自有房产证或不动产登记证的，得5分；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（2）房屋租赁合同在5年（含）以上的，得4分；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7"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（3）房屋租赁合同在3年（含）以上的得3分。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（4）房屋租赁合同在2年（含）以上的得2分。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17"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（5）房屋租赁合同在2年以内的，得1分。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与最近医保定点同级医疗机构的距离</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（1）门诊医疗机构300米（含）以上，得2分；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（2）门诊医疗机构300米以下，得1分。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服务能力（住院23分、门诊19分）</w:t>
            </w: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临床科室数量</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（1）5个（含）以上，得3分；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（2）4个，得2分；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（3）3个，得1分。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医保药品种数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（2）51至100种，得2分；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（3）50种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诊疗项目种数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种以上，得3分；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（2）21种至50种，得2分；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7</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lang w:eastAsia="zh-CN"/>
              </w:rPr>
              <w:t>第一</w:t>
            </w:r>
            <w:r>
              <w:rPr>
                <w:rFonts w:hint="eastAsia" w:ascii="仿宋" w:hAnsi="仿宋" w:eastAsia="仿宋" w:cs="仿宋"/>
                <w:color w:val="000000" w:themeColor="text1"/>
                <w:sz w:val="24"/>
                <w:szCs w:val="24"/>
              </w:rPr>
              <w:t>注册</w:t>
            </w:r>
            <w:r>
              <w:rPr>
                <w:rFonts w:hint="eastAsia" w:ascii="仿宋" w:hAnsi="仿宋" w:eastAsia="仿宋" w:cs="仿宋"/>
                <w:color w:val="000000" w:themeColor="text1"/>
                <w:sz w:val="24"/>
                <w:szCs w:val="24"/>
                <w:lang w:eastAsia="zh-CN"/>
              </w:rPr>
              <w:t>地</w:t>
            </w:r>
            <w:r>
              <w:rPr>
                <w:rFonts w:hint="eastAsia" w:ascii="仿宋" w:hAnsi="仿宋" w:eastAsia="仿宋" w:cs="仿宋"/>
                <w:color w:val="000000" w:themeColor="text1"/>
                <w:sz w:val="24"/>
                <w:szCs w:val="24"/>
              </w:rPr>
              <w:t>在本医疗机构、在本医疗机构专职上班且在本机构参加城镇职工医疗保险的执业医师人数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（1）10人（含）以上，得3分；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（2）6人（含）至10人，得2分；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（3）1人（含）至5人，得1分。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8</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注册在本医疗机构、在本医疗机构专职上班</w:t>
            </w:r>
            <w:r>
              <w:rPr>
                <w:rFonts w:hint="eastAsia" w:ascii="仿宋" w:hAnsi="仿宋" w:eastAsia="仿宋" w:cs="仿宋"/>
                <w:color w:val="000000" w:themeColor="text1"/>
                <w:kern w:val="0"/>
                <w:sz w:val="24"/>
                <w:szCs w:val="24"/>
              </w:rPr>
              <w:t>且在本机构参加城镇职工医疗保险的执</w:t>
            </w:r>
            <w:r>
              <w:rPr>
                <w:rFonts w:hint="eastAsia" w:ascii="仿宋" w:hAnsi="仿宋" w:eastAsia="仿宋" w:cs="仿宋"/>
                <w:color w:val="000000" w:themeColor="text1"/>
                <w:sz w:val="24"/>
                <w:szCs w:val="24"/>
              </w:rPr>
              <w:t>业药师(或药师)人数</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不作考核，得3分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医疗业务用房面积</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（1）1000平米（含）以上，得4分；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（2）501平米至1000平米，得3分；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（3）301平米至500平米，得2分；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（4）200平米（含）至300平米，得1分。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核定病床数量（门诊医疗机构不评估）</w:t>
            </w: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价格收费（住院21分、门诊17分）</w:t>
            </w:r>
          </w:p>
        </w:tc>
        <w:tc>
          <w:tcPr>
            <w:tcW w:w="417"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药品</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（1）随机抽查的10个药品价格均未超过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确定的公立医院销售价格的，得4分；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（2）随机抽查的药品价格超过</w:t>
            </w:r>
            <w:r>
              <w:rPr>
                <w:rFonts w:hint="eastAsia" w:ascii="仿宋" w:hAnsi="仿宋" w:eastAsia="仿宋" w:cs="仿宋"/>
                <w:color w:val="000000" w:themeColor="text1"/>
                <w:kern w:val="0"/>
                <w:sz w:val="24"/>
                <w:szCs w:val="24"/>
                <w:lang w:eastAsia="zh-CN"/>
              </w:rPr>
              <w:t>国家医保信息平台药品招标采购子系统</w:t>
            </w:r>
            <w:r>
              <w:rPr>
                <w:rFonts w:hint="eastAsia" w:ascii="仿宋" w:hAnsi="仿宋" w:eastAsia="仿宋" w:cs="仿宋"/>
                <w:color w:val="000000" w:themeColor="text1"/>
                <w:sz w:val="24"/>
                <w:szCs w:val="24"/>
              </w:rPr>
              <w:t>的，1个品种扣0.5分，累计计算，最多可扣4分。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检查治疗收费</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（1）随机抽查的10个检查治疗收费均未超过省价格主管部门确定的收费价格的，得4分；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（2）随机抽查的检查治疗收费超过省价格主管部门确定的收费价格的，1个项目扣0.5分，累计计算，最多可扣4分。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次均住院费用（门诊医疗机构不评估）</w:t>
            </w: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14</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次均门诊费用</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90%-94%的得2分；95%-100%的得1分。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费用清单</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按规定提供药品、检查、治疗、服务收费清单的，得2分。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价格信息公示</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设立公示屏（牌）及时向群众公示药品价格和医疗服务价格信息及医保支付标准的，得3分。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17</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内部管理（住院15分、门诊13分）</w:t>
            </w: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门诊患者抗菌药物使用率</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抽查10份门诊病历，抗菌药物使用率在50%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以下的得2分；抗菌药物使用率在50%至60%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60%以上不得分。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18</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住院患者大型检查阳性率（门诊医疗机构不评估）</w:t>
            </w:r>
          </w:p>
        </w:tc>
        <w:tc>
          <w:tcPr>
            <w:tcW w:w="2269"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医疗保险管理</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建立了与基本医疗保险管理相适应的内部组织管理制度，配备了必要的管理人员、设备和办公场所，得4分。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环境卫生管理</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医疗机构干净整洁，无乱贴乱挂，功能分区合理，得3分。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医疗纠纷调解</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公布投诉电话、信箱，畅通投诉渠道，及时受理、处置患者投诉的，得2分。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便民导诊服务</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设立指示牌、就医流程、医生姓名和联系方式，方便群众看病就医的，得2分。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财务管理（14分）</w:t>
            </w: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在本机构参加城镇职工医疗保险情况</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（1）全部在职员工参加医疗保险，并及时缴费，得5分；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（2）80%及以上在职员工参加医疗保险，并及时缴费，得</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8</w:t>
            </w:r>
            <w:r>
              <w:rPr>
                <w:rFonts w:hint="eastAsia" w:ascii="仿宋" w:hAnsi="仿宋" w:eastAsia="仿宋" w:cs="仿宋"/>
                <w:color w:val="000000" w:themeColor="text1"/>
                <w:sz w:val="24"/>
                <w:szCs w:val="24"/>
              </w:rPr>
              <w:t>0%以下在职员工参加医疗保险的，不得纳入医保定点。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对药品、医用的材料的采购、验收、销售等环节、实行计算机实时管理情况</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（1）已实时录入全部环节数据并可查询3个月以上时间的真实数据，得3分；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（2）已实时录入全部环节数据并可查询1至3个月以内的真实数据，得2分；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（3）已实时录入全部环节数据并可查询1个月以下时间的真实数据，得1分；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（4）分别抽查20个药品和医用材料，进、销、存账物不符的，每发现一个品种扣0.5分，累计计算，最多扣3分。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财务管理制度</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有健全和完善财务管理制度，对医疗机构财务活动进行全面管理，建立监督内控机制的，得2分。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财务人员</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根据医疗机构规模，配备相应的会计、出纳人员，得2分。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27</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财务结算</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财务票据齐全、合法，得2分。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信息系统（6分）</w:t>
            </w: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计算机配备使用</w:t>
            </w:r>
          </w:p>
        </w:tc>
        <w:tc>
          <w:tcPr>
            <w:tcW w:w="2269"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按照医疗保险业务要求配置必要的电脑设备（包括POS机）和熟练的操作人员的，得2分。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29</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医疗信息化</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对医疗服务过程实行全流程信息化管理的得2分。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30</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联网结算能力</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kern w:val="0"/>
                <w:sz w:val="24"/>
                <w:szCs w:val="24"/>
              </w:rPr>
              <w:t>承诺在签订协议之前，实现与</w:t>
            </w:r>
            <w:r>
              <w:rPr>
                <w:rFonts w:hint="eastAsia" w:ascii="仿宋" w:hAnsi="仿宋" w:eastAsia="仿宋" w:cs="仿宋"/>
                <w:color w:val="000000" w:themeColor="text1"/>
                <w:kern w:val="0"/>
                <w:sz w:val="24"/>
                <w:szCs w:val="24"/>
                <w:lang w:eastAsia="zh-CN"/>
              </w:rPr>
              <w:t>医保信息平台</w:t>
            </w:r>
            <w:r>
              <w:rPr>
                <w:rFonts w:hint="eastAsia" w:ascii="仿宋" w:hAnsi="仿宋" w:eastAsia="仿宋" w:cs="仿宋"/>
                <w:color w:val="000000" w:themeColor="text1"/>
                <w:kern w:val="0"/>
                <w:sz w:val="24"/>
                <w:szCs w:val="24"/>
              </w:rPr>
              <w:t>联网对接，达到刷卡结算的</w:t>
            </w:r>
            <w:r>
              <w:rPr>
                <w:rFonts w:hint="eastAsia" w:ascii="仿宋" w:hAnsi="仿宋" w:eastAsia="仿宋" w:cs="仿宋"/>
                <w:color w:val="000000" w:themeColor="text1"/>
                <w:sz w:val="24"/>
                <w:szCs w:val="24"/>
              </w:rPr>
              <w:t>，得2分。签订协议后一个月内未完成的，取消定点资格。</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w:t>
            </w:r>
          </w:p>
        </w:tc>
        <w:tc>
          <w:tcPr>
            <w:tcW w:w="41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社会评价（9分）</w:t>
            </w: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主流媒体负面报导</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w:t>
            </w:r>
            <w:r>
              <w:rPr>
                <w:rFonts w:hint="eastAsia" w:ascii="仿宋" w:hAnsi="仿宋" w:eastAsia="仿宋" w:cs="仿宋"/>
                <w:color w:val="000000" w:themeColor="text1"/>
                <w:sz w:val="24"/>
                <w:szCs w:val="24"/>
                <w:lang w:eastAsia="zh-CN"/>
              </w:rPr>
              <w:t>两</w:t>
            </w:r>
            <w:r>
              <w:rPr>
                <w:rFonts w:hint="eastAsia" w:ascii="仿宋" w:hAnsi="仿宋" w:eastAsia="仿宋" w:cs="仿宋"/>
                <w:color w:val="000000" w:themeColor="text1"/>
                <w:sz w:val="24"/>
                <w:szCs w:val="24"/>
              </w:rPr>
              <w:t>年内无媒体负面报导的，得5分；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（2）医疗机构提交定点申请前两年内被媒体负面报导的，扣5分；社会影响恶劣及负面报导两次以上的，不得纳入医保定点。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医疗服务不良记录</w:t>
            </w: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（1）医疗机构提交定点申请前两年内无医疗服务不良记录的，得2分；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rPr>
            </w:pP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continue"/>
            <w:vAlign w:val="center"/>
          </w:tcPr>
          <w:p>
            <w:pPr>
              <w:jc w:val="center"/>
              <w:rPr>
                <w:rFonts w:hint="eastAsia" w:ascii="仿宋" w:hAnsi="仿宋" w:eastAsia="仿宋" w:cs="仿宋"/>
                <w:b/>
                <w:color w:val="000000" w:themeColor="text1"/>
                <w:sz w:val="24"/>
                <w:szCs w:val="24"/>
              </w:rPr>
            </w:pP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（2）医疗机构提交定点申请前两年内被医疗保障、卫健、审计、市场监管等部门处罚一次的扣5分；情节严重的或查处两次以上的不得纳入医保定点。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w:t>
            </w:r>
          </w:p>
        </w:tc>
        <w:tc>
          <w:tcPr>
            <w:tcW w:w="416" w:type="pct"/>
            <w:vMerge w:val="continue"/>
            <w:vAlign w:val="center"/>
          </w:tcPr>
          <w:p>
            <w:pPr>
              <w:jc w:val="center"/>
              <w:rPr>
                <w:rFonts w:hint="eastAsia" w:ascii="仿宋" w:hAnsi="仿宋" w:eastAsia="仿宋" w:cs="仿宋"/>
                <w:b/>
                <w:color w:val="000000" w:themeColor="text1"/>
                <w:sz w:val="24"/>
                <w:szCs w:val="24"/>
              </w:rPr>
            </w:pPr>
          </w:p>
        </w:tc>
        <w:tc>
          <w:tcPr>
            <w:tcW w:w="417" w:type="pct"/>
            <w:vMerge w:val="restart"/>
            <w:vAlign w:val="center"/>
          </w:tcPr>
          <w:p>
            <w:pPr>
              <w:jc w:val="center"/>
              <w:rPr>
                <w:rFonts w:hint="eastAsia" w:ascii="仿宋" w:hAnsi="仿宋" w:eastAsia="仿宋" w:cs="仿宋"/>
                <w:b w:val="0"/>
                <w:bCs w:val="0"/>
                <w:color w:val="000000" w:themeColor="text1"/>
                <w:sz w:val="24"/>
                <w:szCs w:val="24"/>
              </w:rPr>
            </w:pPr>
            <w:r>
              <w:rPr>
                <w:rFonts w:hint="eastAsia" w:ascii="仿宋" w:hAnsi="仿宋" w:eastAsia="仿宋" w:cs="仿宋"/>
                <w:b w:val="0"/>
                <w:bCs w:val="0"/>
                <w:color w:val="000000" w:themeColor="text1"/>
                <w:sz w:val="24"/>
                <w:szCs w:val="24"/>
              </w:rPr>
              <w:t>社会诚信体系建设</w:t>
            </w:r>
          </w:p>
        </w:tc>
        <w:tc>
          <w:tcPr>
            <w:tcW w:w="2269" w:type="pct"/>
            <w:vAlign w:val="center"/>
          </w:tcPr>
          <w:p>
            <w:pPr>
              <w:numPr>
                <w:ilvl w:val="0"/>
                <w:numId w:val="2"/>
              </w:numPr>
              <w:spacing w:line="220" w:lineRule="exact"/>
              <w:rPr>
                <w:rFonts w:hint="eastAsia" w:ascii="仿宋" w:hAnsi="仿宋" w:eastAsia="仿宋" w:cs="仿宋"/>
                <w:b w:val="0"/>
                <w:bCs w:val="0"/>
                <w:color w:val="000000" w:themeColor="text1"/>
                <w:sz w:val="24"/>
                <w:szCs w:val="24"/>
              </w:rPr>
            </w:pPr>
            <w:r>
              <w:rPr>
                <w:rFonts w:hint="eastAsia" w:ascii="仿宋" w:hAnsi="仿宋" w:eastAsia="仿宋" w:cs="仿宋"/>
                <w:b w:val="0"/>
                <w:bCs w:val="0"/>
                <w:color w:val="000000" w:themeColor="text1"/>
                <w:sz w:val="24"/>
                <w:szCs w:val="24"/>
              </w:rPr>
              <w:t>机构及法人代表、负责人近两年内没有被纳入社会诚信体系建设“黑名单”，且无违法犯罪纪录的，得2分。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rPr>
            </w:pPr>
          </w:p>
        </w:tc>
        <w:tc>
          <w:tcPr>
            <w:tcW w:w="416" w:type="pct"/>
            <w:vMerge w:val="continue"/>
            <w:vAlign w:val="center"/>
          </w:tcPr>
          <w:p>
            <w:pPr>
              <w:jc w:val="left"/>
              <w:rPr>
                <w:rFonts w:hint="eastAsia" w:ascii="仿宋" w:hAnsi="仿宋" w:eastAsia="仿宋" w:cs="仿宋"/>
                <w:b/>
                <w:color w:val="000000" w:themeColor="text1"/>
                <w:sz w:val="24"/>
                <w:szCs w:val="24"/>
              </w:rPr>
            </w:pPr>
          </w:p>
        </w:tc>
        <w:tc>
          <w:tcPr>
            <w:tcW w:w="417" w:type="pct"/>
            <w:vMerge w:val="continue"/>
            <w:vAlign w:val="center"/>
          </w:tcPr>
          <w:p>
            <w:pPr>
              <w:jc w:val="left"/>
              <w:rPr>
                <w:rFonts w:hint="eastAsia" w:ascii="仿宋" w:hAnsi="仿宋" w:eastAsia="仿宋" w:cs="仿宋"/>
                <w:b/>
                <w:color w:val="000000" w:themeColor="text1"/>
                <w:sz w:val="24"/>
                <w:szCs w:val="24"/>
              </w:rPr>
            </w:pPr>
          </w:p>
        </w:tc>
        <w:tc>
          <w:tcPr>
            <w:tcW w:w="2269"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（2）机构及法人代表、负责人近两年内被纳入社会诚信体系建设“黑名单”或有违法犯罪纪录的，不得纳入定点。</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34</w:t>
            </w:r>
          </w:p>
        </w:tc>
        <w:tc>
          <w:tcPr>
            <w:tcW w:w="416"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加分项目</w:t>
            </w:r>
          </w:p>
        </w:tc>
        <w:tc>
          <w:tcPr>
            <w:tcW w:w="417" w:type="pct"/>
            <w:vAlign w:val="center"/>
          </w:tcPr>
          <w:p>
            <w:pPr>
              <w:jc w:val="left"/>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荣誉</w:t>
            </w:r>
          </w:p>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表彰</w:t>
            </w:r>
          </w:p>
        </w:tc>
        <w:tc>
          <w:tcPr>
            <w:tcW w:w="2269"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机构或法人在公共卫生事件、防汛抗旱等自然灾害事故中，服从党委、政府及相关行政主管部门调度和安排的，获市级以上表彰得3分，县级表彰得2分，乡镇表彰得1分。</w:t>
            </w:r>
          </w:p>
        </w:tc>
        <w:tc>
          <w:tcPr>
            <w:tcW w:w="505" w:type="pct"/>
            <w:vAlign w:val="center"/>
          </w:tcPr>
          <w:p>
            <w:pPr>
              <w:jc w:val="center"/>
              <w:rPr>
                <w:rFonts w:hint="eastAsia" w:ascii="仿宋" w:hAnsi="仿宋" w:eastAsia="仿宋" w:cs="仿宋"/>
                <w:b/>
                <w:color w:val="000000" w:themeColor="text1"/>
                <w:sz w:val="24"/>
                <w:szCs w:val="24"/>
              </w:rPr>
            </w:pPr>
          </w:p>
        </w:tc>
        <w:tc>
          <w:tcPr>
            <w:tcW w:w="547" w:type="pct"/>
            <w:vAlign w:val="center"/>
          </w:tcPr>
          <w:p>
            <w:pPr>
              <w:jc w:val="center"/>
              <w:rPr>
                <w:rFonts w:hint="eastAsia" w:ascii="仿宋" w:hAnsi="仿宋" w:eastAsia="仿宋" w:cs="仿宋"/>
                <w:b/>
                <w:color w:val="000000" w:themeColor="text1"/>
                <w:sz w:val="24"/>
                <w:szCs w:val="24"/>
              </w:rPr>
            </w:pPr>
          </w:p>
        </w:tc>
        <w:tc>
          <w:tcPr>
            <w:tcW w:w="518" w:type="pct"/>
            <w:vAlign w:val="center"/>
          </w:tcPr>
          <w:p>
            <w:pPr>
              <w:jc w:val="center"/>
              <w:rPr>
                <w:rFonts w:hint="eastAsia" w:ascii="仿宋" w:hAnsi="仿宋" w:eastAsia="仿宋" w:cs="仿宋"/>
                <w:b/>
                <w:color w:val="000000" w:themeColor="text1"/>
                <w:sz w:val="24"/>
                <w:szCs w:val="24"/>
              </w:rPr>
            </w:pPr>
          </w:p>
        </w:tc>
      </w:tr>
    </w:tbl>
    <w:p>
      <w:pPr>
        <w:rPr>
          <w:color w:val="000000" w:themeColor="text1"/>
          <w:sz w:val="24"/>
          <w:szCs w:val="24"/>
        </w:rPr>
      </w:pPr>
    </w:p>
    <w:p>
      <w:pPr>
        <w:rPr>
          <w:color w:val="000000" w:themeColor="text1"/>
          <w:sz w:val="24"/>
          <w:szCs w:val="24"/>
        </w:rPr>
      </w:pPr>
      <w:r>
        <w:rPr>
          <w:rFonts w:hint="eastAsia"/>
          <w:color w:val="000000" w:themeColor="text1"/>
          <w:sz w:val="24"/>
          <w:szCs w:val="24"/>
        </w:rPr>
        <w:t>备注：第10、13、18项指标仅考核住院医疗机构，共10分。</w:t>
      </w:r>
    </w:p>
    <w:p>
      <w:pPr>
        <w:ind w:firstLine="883" w:firstLineChars="200"/>
        <w:jc w:val="both"/>
        <w:rPr>
          <w:rFonts w:hint="eastAsia" w:ascii="楷体" w:hAnsi="楷体" w:eastAsia="楷体"/>
          <w:b/>
          <w:color w:val="000000" w:themeColor="text1"/>
          <w:sz w:val="44"/>
          <w:szCs w:val="44"/>
        </w:rPr>
      </w:pPr>
    </w:p>
    <w:p>
      <w:pPr>
        <w:ind w:firstLine="883" w:firstLineChars="200"/>
        <w:jc w:val="both"/>
        <w:rPr>
          <w:rFonts w:hint="eastAsia" w:ascii="楷体" w:hAnsi="楷体" w:eastAsia="楷体"/>
          <w:b/>
          <w:color w:val="000000" w:themeColor="text1"/>
          <w:sz w:val="44"/>
          <w:szCs w:val="44"/>
        </w:rPr>
      </w:pPr>
    </w:p>
    <w:p>
      <w:pPr>
        <w:ind w:firstLine="883" w:firstLineChars="200"/>
        <w:jc w:val="both"/>
        <w:rPr>
          <w:rFonts w:ascii="楷体" w:hAnsi="楷体" w:eastAsia="楷体"/>
          <w:b/>
          <w:color w:val="000000" w:themeColor="text1"/>
          <w:sz w:val="44"/>
          <w:szCs w:val="44"/>
        </w:rPr>
      </w:pPr>
      <w:r>
        <w:rPr>
          <w:rFonts w:hint="eastAsia" w:ascii="楷体" w:hAnsi="楷体" w:eastAsia="楷体"/>
          <w:b/>
          <w:color w:val="000000" w:themeColor="text1"/>
          <w:sz w:val="44"/>
          <w:szCs w:val="44"/>
        </w:rPr>
        <w:t>新余市基本医疗保险定点医疗机构综合评估表</w:t>
      </w:r>
    </w:p>
    <w:p>
      <w:pPr>
        <w:jc w:val="left"/>
        <w:rPr>
          <w:color w:val="000000" w:themeColor="text1"/>
        </w:rPr>
      </w:pPr>
      <w:r>
        <w:rPr>
          <w:rFonts w:hint="eastAsia"/>
          <w:color w:val="000000" w:themeColor="text1"/>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序号</w:t>
            </w:r>
          </w:p>
        </w:tc>
        <w:tc>
          <w:tcPr>
            <w:tcW w:w="847" w:type="pct"/>
            <w:gridSpan w:val="2"/>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评估项目</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评估标准</w:t>
            </w:r>
          </w:p>
        </w:tc>
        <w:tc>
          <w:tcPr>
            <w:tcW w:w="520"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得分</w:t>
            </w:r>
          </w:p>
        </w:tc>
        <w:tc>
          <w:tcPr>
            <w:tcW w:w="562"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自评得分</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说明</w:t>
            </w:r>
          </w:p>
        </w:tc>
        <w:tc>
          <w:tcPr>
            <w:tcW w:w="53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847" w:type="pct"/>
            <w:gridSpan w:val="2"/>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门诊医疗机构（专科，含个体诊所、村卫生室）</w:t>
            </w:r>
          </w:p>
        </w:tc>
        <w:tc>
          <w:tcPr>
            <w:tcW w:w="520" w:type="pct"/>
            <w:vMerge w:val="continue"/>
            <w:vAlign w:val="center"/>
          </w:tcPr>
          <w:p>
            <w:pPr>
              <w:jc w:val="center"/>
              <w:rPr>
                <w:rFonts w:hint="eastAsia" w:ascii="仿宋" w:hAnsi="仿宋" w:eastAsia="仿宋" w:cs="仿宋"/>
                <w:b/>
                <w:color w:val="000000" w:themeColor="text1"/>
                <w:sz w:val="24"/>
                <w:szCs w:val="24"/>
              </w:rPr>
            </w:pPr>
          </w:p>
        </w:tc>
        <w:tc>
          <w:tcPr>
            <w:tcW w:w="562" w:type="pct"/>
            <w:vMerge w:val="continue"/>
            <w:vAlign w:val="center"/>
          </w:tcPr>
          <w:p>
            <w:pPr>
              <w:jc w:val="center"/>
              <w:rPr>
                <w:rFonts w:hint="eastAsia" w:ascii="仿宋" w:hAnsi="仿宋" w:eastAsia="仿宋" w:cs="仿宋"/>
                <w:b/>
                <w:color w:val="000000" w:themeColor="text1"/>
                <w:sz w:val="24"/>
                <w:szCs w:val="24"/>
              </w:rPr>
            </w:pPr>
          </w:p>
        </w:tc>
        <w:tc>
          <w:tcPr>
            <w:tcW w:w="533" w:type="pct"/>
            <w:vMerge w:val="continue"/>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规划布局（12分）</w:t>
            </w:r>
          </w:p>
        </w:tc>
        <w:tc>
          <w:tcPr>
            <w:tcW w:w="424"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开业</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时间</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（1）3年（含）及以上，得5分；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（2）2年（含）至3年以内的得3分；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（3）1年（含）至2年以内，得2分；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rPr>
            </w:pPr>
          </w:p>
        </w:tc>
        <w:tc>
          <w:tcPr>
            <w:tcW w:w="423" w:type="pct"/>
            <w:vMerge w:val="continue"/>
            <w:vAlign w:val="center"/>
          </w:tcPr>
          <w:p>
            <w:pPr>
              <w:jc w:val="left"/>
              <w:rPr>
                <w:rFonts w:hint="eastAsia" w:ascii="仿宋" w:hAnsi="仿宋" w:eastAsia="仿宋" w:cs="仿宋"/>
                <w:b/>
                <w:color w:val="000000" w:themeColor="text1"/>
                <w:sz w:val="24"/>
                <w:szCs w:val="24"/>
              </w:rPr>
            </w:pPr>
          </w:p>
        </w:tc>
        <w:tc>
          <w:tcPr>
            <w:tcW w:w="424" w:type="pct"/>
            <w:vMerge w:val="continue"/>
            <w:vAlign w:val="center"/>
          </w:tcPr>
          <w:p>
            <w:pPr>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（4）3个月（含）至1年以内得1分。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营业场所使用时间</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（1）自有房产证或不动产登记证的，得5分；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（2）房屋租赁合同在5年（含）以上的，得4分；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（3）房屋租赁合同在3年（含）以上的得3分。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（4）房屋租赁合同在2年（含）以上的得2分。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（5）房屋租赁合同在2年以内的，得1分。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（1）门诊医疗机构300米（含）以上，得2分；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（2）门诊医疗机构300米以下，得1分。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服务能力（住院23分、门诊19分）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临床科室数量</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（1）3个（含）以上，得3分；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（2）2个，得2分；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（3）1个，得1分。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5</w:t>
            </w:r>
          </w:p>
          <w:p>
            <w:pPr>
              <w:jc w:val="center"/>
              <w:rPr>
                <w:rFonts w:hint="eastAsia" w:ascii="仿宋" w:hAnsi="仿宋" w:eastAsia="仿宋" w:cs="仿宋"/>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医保药品种数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（1）100种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tcBorders/>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（2）51至100种，得2分；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tcBorders/>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（3）50种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tcBorders/>
            <w:vAlign w:val="center"/>
          </w:tcPr>
          <w:p>
            <w:pPr>
              <w:jc w:val="center"/>
              <w:rPr>
                <w:rFonts w:hint="eastAsia" w:ascii="仿宋" w:hAnsi="仿宋" w:eastAsia="仿宋" w:cs="仿宋"/>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color w:val="000000" w:themeColor="text1"/>
                <w:sz w:val="24"/>
                <w:szCs w:val="24"/>
              </w:rPr>
            </w:pPr>
          </w:p>
        </w:tc>
        <w:tc>
          <w:tcPr>
            <w:tcW w:w="2282" w:type="pct"/>
            <w:vAlign w:val="center"/>
          </w:tcPr>
          <w:p>
            <w:pPr>
              <w:jc w:val="left"/>
              <w:rPr>
                <w:rFonts w:hint="default" w:ascii="仿宋" w:hAnsi="仿宋" w:eastAsia="仿宋" w:cs="仿宋"/>
                <w:color w:val="000000" w:themeColor="text1"/>
                <w:sz w:val="24"/>
                <w:szCs w:val="24"/>
                <w:lang w:val="en-US" w:eastAsia="zh-CN"/>
              </w:rPr>
            </w:pPr>
            <w:r>
              <w:rPr>
                <w:rFonts w:hint="eastAsia" w:ascii="宋体" w:hAnsi="宋体"/>
                <w:color w:val="FF0000"/>
                <w:lang w:val="en-US" w:eastAsia="zh-CN"/>
              </w:rPr>
              <w:t>口腔专科诊所的医保药品品种数评分标准为：（1）50种（含）以上，得3分；（2)21至50种，得2分；(3)10种（含）以内，得1分。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诊疗项目种数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（2）21种至50种，得2分；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（3）20种</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lang w:eastAsia="zh-CN"/>
              </w:rPr>
              <w:t>第一</w:t>
            </w:r>
            <w:r>
              <w:rPr>
                <w:rFonts w:hint="eastAsia" w:ascii="仿宋" w:hAnsi="仿宋" w:eastAsia="仿宋" w:cs="仿宋"/>
                <w:color w:val="000000" w:themeColor="text1"/>
                <w:sz w:val="24"/>
                <w:szCs w:val="24"/>
              </w:rPr>
              <w:t>注册</w:t>
            </w:r>
            <w:r>
              <w:rPr>
                <w:rFonts w:hint="eastAsia" w:ascii="仿宋" w:hAnsi="仿宋" w:eastAsia="仿宋" w:cs="仿宋"/>
                <w:color w:val="000000" w:themeColor="text1"/>
                <w:sz w:val="24"/>
                <w:szCs w:val="24"/>
                <w:lang w:eastAsia="zh-CN"/>
              </w:rPr>
              <w:t>地</w:t>
            </w:r>
            <w:r>
              <w:rPr>
                <w:rFonts w:hint="eastAsia" w:ascii="仿宋" w:hAnsi="仿宋" w:eastAsia="仿宋" w:cs="仿宋"/>
                <w:color w:val="000000" w:themeColor="text1"/>
                <w:sz w:val="24"/>
                <w:szCs w:val="24"/>
              </w:rPr>
              <w:t>在本医疗机构、在本医疗机构专职上班且在本机构参加城镇职工医疗保险的执业医师人数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（1）3人（含）及以上，得3分；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（2）2人</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（3）1人</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注册在本医疗机构、在本医疗机构专职上班</w:t>
            </w:r>
            <w:r>
              <w:rPr>
                <w:rFonts w:hint="eastAsia" w:ascii="仿宋" w:hAnsi="仿宋" w:eastAsia="仿宋" w:cs="仿宋"/>
                <w:color w:val="000000" w:themeColor="text1"/>
                <w:kern w:val="0"/>
                <w:sz w:val="24"/>
                <w:szCs w:val="24"/>
              </w:rPr>
              <w:t>且在本机构参加城镇职工医疗保险的执</w:t>
            </w:r>
            <w:r>
              <w:rPr>
                <w:rFonts w:hint="eastAsia" w:ascii="仿宋" w:hAnsi="仿宋" w:eastAsia="仿宋" w:cs="仿宋"/>
                <w:color w:val="000000" w:themeColor="text1"/>
                <w:sz w:val="24"/>
                <w:szCs w:val="24"/>
              </w:rPr>
              <w:t>业药师(或药师)人数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不作考核，得3分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医疗业务用房面积</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（1）300平米（含）以上，得4分；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（2）201平米至300平米，得3分；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（3）101平米至200平米，得2分；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（4）50平米（含）至100平米，得1分。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核定病床数量（门诊医疗机构不评估）</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价格收费（住院21分、门诊17分）</w:t>
            </w:r>
          </w:p>
        </w:tc>
        <w:tc>
          <w:tcPr>
            <w:tcW w:w="424" w:type="pct"/>
            <w:vMerge w:val="restart"/>
            <w:vAlign w:val="center"/>
          </w:tcPr>
          <w:p>
            <w:pPr>
              <w:jc w:val="center"/>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药品</w:t>
            </w:r>
          </w:p>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（1）随机抽查的10个药品价格均未超过</w:t>
            </w:r>
            <w:r>
              <w:rPr>
                <w:rFonts w:hint="eastAsia" w:ascii="仿宋" w:hAnsi="仿宋" w:eastAsia="仿宋" w:cs="仿宋"/>
                <w:color w:val="000000" w:themeColor="text1"/>
                <w:sz w:val="24"/>
                <w:szCs w:val="24"/>
                <w:lang w:eastAsia="zh-CN"/>
              </w:rPr>
              <w:t>国家医保信息平台药品招标采购子系统</w:t>
            </w:r>
            <w:r>
              <w:rPr>
                <w:rFonts w:hint="eastAsia" w:ascii="仿宋" w:hAnsi="仿宋" w:eastAsia="仿宋" w:cs="仿宋"/>
                <w:color w:val="000000" w:themeColor="text1"/>
                <w:sz w:val="24"/>
                <w:szCs w:val="24"/>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（2）随机抽查的药品价格超过超过</w:t>
            </w:r>
            <w:r>
              <w:rPr>
                <w:rFonts w:hint="eastAsia" w:ascii="仿宋" w:hAnsi="仿宋" w:eastAsia="仿宋" w:cs="仿宋"/>
                <w:color w:val="000000" w:themeColor="text1"/>
                <w:sz w:val="24"/>
                <w:szCs w:val="24"/>
                <w:lang w:eastAsia="zh-CN"/>
              </w:rPr>
              <w:t>国家医保信息平台药品招标采购子系统</w:t>
            </w:r>
            <w:r>
              <w:rPr>
                <w:rFonts w:hint="eastAsia" w:ascii="仿宋" w:hAnsi="仿宋" w:eastAsia="仿宋" w:cs="仿宋"/>
                <w:color w:val="000000" w:themeColor="text1"/>
                <w:sz w:val="24"/>
                <w:szCs w:val="24"/>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检查治疗收费</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次均住院费用（门诊医疗机构不评估）</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次均门诊费用</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以下得4分</w:t>
            </w:r>
            <w:r>
              <w:rPr>
                <w:rFonts w:hint="eastAsia" w:ascii="仿宋" w:hAnsi="仿宋" w:eastAsia="仿宋" w:cs="仿宋"/>
                <w:color w:val="000000" w:themeColor="text1"/>
                <w:sz w:val="24"/>
                <w:szCs w:val="24"/>
                <w:lang w:eastAsia="zh-CN"/>
              </w:rPr>
              <w:t>；</w:t>
            </w:r>
            <w:r>
              <w:rPr>
                <w:rFonts w:hint="eastAsia" w:ascii="宋体" w:hAnsi="宋体"/>
                <w:color w:val="000000" w:themeColor="text1"/>
              </w:rPr>
              <w:t>8</w:t>
            </w:r>
            <w:r>
              <w:rPr>
                <w:rFonts w:hint="eastAsia" w:ascii="宋体" w:hAnsi="宋体"/>
                <w:color w:val="000000" w:themeColor="text1"/>
                <w:lang w:val="en-US" w:eastAsia="zh-CN"/>
              </w:rPr>
              <w:t>4</w:t>
            </w:r>
            <w:r>
              <w:rPr>
                <w:rFonts w:hint="eastAsia" w:ascii="宋体" w:hAnsi="宋体"/>
                <w:color w:val="000000" w:themeColor="text1"/>
              </w:rPr>
              <w:t>%</w:t>
            </w:r>
            <w:r>
              <w:rPr>
                <w:rFonts w:hint="eastAsia" w:ascii="仿宋" w:hAnsi="仿宋" w:eastAsia="仿宋" w:cs="仿宋"/>
                <w:color w:val="000000" w:themeColor="text1"/>
                <w:sz w:val="24"/>
                <w:szCs w:val="24"/>
              </w:rPr>
              <w:t>-89%的得3分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90%-94%的得2分；95%-100%的得1分。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费用清单</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价格信息公示</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17</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内部管理（住院15分、门诊13分）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门诊患者抗菌药物使用率</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抽查10份门诊病历，抗菌药物使用率在50%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以下的得2分；抗菌药物使用率在50%至60%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的得1分，60%以上不得分。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住院患者大型检查阳性率（门诊医疗机构不评估）</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不参与考核，不得分。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医疗保险管理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环境卫生管理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医疗纠纷调解</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公布投诉电话、信箱，畅通投诉渠道，及时受理、处置患者投诉的，得2分。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便民导诊服务</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设立指示牌、就医流程、医生姓名和联系方式，方便群众看病就医的，得2分。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财务管理（14分）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（2）80%及以上在职员工参加医疗保险，并及时缴费，得</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8</w:t>
            </w:r>
            <w:r>
              <w:rPr>
                <w:rFonts w:hint="eastAsia" w:ascii="仿宋" w:hAnsi="仿宋" w:eastAsia="仿宋" w:cs="仿宋"/>
                <w:color w:val="000000" w:themeColor="text1"/>
                <w:sz w:val="24"/>
                <w:szCs w:val="24"/>
              </w:rPr>
              <w:t>0%以下在职员工参加医疗保险的，不得纳入医保定点。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财务管理制度</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财务人员</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根据医疗机构规模，配备相应的会计、出纳人员，得2分。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财务结算</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财务票据齐全、合法，得2分。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信息系统（6分）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计算机配备使用</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医疗信息化</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联网结算能力</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kern w:val="0"/>
                <w:sz w:val="24"/>
                <w:szCs w:val="24"/>
              </w:rPr>
              <w:t>承诺在签订协议之前，实现与</w:t>
            </w:r>
            <w:r>
              <w:rPr>
                <w:rFonts w:hint="eastAsia" w:ascii="仿宋" w:hAnsi="仿宋" w:eastAsia="仿宋" w:cs="仿宋"/>
                <w:color w:val="000000" w:themeColor="text1"/>
                <w:kern w:val="0"/>
                <w:sz w:val="24"/>
                <w:szCs w:val="24"/>
                <w:lang w:eastAsia="zh-CN"/>
              </w:rPr>
              <w:t>医保信息平台</w:t>
            </w:r>
            <w:r>
              <w:rPr>
                <w:rFonts w:hint="eastAsia" w:ascii="仿宋" w:hAnsi="仿宋" w:eastAsia="仿宋" w:cs="仿宋"/>
                <w:color w:val="000000" w:themeColor="text1"/>
                <w:kern w:val="0"/>
                <w:sz w:val="24"/>
                <w:szCs w:val="24"/>
              </w:rPr>
              <w:t>联网对接，达到刷卡结算的</w:t>
            </w:r>
            <w:r>
              <w:rPr>
                <w:rFonts w:hint="eastAsia" w:ascii="仿宋" w:hAnsi="仿宋" w:eastAsia="仿宋" w:cs="仿宋"/>
                <w:color w:val="000000" w:themeColor="text1"/>
                <w:sz w:val="24"/>
                <w:szCs w:val="24"/>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社会评价（9分）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主流媒体负面报导</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w:t>
            </w:r>
            <w:r>
              <w:rPr>
                <w:rFonts w:hint="eastAsia" w:ascii="仿宋" w:hAnsi="仿宋" w:eastAsia="仿宋" w:cs="仿宋"/>
                <w:color w:val="000000" w:themeColor="text1"/>
                <w:sz w:val="24"/>
                <w:szCs w:val="24"/>
                <w:lang w:eastAsia="zh-CN"/>
              </w:rPr>
              <w:t>两</w:t>
            </w:r>
            <w:r>
              <w:rPr>
                <w:rFonts w:hint="eastAsia" w:ascii="仿宋" w:hAnsi="仿宋" w:eastAsia="仿宋" w:cs="仿宋"/>
                <w:color w:val="000000" w:themeColor="text1"/>
                <w:sz w:val="24"/>
                <w:szCs w:val="24"/>
              </w:rPr>
              <w:t>年内无媒体负面报导的，得5分；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医疗服务不良记录</w:t>
            </w: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（2）医疗机构提交定点申请前两年内被医疗保障、卫健、审计、市场监管等部门处罚一次的扣5分；情节严重的或查处两次以上的不得纳入医保定点。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社会诚信体系建设</w:t>
            </w:r>
          </w:p>
        </w:tc>
        <w:tc>
          <w:tcPr>
            <w:tcW w:w="2282" w:type="pct"/>
            <w:vAlign w:val="center"/>
          </w:tcPr>
          <w:p>
            <w:pPr>
              <w:numPr>
                <w:ilvl w:val="0"/>
                <w:numId w:val="3"/>
              </w:num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rPr>
            </w:pPr>
          </w:p>
        </w:tc>
        <w:tc>
          <w:tcPr>
            <w:tcW w:w="423" w:type="pct"/>
            <w:vMerge w:val="continue"/>
            <w:vAlign w:val="center"/>
          </w:tcPr>
          <w:p>
            <w:pPr>
              <w:jc w:val="left"/>
              <w:rPr>
                <w:rFonts w:hint="eastAsia" w:ascii="仿宋" w:hAnsi="仿宋" w:eastAsia="仿宋" w:cs="仿宋"/>
                <w:b/>
                <w:color w:val="000000" w:themeColor="text1"/>
                <w:sz w:val="24"/>
                <w:szCs w:val="24"/>
              </w:rPr>
            </w:pPr>
          </w:p>
        </w:tc>
        <w:tc>
          <w:tcPr>
            <w:tcW w:w="424" w:type="pct"/>
            <w:vMerge w:val="continue"/>
            <w:vAlign w:val="center"/>
          </w:tcPr>
          <w:p>
            <w:pPr>
              <w:jc w:val="left"/>
              <w:rPr>
                <w:rFonts w:hint="eastAsia" w:ascii="仿宋" w:hAnsi="仿宋" w:eastAsia="仿宋" w:cs="仿宋"/>
                <w:b/>
                <w:color w:val="000000" w:themeColor="text1"/>
                <w:sz w:val="24"/>
                <w:szCs w:val="24"/>
              </w:rPr>
            </w:pP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34</w:t>
            </w:r>
          </w:p>
        </w:tc>
        <w:tc>
          <w:tcPr>
            <w:tcW w:w="423"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加分项目</w:t>
            </w:r>
          </w:p>
        </w:tc>
        <w:tc>
          <w:tcPr>
            <w:tcW w:w="424" w:type="pct"/>
            <w:vAlign w:val="center"/>
          </w:tcPr>
          <w:p>
            <w:pPr>
              <w:jc w:val="left"/>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荣誉</w:t>
            </w:r>
          </w:p>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表彰</w:t>
            </w:r>
          </w:p>
        </w:tc>
        <w:tc>
          <w:tcPr>
            <w:tcW w:w="2282" w:type="pct"/>
            <w:vAlign w:val="center"/>
          </w:tcPr>
          <w:p>
            <w:pPr>
              <w:spacing w:line="240" w:lineRule="exact"/>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机构或法人在公共卫生事件、防汛抗旱等自然灾害事故中，服从党委、政府及相关行政主管部门调度和安排的，获市级以上表彰得3分，县级表彰得2分，乡镇表彰得1分。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bl>
    <w:p>
      <w:pPr>
        <w:rPr>
          <w:color w:val="000000" w:themeColor="text1"/>
          <w:sz w:val="24"/>
          <w:szCs w:val="24"/>
        </w:rPr>
      </w:pPr>
    </w:p>
    <w:p>
      <w:pPr>
        <w:rPr>
          <w:rFonts w:hint="eastAsia"/>
          <w:color w:val="000000" w:themeColor="text1"/>
          <w:sz w:val="24"/>
          <w:szCs w:val="24"/>
        </w:rPr>
      </w:pPr>
      <w:r>
        <w:rPr>
          <w:rFonts w:hint="eastAsia"/>
          <w:color w:val="000000" w:themeColor="text1"/>
          <w:sz w:val="24"/>
          <w:szCs w:val="24"/>
        </w:rPr>
        <w:t>备注：第10、13、18项指标仅考核住院医疗机构，共10分。</w:t>
      </w: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hint="eastAsia" w:ascii="楷体" w:hAnsi="楷体" w:eastAsia="楷体"/>
          <w:b/>
          <w:color w:val="000000" w:themeColor="text1"/>
          <w:sz w:val="44"/>
          <w:szCs w:val="44"/>
        </w:rPr>
      </w:pPr>
    </w:p>
    <w:p>
      <w:pPr>
        <w:ind w:firstLine="442" w:firstLineChars="100"/>
        <w:jc w:val="both"/>
        <w:rPr>
          <w:rFonts w:ascii="楷体" w:hAnsi="楷体" w:eastAsia="楷体"/>
          <w:b/>
          <w:color w:val="000000" w:themeColor="text1"/>
          <w:sz w:val="44"/>
          <w:szCs w:val="44"/>
        </w:rPr>
      </w:pPr>
      <w:r>
        <w:rPr>
          <w:rFonts w:hint="eastAsia" w:ascii="楷体" w:hAnsi="楷体" w:eastAsia="楷体"/>
          <w:b/>
          <w:color w:val="000000" w:themeColor="text1"/>
          <w:sz w:val="44"/>
          <w:szCs w:val="44"/>
        </w:rPr>
        <w:t>新余市基本医疗保险基层医疗卫生机构综合评估表</w:t>
      </w:r>
    </w:p>
    <w:p>
      <w:pPr>
        <w:jc w:val="left"/>
        <w:rPr>
          <w:color w:val="000000" w:themeColor="text1"/>
        </w:rPr>
      </w:pPr>
      <w:r>
        <w:rPr>
          <w:rFonts w:hint="eastAsia"/>
          <w:color w:val="000000" w:themeColor="text1"/>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tblHeader/>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序号</w:t>
            </w:r>
          </w:p>
        </w:tc>
        <w:tc>
          <w:tcPr>
            <w:tcW w:w="847" w:type="pct"/>
            <w:gridSpan w:val="2"/>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评估项目</w:t>
            </w:r>
          </w:p>
        </w:tc>
        <w:tc>
          <w:tcPr>
            <w:tcW w:w="228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评估标准</w:t>
            </w:r>
          </w:p>
        </w:tc>
        <w:tc>
          <w:tcPr>
            <w:tcW w:w="520"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得分</w:t>
            </w:r>
          </w:p>
        </w:tc>
        <w:tc>
          <w:tcPr>
            <w:tcW w:w="562"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自评得分</w:t>
            </w:r>
          </w:p>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说明</w:t>
            </w:r>
          </w:p>
        </w:tc>
        <w:tc>
          <w:tcPr>
            <w:tcW w:w="533"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b/>
                <w:color w:val="000000" w:themeColor="text1"/>
                <w:sz w:val="24"/>
                <w:szCs w:val="24"/>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规划布局（12分）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开业时间</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（1）2年以上（含2年），得5分；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（2）1年至2年以内（含1年），得3分。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（3）3个月（含）至1年以内得1分。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营业场所使用时间</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（1）根据租赁合同的有效期和房产证确定，产权自有永久使用的，得5分；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（2）根据租赁合同的有效期和房产证确定，有效期在3年以上的（含3年），得4分；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（3）根据租赁合同的有效期和房产证确定，有效期在3年以下的，得3分。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（1）住院医疗机构500米</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（2）住院医疗机构500米以下得1分。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服务能力（23分）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临床科室数量</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（1）6个及以上，得3分；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（2）4个至5个，得2分；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（3）2个至3个，得1分。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医保药品种数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（2）401</w:t>
            </w:r>
            <w:r>
              <w:rPr>
                <w:rFonts w:hint="eastAsia" w:ascii="宋体" w:hAnsi="宋体"/>
                <w:color w:val="000000" w:themeColor="text1"/>
                <w:lang w:eastAsia="zh-CN"/>
              </w:rPr>
              <w:t>种</w:t>
            </w:r>
            <w:r>
              <w:rPr>
                <w:rFonts w:hint="eastAsia" w:ascii="仿宋" w:hAnsi="仿宋" w:eastAsia="仿宋" w:cs="仿宋"/>
                <w:color w:val="000000" w:themeColor="text1"/>
                <w:sz w:val="24"/>
                <w:szCs w:val="24"/>
              </w:rPr>
              <w:t>至600种，得2分；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（3）200</w:t>
            </w:r>
            <w:r>
              <w:rPr>
                <w:rFonts w:hint="eastAsia" w:ascii="宋体" w:hAnsi="宋体"/>
                <w:color w:val="000000" w:themeColor="text1"/>
                <w:lang w:eastAsia="zh-CN"/>
              </w:rPr>
              <w:t>种（含）至</w:t>
            </w:r>
            <w:r>
              <w:rPr>
                <w:rFonts w:hint="eastAsia" w:ascii="仿宋" w:hAnsi="仿宋" w:eastAsia="仿宋" w:cs="仿宋"/>
                <w:color w:val="000000" w:themeColor="text1"/>
                <w:sz w:val="24"/>
                <w:szCs w:val="24"/>
              </w:rPr>
              <w:t>400种，得1分。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诊疗项目种数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（1）300种</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（2）201种至300种，得2分；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（3）100</w:t>
            </w:r>
            <w:r>
              <w:rPr>
                <w:rFonts w:hint="eastAsia" w:ascii="宋体" w:hAnsi="宋体"/>
                <w:color w:val="000000" w:themeColor="text1"/>
                <w:lang w:eastAsia="zh-CN"/>
              </w:rPr>
              <w:t>种（含）至</w:t>
            </w:r>
            <w:r>
              <w:rPr>
                <w:rFonts w:hint="eastAsia" w:ascii="仿宋" w:hAnsi="仿宋" w:eastAsia="仿宋" w:cs="仿宋"/>
                <w:color w:val="000000" w:themeColor="text1"/>
                <w:sz w:val="24"/>
                <w:szCs w:val="24"/>
              </w:rPr>
              <w:t>200种，得1分。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widowControl/>
              <w:jc w:val="left"/>
              <w:textAlignment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lang w:eastAsia="zh-CN"/>
              </w:rPr>
              <w:t>第一注册地</w:t>
            </w:r>
            <w:r>
              <w:rPr>
                <w:rFonts w:hint="eastAsia" w:ascii="仿宋" w:hAnsi="仿宋" w:eastAsia="仿宋" w:cs="仿宋"/>
                <w:color w:val="000000" w:themeColor="text1"/>
                <w:sz w:val="24"/>
                <w:szCs w:val="24"/>
              </w:rPr>
              <w:t>注册在本医疗机构、</w:t>
            </w:r>
            <w:r>
              <w:rPr>
                <w:rFonts w:hint="eastAsia" w:ascii="仿宋" w:hAnsi="仿宋" w:eastAsia="仿宋" w:cs="仿宋"/>
                <w:color w:val="000000" w:themeColor="text1"/>
                <w:kern w:val="0"/>
                <w:sz w:val="24"/>
                <w:szCs w:val="24"/>
              </w:rPr>
              <w:t>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（1）20人</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（2）11人至20人，得2分；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（3）10人以内，得1分。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注册在本医疗机构、在本医疗机构专职上班</w:t>
            </w:r>
            <w:r>
              <w:rPr>
                <w:rFonts w:hint="eastAsia" w:ascii="仿宋" w:hAnsi="仿宋" w:eastAsia="仿宋" w:cs="仿宋"/>
                <w:color w:val="000000" w:themeColor="text1"/>
                <w:kern w:val="0"/>
                <w:sz w:val="24"/>
                <w:szCs w:val="24"/>
              </w:rPr>
              <w:t>且在本机构参加城镇职工医疗保险的</w:t>
            </w:r>
            <w:r>
              <w:rPr>
                <w:rFonts w:hint="eastAsia" w:ascii="仿宋" w:hAnsi="仿宋" w:eastAsia="仿宋" w:cs="仿宋"/>
                <w:color w:val="000000" w:themeColor="text1"/>
                <w:sz w:val="24"/>
                <w:szCs w:val="24"/>
              </w:rPr>
              <w:t>执业药师(或药师)人数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（1）6人</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及以上，得3分；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（2）4人至5人，得2分；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（3）2人至3人，得1分。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医疗业务用房面积</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（1）2000平米</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（2）1501平米至2000平米，得3分；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（3）1001平米至1500平米，得2分；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（4）500平米</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至1000平米，得1分。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核定病床数量（门诊医疗机构不评估）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（1）50张</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（2）31张至50张，得3分；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（3）11张至30张，得2分；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（4）5张</w:t>
            </w:r>
            <w:r>
              <w:rPr>
                <w:rFonts w:hint="eastAsia" w:ascii="宋体" w:hAnsi="宋体"/>
                <w:color w:val="000000" w:themeColor="text1"/>
                <w:lang w:eastAsia="zh-CN"/>
              </w:rPr>
              <w:t>（含）</w:t>
            </w:r>
            <w:r>
              <w:rPr>
                <w:rFonts w:hint="eastAsia" w:ascii="仿宋" w:hAnsi="仿宋" w:eastAsia="仿宋" w:cs="仿宋"/>
                <w:color w:val="000000" w:themeColor="text1"/>
                <w:sz w:val="24"/>
                <w:szCs w:val="24"/>
              </w:rPr>
              <w:t>至10张，得1分。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价格收费（21分）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药品价格</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（1）随机抽查的10个药品价格均未超过超过</w:t>
            </w:r>
            <w:r>
              <w:rPr>
                <w:rFonts w:hint="eastAsia" w:ascii="仿宋" w:hAnsi="仿宋" w:eastAsia="仿宋" w:cs="仿宋"/>
                <w:color w:val="000000" w:themeColor="text1"/>
                <w:sz w:val="24"/>
                <w:szCs w:val="24"/>
                <w:lang w:eastAsia="zh-CN"/>
              </w:rPr>
              <w:t>国家医保信息平台药品招标采购子系统</w:t>
            </w:r>
            <w:r>
              <w:rPr>
                <w:rFonts w:hint="eastAsia" w:ascii="仿宋" w:hAnsi="仿宋" w:eastAsia="仿宋" w:cs="仿宋"/>
                <w:color w:val="000000" w:themeColor="text1"/>
                <w:sz w:val="24"/>
                <w:szCs w:val="24"/>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（2）随机抽查的药品价格超过超过</w:t>
            </w:r>
            <w:r>
              <w:rPr>
                <w:rFonts w:hint="eastAsia" w:ascii="仿宋" w:hAnsi="仿宋" w:eastAsia="仿宋" w:cs="仿宋"/>
                <w:color w:val="000000" w:themeColor="text1"/>
                <w:sz w:val="24"/>
                <w:szCs w:val="24"/>
                <w:lang w:eastAsia="zh-CN"/>
              </w:rPr>
              <w:t>国家医保信息平台药品招标采购子系统</w:t>
            </w:r>
            <w:r>
              <w:rPr>
                <w:rFonts w:hint="eastAsia" w:ascii="仿宋" w:hAnsi="仿宋" w:eastAsia="仿宋" w:cs="仿宋"/>
                <w:color w:val="000000" w:themeColor="text1"/>
                <w:sz w:val="24"/>
                <w:szCs w:val="24"/>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检查治疗收费</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次均住院费用（门诊医疗机构不评估）</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上一年度次均住院费用与统筹地区上一年度同级别医疗机构医保次均住院费用相比，90%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以下的得4分；</w:t>
            </w:r>
            <w:r>
              <w:rPr>
                <w:rFonts w:hint="eastAsia" w:ascii="宋体" w:hAnsi="宋体"/>
                <w:color w:val="000000" w:themeColor="text1"/>
                <w:lang w:val="en-US" w:eastAsia="zh-CN"/>
              </w:rPr>
              <w:t>89</w:t>
            </w:r>
            <w:r>
              <w:rPr>
                <w:rFonts w:ascii="宋体" w:hAnsi="宋体"/>
                <w:color w:val="000000" w:themeColor="text1"/>
              </w:rPr>
              <w:t>%</w:t>
            </w:r>
            <w:r>
              <w:rPr>
                <w:rFonts w:hint="eastAsia" w:ascii="仿宋" w:hAnsi="仿宋" w:eastAsia="仿宋" w:cs="仿宋"/>
                <w:color w:val="000000" w:themeColor="text1"/>
                <w:sz w:val="24"/>
                <w:szCs w:val="24"/>
              </w:rPr>
              <w:t>-100%的得2分。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次均门诊费用</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上一年度次均门诊费用与统筹地区上一年度同级别医疗机构医保次均门诊费用相比，90%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以下的得4分；</w:t>
            </w:r>
            <w:r>
              <w:rPr>
                <w:rFonts w:hint="eastAsia" w:ascii="宋体" w:hAnsi="宋体"/>
                <w:color w:val="000000" w:themeColor="text1"/>
                <w:lang w:val="en-US" w:eastAsia="zh-CN"/>
              </w:rPr>
              <w:t>89</w:t>
            </w:r>
            <w:r>
              <w:rPr>
                <w:rFonts w:ascii="宋体" w:hAnsi="宋体"/>
                <w:color w:val="000000" w:themeColor="text1"/>
              </w:rPr>
              <w:t>%</w:t>
            </w:r>
            <w:r>
              <w:rPr>
                <w:rFonts w:hint="eastAsia" w:ascii="仿宋" w:hAnsi="仿宋" w:eastAsia="仿宋" w:cs="仿宋"/>
                <w:color w:val="000000" w:themeColor="text1"/>
                <w:sz w:val="24"/>
                <w:szCs w:val="24"/>
              </w:rPr>
              <w:t>-100%的得2分。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费用清单</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价格信息公示</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17</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内部管理（15分）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门诊患者抗菌药物使用率</w:t>
            </w:r>
          </w:p>
        </w:tc>
        <w:tc>
          <w:tcPr>
            <w:tcW w:w="2282" w:type="pct"/>
            <w:vAlign w:val="center"/>
          </w:tcPr>
          <w:p>
            <w:pPr>
              <w:jc w:val="left"/>
              <w:rPr>
                <w:rFonts w:hint="eastAsia" w:ascii="仿宋" w:hAnsi="仿宋" w:eastAsia="仿宋" w:cs="仿宋"/>
                <w:b/>
                <w:color w:val="000000" w:themeColor="text1"/>
                <w:sz w:val="24"/>
                <w:szCs w:val="24"/>
                <w:lang w:eastAsia="zh-CN"/>
              </w:rPr>
            </w:pPr>
            <w:r>
              <w:rPr>
                <w:rFonts w:hint="eastAsia" w:ascii="仿宋" w:hAnsi="仿宋" w:eastAsia="仿宋" w:cs="仿宋"/>
                <w:color w:val="000000" w:themeColor="text1"/>
                <w:sz w:val="24"/>
                <w:szCs w:val="24"/>
              </w:rPr>
              <w:t>抽查10份门诊病历，抗菌药物使用率在50%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以下的得2分；抗菌药物使用率在50%至60%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60%</w:t>
            </w:r>
            <w:r>
              <w:rPr>
                <w:rFonts w:hint="eastAsia" w:ascii="仿宋" w:hAnsi="仿宋" w:eastAsia="仿宋" w:cs="仿宋"/>
                <w:color w:val="000000" w:themeColor="text1"/>
                <w:sz w:val="24"/>
                <w:szCs w:val="24"/>
                <w:lang w:eastAsia="zh-CN"/>
              </w:rPr>
              <w:t>以上不得分。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18</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住院患者大型检查阳性率（门诊医疗机构不评估）</w:t>
            </w:r>
          </w:p>
        </w:tc>
        <w:tc>
          <w:tcPr>
            <w:tcW w:w="2282" w:type="pct"/>
            <w:vAlign w:val="center"/>
          </w:tcPr>
          <w:p>
            <w:pPr>
              <w:jc w:val="left"/>
              <w:rPr>
                <w:rFonts w:hint="eastAsia" w:ascii="仿宋" w:hAnsi="仿宋" w:eastAsia="仿宋" w:cs="仿宋"/>
                <w:b/>
                <w:color w:val="000000" w:themeColor="text1"/>
                <w:sz w:val="24"/>
                <w:szCs w:val="24"/>
                <w:lang w:eastAsia="zh-CN"/>
              </w:rPr>
            </w:pPr>
            <w:r>
              <w:rPr>
                <w:rFonts w:hint="eastAsia" w:ascii="仿宋" w:hAnsi="仿宋" w:eastAsia="仿宋" w:cs="仿宋"/>
                <w:color w:val="000000" w:themeColor="text1"/>
                <w:sz w:val="24"/>
                <w:szCs w:val="24"/>
              </w:rPr>
              <w:t>抽查10份住院病历，大型检查阳性率（CT、核磁共振、彩超）在80%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以上的，得2分；大型检查阳性率在70%</w:t>
            </w:r>
            <w:r>
              <w:rPr>
                <w:rFonts w:hint="eastAsia" w:ascii="仿宋" w:hAnsi="仿宋" w:eastAsia="仿宋" w:cs="仿宋"/>
                <w:color w:val="000000" w:themeColor="text1"/>
                <w:sz w:val="24"/>
                <w:szCs w:val="24"/>
                <w:lang w:eastAsia="zh-CN"/>
              </w:rPr>
              <w:t>（含）</w:t>
            </w:r>
            <w:r>
              <w:rPr>
                <w:rFonts w:hint="eastAsia" w:ascii="仿宋" w:hAnsi="仿宋" w:eastAsia="仿宋" w:cs="仿宋"/>
                <w:color w:val="000000" w:themeColor="text1"/>
                <w:sz w:val="24"/>
                <w:szCs w:val="24"/>
              </w:rPr>
              <w:t>至80%的得1分</w:t>
            </w:r>
            <w:r>
              <w:rPr>
                <w:rFonts w:hint="eastAsia" w:ascii="仿宋" w:hAnsi="仿宋" w:eastAsia="仿宋" w:cs="仿宋"/>
                <w:color w:val="000000" w:themeColor="text1"/>
                <w:sz w:val="24"/>
                <w:szCs w:val="24"/>
                <w:lang w:eastAsia="zh-CN"/>
              </w:rPr>
              <w:t>；</w:t>
            </w:r>
            <w:r>
              <w:rPr>
                <w:rFonts w:hint="eastAsia" w:ascii="仿宋" w:hAnsi="仿宋" w:eastAsia="仿宋" w:cs="仿宋"/>
                <w:color w:val="000000" w:themeColor="text1"/>
                <w:sz w:val="24"/>
                <w:szCs w:val="24"/>
              </w:rPr>
              <w:t>70%</w:t>
            </w:r>
            <w:r>
              <w:rPr>
                <w:rFonts w:hint="eastAsia" w:ascii="仿宋" w:hAnsi="仿宋" w:eastAsia="仿宋" w:cs="仿宋"/>
                <w:color w:val="000000" w:themeColor="text1"/>
                <w:sz w:val="24"/>
                <w:szCs w:val="24"/>
                <w:lang w:eastAsia="zh-CN"/>
              </w:rPr>
              <w:t>以下不得分。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医疗保险管理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环境卫生管理</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21</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医疗纠纷调解</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建立健全医疗纠纷投诉和处理机构，并有专人负责，公布投诉电话、信箱，畅通投诉渠道，及时受理、处置患放投诉的，得2分。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便民导诊服务</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设立导诊台、触摸屏、指示牌、就医流程、专家姓名和联系方式，方便群众看病就医的，得2分。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23</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财务管理（14分）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（2）80%</w:t>
            </w:r>
            <w:r>
              <w:rPr>
                <w:rFonts w:hint="eastAsia" w:ascii="仿宋" w:hAnsi="仿宋" w:eastAsia="仿宋" w:cs="仿宋"/>
                <w:color w:val="000000" w:themeColor="text1"/>
                <w:sz w:val="24"/>
                <w:szCs w:val="24"/>
                <w:lang w:eastAsia="zh-CN"/>
              </w:rPr>
              <w:t>及</w:t>
            </w:r>
            <w:r>
              <w:rPr>
                <w:rFonts w:hint="eastAsia" w:ascii="仿宋" w:hAnsi="仿宋" w:eastAsia="仿宋" w:cs="仿宋"/>
                <w:color w:val="000000" w:themeColor="text1"/>
                <w:sz w:val="24"/>
                <w:szCs w:val="24"/>
              </w:rPr>
              <w:t>以上在职员工参加医疗保险，并及时缴费，得</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）不足</w:t>
            </w:r>
            <w:r>
              <w:rPr>
                <w:rFonts w:hint="eastAsia" w:ascii="仿宋" w:hAnsi="仿宋" w:eastAsia="仿宋" w:cs="仿宋"/>
                <w:color w:val="000000" w:themeColor="text1"/>
                <w:sz w:val="24"/>
                <w:szCs w:val="24"/>
                <w:lang w:val="en-US" w:eastAsia="zh-CN"/>
              </w:rPr>
              <w:t>8</w:t>
            </w:r>
            <w:r>
              <w:rPr>
                <w:rFonts w:hint="eastAsia" w:ascii="仿宋" w:hAnsi="仿宋" w:eastAsia="仿宋" w:cs="仿宋"/>
                <w:color w:val="000000" w:themeColor="text1"/>
                <w:sz w:val="24"/>
                <w:szCs w:val="24"/>
              </w:rPr>
              <w:t>0%在职员工参加医疗保险的，不得纳入医保定点。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24</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25</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财务管理制度</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26</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财务人员</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根据医疗机构规模，设置相应独立的财会机构，配备相应的会计、出纳人员，得2分。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27</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财务结算</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财务票据齐全、合法，且安装使用电子收费系统的，得2分。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28</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信息系统（6分）</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计算机配备使用</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29</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医疗信息化</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30</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联网结算能力</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kern w:val="0"/>
              </w:rPr>
              <w:t>承诺在签订协议之前，实现与</w:t>
            </w:r>
            <w:r>
              <w:rPr>
                <w:rFonts w:hint="eastAsia" w:ascii="仿宋" w:hAnsi="仿宋" w:eastAsia="仿宋" w:cs="仿宋"/>
                <w:color w:val="000000" w:themeColor="text1"/>
                <w:kern w:val="0"/>
                <w:lang w:eastAsia="zh-CN"/>
              </w:rPr>
              <w:t>医保信息平台</w:t>
            </w:r>
            <w:r>
              <w:rPr>
                <w:rFonts w:hint="eastAsia" w:ascii="仿宋" w:hAnsi="仿宋" w:eastAsia="仿宋" w:cs="仿宋"/>
                <w:color w:val="000000" w:themeColor="text1"/>
                <w:kern w:val="0"/>
              </w:rPr>
              <w:t>联网对接，达到刷卡结算的</w:t>
            </w:r>
            <w:r>
              <w:rPr>
                <w:rFonts w:hint="eastAsia" w:ascii="仿宋" w:hAnsi="仿宋" w:eastAsia="仿宋" w:cs="仿宋"/>
                <w:color w:val="000000" w:themeColor="text1"/>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31</w:t>
            </w:r>
          </w:p>
        </w:tc>
        <w:tc>
          <w:tcPr>
            <w:tcW w:w="423"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社会评价（9分）</w:t>
            </w: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主流媒体负面报导</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w:t>
            </w:r>
            <w:r>
              <w:rPr>
                <w:rFonts w:hint="eastAsia" w:ascii="仿宋" w:hAnsi="仿宋" w:eastAsia="仿宋" w:cs="仿宋"/>
                <w:color w:val="000000" w:themeColor="text1"/>
                <w:sz w:val="24"/>
                <w:szCs w:val="24"/>
                <w:lang w:eastAsia="zh-CN"/>
              </w:rPr>
              <w:t>两</w:t>
            </w:r>
            <w:r>
              <w:rPr>
                <w:rFonts w:hint="eastAsia" w:ascii="仿宋" w:hAnsi="仿宋" w:eastAsia="仿宋" w:cs="仿宋"/>
                <w:color w:val="000000" w:themeColor="text1"/>
                <w:sz w:val="24"/>
                <w:szCs w:val="24"/>
              </w:rPr>
              <w:t>年内无媒体负面报导的，得5分；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32</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医疗服务不良记录</w:t>
            </w: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jc w:val="lef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（2）医疗机构提交定点申请前两年内被医疗保障、卫健、审计、市场监督管理等部门查处一次的扣5分；情节严重的或查处两次以上的不得纳入医保定点。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33</w:t>
            </w: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restar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社会诚信体系建设</w:t>
            </w: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（1）机构及法人代表、负责人近两年内没有被纳入社会诚信体系建设“黑名单”，且无违法犯罪纪录的，得2分。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rPr>
            </w:pPr>
          </w:p>
        </w:tc>
        <w:tc>
          <w:tcPr>
            <w:tcW w:w="423" w:type="pct"/>
            <w:vMerge w:val="continue"/>
            <w:vAlign w:val="center"/>
          </w:tcPr>
          <w:p>
            <w:pPr>
              <w:jc w:val="center"/>
              <w:rPr>
                <w:rFonts w:hint="eastAsia" w:ascii="仿宋" w:hAnsi="仿宋" w:eastAsia="仿宋" w:cs="仿宋"/>
                <w:b/>
                <w:color w:val="000000" w:themeColor="text1"/>
                <w:sz w:val="24"/>
                <w:szCs w:val="24"/>
              </w:rPr>
            </w:pPr>
          </w:p>
        </w:tc>
        <w:tc>
          <w:tcPr>
            <w:tcW w:w="424" w:type="pct"/>
            <w:vMerge w:val="continue"/>
            <w:vAlign w:val="center"/>
          </w:tcPr>
          <w:p>
            <w:pPr>
              <w:jc w:val="center"/>
              <w:rPr>
                <w:rFonts w:hint="eastAsia" w:ascii="仿宋" w:hAnsi="仿宋" w:eastAsia="仿宋" w:cs="仿宋"/>
                <w:b/>
                <w:color w:val="000000" w:themeColor="text1"/>
                <w:sz w:val="24"/>
                <w:szCs w:val="24"/>
              </w:rPr>
            </w:pPr>
          </w:p>
        </w:tc>
        <w:tc>
          <w:tcPr>
            <w:tcW w:w="2282" w:type="pct"/>
            <w:vAlign w:val="center"/>
          </w:tcPr>
          <w:p>
            <w:pPr>
              <w:spacing w:line="220" w:lineRule="exact"/>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34</w:t>
            </w:r>
          </w:p>
        </w:tc>
        <w:tc>
          <w:tcPr>
            <w:tcW w:w="423"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加分项目</w:t>
            </w:r>
          </w:p>
        </w:tc>
        <w:tc>
          <w:tcPr>
            <w:tcW w:w="424" w:type="pct"/>
            <w:vAlign w:val="center"/>
          </w:tcPr>
          <w:p>
            <w:pPr>
              <w:jc w:val="center"/>
              <w:rPr>
                <w:rFonts w:hint="eastAsia" w:ascii="仿宋" w:hAnsi="仿宋" w:eastAsia="仿宋" w:cs="仿宋"/>
                <w:b/>
                <w:color w:val="000000" w:themeColor="text1"/>
                <w:sz w:val="24"/>
                <w:szCs w:val="24"/>
              </w:rPr>
            </w:pPr>
            <w:r>
              <w:rPr>
                <w:rFonts w:hint="eastAsia" w:ascii="仿宋" w:hAnsi="仿宋" w:eastAsia="仿宋" w:cs="仿宋"/>
                <w:color w:val="000000" w:themeColor="text1"/>
                <w:sz w:val="24"/>
                <w:szCs w:val="24"/>
              </w:rPr>
              <w:t>获得荣誉表彰情况</w:t>
            </w:r>
          </w:p>
        </w:tc>
        <w:tc>
          <w:tcPr>
            <w:tcW w:w="2282" w:type="pct"/>
            <w:vAlign w:val="center"/>
          </w:tcPr>
          <w:p>
            <w:pPr>
              <w:spacing w:line="220" w:lineRule="exact"/>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机构或法人在公共卫生事件、防汛抗旱等自然灾害事故中，服从党委、政府及相关行政主管部门调度和安排的，获市级以上表彰得3分，县级表彰得2分，乡镇表彰得1分。</w:t>
            </w:r>
          </w:p>
          <w:p>
            <w:pPr>
              <w:spacing w:line="220" w:lineRule="exact"/>
              <w:rPr>
                <w:rFonts w:hint="eastAsia" w:ascii="仿宋" w:hAnsi="仿宋" w:eastAsia="仿宋" w:cs="仿宋"/>
                <w:b/>
                <w:color w:val="000000" w:themeColor="text1"/>
                <w:sz w:val="24"/>
                <w:szCs w:val="24"/>
              </w:rPr>
            </w:pPr>
          </w:p>
        </w:tc>
        <w:tc>
          <w:tcPr>
            <w:tcW w:w="520" w:type="pct"/>
            <w:vAlign w:val="center"/>
          </w:tcPr>
          <w:p>
            <w:pPr>
              <w:jc w:val="center"/>
              <w:rPr>
                <w:rFonts w:hint="eastAsia" w:ascii="仿宋" w:hAnsi="仿宋" w:eastAsia="仿宋" w:cs="仿宋"/>
                <w:b/>
                <w:color w:val="000000" w:themeColor="text1"/>
                <w:sz w:val="24"/>
                <w:szCs w:val="24"/>
              </w:rPr>
            </w:pPr>
          </w:p>
        </w:tc>
        <w:tc>
          <w:tcPr>
            <w:tcW w:w="562" w:type="pct"/>
            <w:vAlign w:val="center"/>
          </w:tcPr>
          <w:p>
            <w:pPr>
              <w:jc w:val="center"/>
              <w:rPr>
                <w:rFonts w:hint="eastAsia" w:ascii="仿宋" w:hAnsi="仿宋" w:eastAsia="仿宋" w:cs="仿宋"/>
                <w:b/>
                <w:color w:val="000000" w:themeColor="text1"/>
                <w:sz w:val="24"/>
                <w:szCs w:val="24"/>
              </w:rPr>
            </w:pPr>
          </w:p>
        </w:tc>
        <w:tc>
          <w:tcPr>
            <w:tcW w:w="533" w:type="pct"/>
            <w:vAlign w:val="center"/>
          </w:tcPr>
          <w:p>
            <w:pPr>
              <w:jc w:val="center"/>
              <w:rPr>
                <w:rFonts w:hint="eastAsia" w:ascii="仿宋" w:hAnsi="仿宋" w:eastAsia="仿宋" w:cs="仿宋"/>
                <w:b/>
                <w:color w:val="000000" w:themeColor="text1"/>
                <w:sz w:val="24"/>
                <w:szCs w:val="24"/>
              </w:rPr>
            </w:pPr>
          </w:p>
        </w:tc>
      </w:tr>
    </w:tbl>
    <w:p>
      <w:pPr>
        <w:rPr>
          <w:color w:val="000000" w:themeColor="text1"/>
          <w:sz w:val="24"/>
          <w:szCs w:val="24"/>
        </w:rPr>
      </w:pPr>
    </w:p>
    <w:p>
      <w:pPr>
        <w:rPr>
          <w:color w:val="000000" w:themeColor="text1"/>
        </w:rPr>
      </w:pPr>
    </w:p>
    <w:p>
      <w:pPr>
        <w:rPr>
          <w:color w:val="000000" w:themeColor="text1"/>
        </w:rPr>
      </w:pPr>
    </w:p>
    <w:p>
      <w:pPr>
        <w:rPr>
          <w:color w:val="000000" w:themeColor="text1"/>
        </w:rPr>
      </w:pPr>
    </w:p>
    <w:p>
      <w:pPr>
        <w:rPr>
          <w:color w:val="000000" w:themeColor="text1"/>
        </w:rPr>
      </w:pPr>
    </w:p>
    <w:sectPr>
      <w:headerReference r:id="rId3" w:type="default"/>
      <w:footerReference r:id="rId4" w:type="default"/>
      <w:pgSz w:w="11906" w:h="16838"/>
      <w:pgMar w:top="720" w:right="720" w:bottom="720" w:left="72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99820"/>
    </w:sdtPr>
    <w:sdtEndPr>
      <w:rPr>
        <w:sz w:val="21"/>
        <w:szCs w:val="21"/>
      </w:rPr>
    </w:sdtEndPr>
    <w:sdtContent>
      <w:sdt>
        <w:sdtPr>
          <w:id w:val="98381352"/>
        </w:sdtPr>
        <w:sdtEndPr>
          <w:rPr>
            <w:sz w:val="21"/>
            <w:szCs w:val="21"/>
          </w:rPr>
        </w:sdtEndPr>
        <w:sdtContent>
          <w:p>
            <w:pPr>
              <w:pStyle w:val="3"/>
              <w:jc w:val="center"/>
              <w:rPr>
                <w:sz w:val="21"/>
                <w:szCs w:val="21"/>
              </w:rPr>
            </w:pPr>
            <w:r>
              <w:rPr>
                <w:rFonts w:hint="eastAsia"/>
                <w:sz w:val="21"/>
                <w:szCs w:val="21"/>
                <w:lang w:val="zh-CN"/>
              </w:rPr>
              <w:t>第</w:t>
            </w:r>
            <w:r>
              <w:rPr>
                <w:sz w:val="21"/>
                <w:szCs w:val="21"/>
              </w:rPr>
              <w:fldChar w:fldCharType="begin"/>
            </w:r>
            <w:r>
              <w:rPr>
                <w:sz w:val="21"/>
                <w:szCs w:val="21"/>
              </w:rPr>
              <w:instrText xml:space="preserve">PAGE</w:instrText>
            </w:r>
            <w:r>
              <w:rPr>
                <w:sz w:val="21"/>
                <w:szCs w:val="21"/>
              </w:rPr>
              <w:fldChar w:fldCharType="separate"/>
            </w:r>
            <w:r>
              <w:rPr>
                <w:sz w:val="21"/>
                <w:szCs w:val="21"/>
              </w:rPr>
              <w:t>28</w:t>
            </w:r>
            <w:r>
              <w:rPr>
                <w:sz w:val="21"/>
                <w:szCs w:val="21"/>
              </w:rPr>
              <w:fldChar w:fldCharType="end"/>
            </w:r>
            <w:r>
              <w:rPr>
                <w:rFonts w:hint="eastAsia"/>
                <w:sz w:val="21"/>
                <w:szCs w:val="21"/>
                <w:lang w:val="zh-CN"/>
              </w:rPr>
              <w:t>页</w:t>
            </w:r>
            <w:r>
              <w:rPr>
                <w:rFonts w:hint="eastAsia"/>
                <w:sz w:val="21"/>
                <w:szCs w:val="21"/>
                <w:lang w:val="en-US" w:eastAsia="zh-CN"/>
              </w:rPr>
              <w:t>·</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b/>
        <w:bCs/>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26236"/>
    <w:multiLevelType w:val="singleLevel"/>
    <w:tmpl w:val="B7126236"/>
    <w:lvl w:ilvl="0" w:tentative="0">
      <w:start w:val="1"/>
      <w:numFmt w:val="decimal"/>
      <w:suff w:val="nothing"/>
      <w:lvlText w:val="（%1）"/>
      <w:lvlJc w:val="left"/>
      <w:rPr>
        <w:rFonts w:cs="Times New Roman"/>
      </w:rPr>
    </w:lvl>
  </w:abstractNum>
  <w:abstractNum w:abstractNumId="1">
    <w:nsid w:val="EC15AB4B"/>
    <w:multiLevelType w:val="singleLevel"/>
    <w:tmpl w:val="EC15AB4B"/>
    <w:lvl w:ilvl="0" w:tentative="0">
      <w:start w:val="1"/>
      <w:numFmt w:val="decimal"/>
      <w:suff w:val="nothing"/>
      <w:lvlText w:val="（%1）"/>
      <w:lvlJc w:val="left"/>
      <w:rPr>
        <w:rFonts w:hint="default" w:cs="Times New Roman"/>
        <w:b w:val="0"/>
        <w:bCs w:val="0"/>
      </w:rPr>
    </w:lvl>
  </w:abstractNum>
  <w:abstractNum w:abstractNumId="2">
    <w:nsid w:val="6328241D"/>
    <w:multiLevelType w:val="singleLevel"/>
    <w:tmpl w:val="6328241D"/>
    <w:lvl w:ilvl="0" w:tentative="0">
      <w:start w:val="1"/>
      <w:numFmt w:val="decimal"/>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MyMDVmNzAwMzJjODQyNjcxMDg1NDJmNmVkMmRlNzAifQ=="/>
  </w:docVars>
  <w:rsids>
    <w:rsidRoot w:val="009B089D"/>
    <w:rsid w:val="00024FF5"/>
    <w:rsid w:val="00037715"/>
    <w:rsid w:val="0005547C"/>
    <w:rsid w:val="0009690A"/>
    <w:rsid w:val="000A71F5"/>
    <w:rsid w:val="000F4534"/>
    <w:rsid w:val="00100DDA"/>
    <w:rsid w:val="00112376"/>
    <w:rsid w:val="001140B6"/>
    <w:rsid w:val="00115AFF"/>
    <w:rsid w:val="00126DF1"/>
    <w:rsid w:val="00134FDC"/>
    <w:rsid w:val="00147CE3"/>
    <w:rsid w:val="00181F0B"/>
    <w:rsid w:val="001846F7"/>
    <w:rsid w:val="00195B59"/>
    <w:rsid w:val="001A261D"/>
    <w:rsid w:val="001A3012"/>
    <w:rsid w:val="001C5275"/>
    <w:rsid w:val="001F6F47"/>
    <w:rsid w:val="00207CC0"/>
    <w:rsid w:val="00212981"/>
    <w:rsid w:val="00216100"/>
    <w:rsid w:val="00221AF7"/>
    <w:rsid w:val="00244864"/>
    <w:rsid w:val="00260421"/>
    <w:rsid w:val="0029136D"/>
    <w:rsid w:val="00293EDC"/>
    <w:rsid w:val="002A0EBB"/>
    <w:rsid w:val="002A2793"/>
    <w:rsid w:val="002C52E5"/>
    <w:rsid w:val="002E317B"/>
    <w:rsid w:val="002E6140"/>
    <w:rsid w:val="0030238E"/>
    <w:rsid w:val="003109F7"/>
    <w:rsid w:val="0031680F"/>
    <w:rsid w:val="00326C38"/>
    <w:rsid w:val="003365CF"/>
    <w:rsid w:val="003536B7"/>
    <w:rsid w:val="00360F3C"/>
    <w:rsid w:val="003616BA"/>
    <w:rsid w:val="003722FC"/>
    <w:rsid w:val="003764A4"/>
    <w:rsid w:val="00386526"/>
    <w:rsid w:val="003A3F54"/>
    <w:rsid w:val="003C6B9F"/>
    <w:rsid w:val="004031D8"/>
    <w:rsid w:val="0041090D"/>
    <w:rsid w:val="0041169F"/>
    <w:rsid w:val="004346AF"/>
    <w:rsid w:val="004438E5"/>
    <w:rsid w:val="004469B1"/>
    <w:rsid w:val="00457382"/>
    <w:rsid w:val="00491258"/>
    <w:rsid w:val="004963F0"/>
    <w:rsid w:val="004A2F24"/>
    <w:rsid w:val="004B7241"/>
    <w:rsid w:val="004C414B"/>
    <w:rsid w:val="004C52F7"/>
    <w:rsid w:val="004D6149"/>
    <w:rsid w:val="004D69C4"/>
    <w:rsid w:val="004E13C3"/>
    <w:rsid w:val="004E5114"/>
    <w:rsid w:val="004F2489"/>
    <w:rsid w:val="004F3B94"/>
    <w:rsid w:val="004F3CF5"/>
    <w:rsid w:val="005111D5"/>
    <w:rsid w:val="005138D3"/>
    <w:rsid w:val="00533D38"/>
    <w:rsid w:val="005640D8"/>
    <w:rsid w:val="005773E0"/>
    <w:rsid w:val="0058691C"/>
    <w:rsid w:val="0059798A"/>
    <w:rsid w:val="005A0334"/>
    <w:rsid w:val="005B3E19"/>
    <w:rsid w:val="005B6D11"/>
    <w:rsid w:val="005C418E"/>
    <w:rsid w:val="005F3E3A"/>
    <w:rsid w:val="0060198B"/>
    <w:rsid w:val="006041BD"/>
    <w:rsid w:val="00605454"/>
    <w:rsid w:val="00610FA2"/>
    <w:rsid w:val="006221B5"/>
    <w:rsid w:val="0062496C"/>
    <w:rsid w:val="00637F3B"/>
    <w:rsid w:val="00663CD8"/>
    <w:rsid w:val="00682C83"/>
    <w:rsid w:val="00695AE9"/>
    <w:rsid w:val="0069730D"/>
    <w:rsid w:val="006A14A5"/>
    <w:rsid w:val="006A2121"/>
    <w:rsid w:val="006A3930"/>
    <w:rsid w:val="006B4B5D"/>
    <w:rsid w:val="006E1B1F"/>
    <w:rsid w:val="006E56E5"/>
    <w:rsid w:val="006F136D"/>
    <w:rsid w:val="00704BC9"/>
    <w:rsid w:val="00750F21"/>
    <w:rsid w:val="00755DD4"/>
    <w:rsid w:val="00757045"/>
    <w:rsid w:val="00780D65"/>
    <w:rsid w:val="00790BC1"/>
    <w:rsid w:val="007D04CB"/>
    <w:rsid w:val="007D3063"/>
    <w:rsid w:val="00812229"/>
    <w:rsid w:val="00815940"/>
    <w:rsid w:val="00827609"/>
    <w:rsid w:val="00831D6F"/>
    <w:rsid w:val="00834292"/>
    <w:rsid w:val="00844E6F"/>
    <w:rsid w:val="008455ED"/>
    <w:rsid w:val="00872335"/>
    <w:rsid w:val="00876F54"/>
    <w:rsid w:val="00883EC8"/>
    <w:rsid w:val="008903BB"/>
    <w:rsid w:val="008A0F9D"/>
    <w:rsid w:val="008A1BC3"/>
    <w:rsid w:val="008A389E"/>
    <w:rsid w:val="008B0C00"/>
    <w:rsid w:val="008D1FB7"/>
    <w:rsid w:val="008D5159"/>
    <w:rsid w:val="009166F2"/>
    <w:rsid w:val="00917B00"/>
    <w:rsid w:val="00917BD1"/>
    <w:rsid w:val="00950A21"/>
    <w:rsid w:val="00971616"/>
    <w:rsid w:val="00973AEC"/>
    <w:rsid w:val="00984FA8"/>
    <w:rsid w:val="009860D6"/>
    <w:rsid w:val="0098671E"/>
    <w:rsid w:val="009A19FC"/>
    <w:rsid w:val="009A2536"/>
    <w:rsid w:val="009B089D"/>
    <w:rsid w:val="009B2B0B"/>
    <w:rsid w:val="009B2B8D"/>
    <w:rsid w:val="009C1ADD"/>
    <w:rsid w:val="009C71E7"/>
    <w:rsid w:val="009D0E7E"/>
    <w:rsid w:val="009D28A3"/>
    <w:rsid w:val="009F06A6"/>
    <w:rsid w:val="00A148D3"/>
    <w:rsid w:val="00A21DD0"/>
    <w:rsid w:val="00A44DB5"/>
    <w:rsid w:val="00A63531"/>
    <w:rsid w:val="00A70010"/>
    <w:rsid w:val="00AC3340"/>
    <w:rsid w:val="00B047CF"/>
    <w:rsid w:val="00B11E77"/>
    <w:rsid w:val="00B14EA0"/>
    <w:rsid w:val="00B648B6"/>
    <w:rsid w:val="00B6590D"/>
    <w:rsid w:val="00B7783D"/>
    <w:rsid w:val="00B80612"/>
    <w:rsid w:val="00BB563F"/>
    <w:rsid w:val="00BB6029"/>
    <w:rsid w:val="00BE60BA"/>
    <w:rsid w:val="00BF0641"/>
    <w:rsid w:val="00BF6E0C"/>
    <w:rsid w:val="00C0754A"/>
    <w:rsid w:val="00C23C05"/>
    <w:rsid w:val="00C254E8"/>
    <w:rsid w:val="00C27D98"/>
    <w:rsid w:val="00C475D9"/>
    <w:rsid w:val="00C87827"/>
    <w:rsid w:val="00C9112E"/>
    <w:rsid w:val="00C9216B"/>
    <w:rsid w:val="00C96E52"/>
    <w:rsid w:val="00C97B26"/>
    <w:rsid w:val="00CA0DD0"/>
    <w:rsid w:val="00CC193E"/>
    <w:rsid w:val="00D36CAB"/>
    <w:rsid w:val="00D96324"/>
    <w:rsid w:val="00DB4D08"/>
    <w:rsid w:val="00DB74F9"/>
    <w:rsid w:val="00DD7172"/>
    <w:rsid w:val="00DE0D75"/>
    <w:rsid w:val="00DE41C9"/>
    <w:rsid w:val="00E11018"/>
    <w:rsid w:val="00E13DAA"/>
    <w:rsid w:val="00E14CEF"/>
    <w:rsid w:val="00E25D55"/>
    <w:rsid w:val="00E31A01"/>
    <w:rsid w:val="00E44566"/>
    <w:rsid w:val="00E53C30"/>
    <w:rsid w:val="00E801A8"/>
    <w:rsid w:val="00E831BA"/>
    <w:rsid w:val="00E90598"/>
    <w:rsid w:val="00E958F0"/>
    <w:rsid w:val="00EA0FB8"/>
    <w:rsid w:val="00EA39C1"/>
    <w:rsid w:val="00EA6085"/>
    <w:rsid w:val="00EB1080"/>
    <w:rsid w:val="00F03590"/>
    <w:rsid w:val="00F3776E"/>
    <w:rsid w:val="00F50F92"/>
    <w:rsid w:val="00F77A75"/>
    <w:rsid w:val="00F819F6"/>
    <w:rsid w:val="00FA355C"/>
    <w:rsid w:val="00FA4D94"/>
    <w:rsid w:val="00FA60BB"/>
    <w:rsid w:val="00FA7F76"/>
    <w:rsid w:val="00FD59F7"/>
    <w:rsid w:val="00FE4A70"/>
    <w:rsid w:val="00FE7760"/>
    <w:rsid w:val="019D0897"/>
    <w:rsid w:val="02631893"/>
    <w:rsid w:val="04160DD9"/>
    <w:rsid w:val="043E7F38"/>
    <w:rsid w:val="05537C7A"/>
    <w:rsid w:val="0597042E"/>
    <w:rsid w:val="05EF03F3"/>
    <w:rsid w:val="096560EE"/>
    <w:rsid w:val="0B8D3204"/>
    <w:rsid w:val="0BAC691D"/>
    <w:rsid w:val="0CAA01C1"/>
    <w:rsid w:val="0CD87933"/>
    <w:rsid w:val="0D2B26EE"/>
    <w:rsid w:val="0D851C9F"/>
    <w:rsid w:val="0DAF05A0"/>
    <w:rsid w:val="0DE9040F"/>
    <w:rsid w:val="0E4F6E55"/>
    <w:rsid w:val="0E9E1110"/>
    <w:rsid w:val="0FB6506E"/>
    <w:rsid w:val="10207B26"/>
    <w:rsid w:val="10463CD6"/>
    <w:rsid w:val="1057352B"/>
    <w:rsid w:val="106B27A6"/>
    <w:rsid w:val="110D6F32"/>
    <w:rsid w:val="11916802"/>
    <w:rsid w:val="12D60970"/>
    <w:rsid w:val="12EB48C5"/>
    <w:rsid w:val="138F2E53"/>
    <w:rsid w:val="146B60BD"/>
    <w:rsid w:val="152C16EA"/>
    <w:rsid w:val="154918D1"/>
    <w:rsid w:val="15C918AE"/>
    <w:rsid w:val="160256B0"/>
    <w:rsid w:val="16C86822"/>
    <w:rsid w:val="17B8589C"/>
    <w:rsid w:val="18245CDA"/>
    <w:rsid w:val="185E6F23"/>
    <w:rsid w:val="199649B5"/>
    <w:rsid w:val="1B982E35"/>
    <w:rsid w:val="1C984EE8"/>
    <w:rsid w:val="1CFF40A9"/>
    <w:rsid w:val="1E3D7AF5"/>
    <w:rsid w:val="1E6C03DB"/>
    <w:rsid w:val="1ECA012F"/>
    <w:rsid w:val="1F5D2D9A"/>
    <w:rsid w:val="210B4F5B"/>
    <w:rsid w:val="21EF55AB"/>
    <w:rsid w:val="22500C9D"/>
    <w:rsid w:val="22857CBD"/>
    <w:rsid w:val="230558F2"/>
    <w:rsid w:val="231F5CFE"/>
    <w:rsid w:val="23E80503"/>
    <w:rsid w:val="24294678"/>
    <w:rsid w:val="253C6D41"/>
    <w:rsid w:val="257B1855"/>
    <w:rsid w:val="25A0739C"/>
    <w:rsid w:val="25FF350C"/>
    <w:rsid w:val="26345C82"/>
    <w:rsid w:val="291B7E30"/>
    <w:rsid w:val="2BB92AEB"/>
    <w:rsid w:val="2D44499A"/>
    <w:rsid w:val="2D9D4236"/>
    <w:rsid w:val="2E8576E1"/>
    <w:rsid w:val="2F9E416C"/>
    <w:rsid w:val="2FC340A5"/>
    <w:rsid w:val="2FC43488"/>
    <w:rsid w:val="2FF6149B"/>
    <w:rsid w:val="30EB1633"/>
    <w:rsid w:val="312608BD"/>
    <w:rsid w:val="312F7772"/>
    <w:rsid w:val="315F399E"/>
    <w:rsid w:val="320947D2"/>
    <w:rsid w:val="342324A9"/>
    <w:rsid w:val="356348FD"/>
    <w:rsid w:val="35992709"/>
    <w:rsid w:val="35A85E9C"/>
    <w:rsid w:val="35B44695"/>
    <w:rsid w:val="360A2D99"/>
    <w:rsid w:val="36662DDB"/>
    <w:rsid w:val="3701378C"/>
    <w:rsid w:val="371D4551"/>
    <w:rsid w:val="37340726"/>
    <w:rsid w:val="37C12E29"/>
    <w:rsid w:val="3849628B"/>
    <w:rsid w:val="38EA224E"/>
    <w:rsid w:val="39416486"/>
    <w:rsid w:val="394B297C"/>
    <w:rsid w:val="3A07612D"/>
    <w:rsid w:val="3B025DB0"/>
    <w:rsid w:val="3B762441"/>
    <w:rsid w:val="3F6850A4"/>
    <w:rsid w:val="3FFB252B"/>
    <w:rsid w:val="40756571"/>
    <w:rsid w:val="43BF0ABD"/>
    <w:rsid w:val="441426A5"/>
    <w:rsid w:val="44F05012"/>
    <w:rsid w:val="458262EE"/>
    <w:rsid w:val="47710D74"/>
    <w:rsid w:val="47E32C0C"/>
    <w:rsid w:val="482A6DA7"/>
    <w:rsid w:val="48B5113D"/>
    <w:rsid w:val="48D72771"/>
    <w:rsid w:val="49241ED2"/>
    <w:rsid w:val="49CE64E6"/>
    <w:rsid w:val="4A1B3AC2"/>
    <w:rsid w:val="4B2075EA"/>
    <w:rsid w:val="4B967555"/>
    <w:rsid w:val="4BBA580D"/>
    <w:rsid w:val="4C505B13"/>
    <w:rsid w:val="4FC21359"/>
    <w:rsid w:val="4FD600B2"/>
    <w:rsid w:val="4FDD1AB9"/>
    <w:rsid w:val="50632996"/>
    <w:rsid w:val="511C1759"/>
    <w:rsid w:val="51D22FA1"/>
    <w:rsid w:val="51DC3B2D"/>
    <w:rsid w:val="521F6F37"/>
    <w:rsid w:val="54AD6A7C"/>
    <w:rsid w:val="57290676"/>
    <w:rsid w:val="58076B50"/>
    <w:rsid w:val="58585953"/>
    <w:rsid w:val="5921202D"/>
    <w:rsid w:val="5A5A4182"/>
    <w:rsid w:val="5B0D37AB"/>
    <w:rsid w:val="5F08322C"/>
    <w:rsid w:val="60787F3E"/>
    <w:rsid w:val="615D2A06"/>
    <w:rsid w:val="61993FC2"/>
    <w:rsid w:val="61C62F8E"/>
    <w:rsid w:val="61DC0673"/>
    <w:rsid w:val="61F7059A"/>
    <w:rsid w:val="623F3719"/>
    <w:rsid w:val="663B5CFF"/>
    <w:rsid w:val="67100BC0"/>
    <w:rsid w:val="675651DE"/>
    <w:rsid w:val="679B09B6"/>
    <w:rsid w:val="6831183F"/>
    <w:rsid w:val="691E2357"/>
    <w:rsid w:val="69F820EF"/>
    <w:rsid w:val="6B8C6F93"/>
    <w:rsid w:val="6C101972"/>
    <w:rsid w:val="6DD54C21"/>
    <w:rsid w:val="6E3E48A3"/>
    <w:rsid w:val="6F122DC3"/>
    <w:rsid w:val="70F474B1"/>
    <w:rsid w:val="721812EC"/>
    <w:rsid w:val="72393778"/>
    <w:rsid w:val="72691DDC"/>
    <w:rsid w:val="733259D5"/>
    <w:rsid w:val="74024296"/>
    <w:rsid w:val="74345EFB"/>
    <w:rsid w:val="74B10754"/>
    <w:rsid w:val="75327742"/>
    <w:rsid w:val="75A867A3"/>
    <w:rsid w:val="76FD35E6"/>
    <w:rsid w:val="77361C9C"/>
    <w:rsid w:val="788306DD"/>
    <w:rsid w:val="78851257"/>
    <w:rsid w:val="78DE7B22"/>
    <w:rsid w:val="79F24465"/>
    <w:rsid w:val="7A8C6329"/>
    <w:rsid w:val="7AF53C69"/>
    <w:rsid w:val="7CA73C2D"/>
    <w:rsid w:val="7CFD6A04"/>
    <w:rsid w:val="7EFB6C3D"/>
    <w:rsid w:val="7F1B01A4"/>
    <w:rsid w:val="7FC83E41"/>
    <w:rsid w:val="7FDC61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D0B76-EDE8-493F-A9D6-9E596864478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12765</Words>
  <Characters>13492</Characters>
  <Lines>117</Lines>
  <Paragraphs>32</Paragraphs>
  <TotalTime>0</TotalTime>
  <ScaleCrop>false</ScaleCrop>
  <LinksUpToDate>false</LinksUpToDate>
  <CharactersWithSpaces>13717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2019-06-20T07:55:00Z</dcterms:created>
  <dc:creator>微软用户</dc:creator>
  <cp:lastModifiedBy>lili  </cp:lastModifiedBy>
  <cp:lastPrinted>2018-03-23T07:04:00Z</cp:lastPrinted>
  <dcterms:modified xsi:type="dcterms:W3CDTF">2024-07-01T07:28:01Z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02DF6D87E761416696292E5683AA5083</vt:lpwstr>
  </property>
</Properties>
</file>