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EC72F">
      <w:pPr>
        <w:rPr>
          <w:rFonts w:hint="eastAsia" w:ascii="黑体" w:eastAsia="黑体"/>
          <w:color w:val="auto"/>
        </w:rPr>
      </w:pPr>
    </w:p>
    <w:p w14:paraId="5A702389">
      <w:pPr>
        <w:rPr>
          <w:rFonts w:hint="eastAsia"/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617210" cy="1056640"/>
            <wp:effectExtent l="0" t="0" r="2540" b="1016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721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2D5F5">
      <w:pPr>
        <w:rPr>
          <w:rFonts w:hint="eastAsia"/>
          <w:color w:val="auto"/>
        </w:rPr>
      </w:pPr>
    </w:p>
    <w:p w14:paraId="092E3F5F">
      <w:pPr>
        <w:rPr>
          <w:rFonts w:hint="eastAsia" w:ascii="仿宋_GB2312"/>
          <w:color w:val="auto"/>
        </w:rPr>
      </w:pPr>
    </w:p>
    <w:p w14:paraId="13A192BF"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mc:AlternateContent>
        <mc:Choice Requires="wpsCustomData">
          <wpsCustomData:docfieldStart id="0" docfieldname="文号" hidden="0" print="1" readonly="0" index="1"/>
        </mc:Choice>
      </mc:AlternateContent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余府办发〔2024〕20号</w:t>
      </w:r>
      <mc:AlternateContent>
        <mc:Choice Requires="wpsCustomData">
          <wpsCustomData:docfieldEnd id="0"/>
        </mc:Choice>
      </mc:AlternateContent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margin">
                  <wp:posOffset>2626360</wp:posOffset>
                </wp:positionV>
                <wp:extent cx="5652135" cy="0"/>
                <wp:effectExtent l="0" t="13970" r="5715" b="24130"/>
                <wp:wrapNone/>
                <wp:docPr id="1" name="直线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52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4" o:spid="_x0000_s1026" o:spt="20" style="position:absolute;left:0pt;margin-left:0pt;margin-top:206.8pt;height:0pt;width:445.05pt;mso-position-horizontal-relative:margin;mso-position-vertical-relative:margin;z-index:251659264;mso-width-relative:page;mso-height-relative:page;" filled="f" stroked="t" coordsize="21600,21600" o:gfxdata="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HC7I&#10;QdYAAAAIAQAADwAAAAAAAAABACAAAAAiAAAAZHJzL2Rvd25yZXYueG1sUEsBAhQAFAAAAAgAh07i&#10;QDZg+oDrAQAA3QMAAA4AAAAAAAAAAQAgAAAAJQEAAGRycy9lMm9Eb2MueG1sUEsFBgAAAAAGAAYA&#10;WQEAAIIFAAAAAA==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1D6B5BDF">
      <w:pPr>
        <w:rPr>
          <w:rFonts w:hint="eastAsia" w:ascii="仿宋_GB2312"/>
          <w:color w:val="auto"/>
        </w:rPr>
      </w:pPr>
    </w:p>
    <w:p w14:paraId="0D5F1D47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mc:AlternateContent>
        <mc:Choice Requires="wpsCustomData">
          <wpsCustomData:docfieldStart id="1" docfieldname="Content" hidden="0" print="1" readonly="0" index="2"/>
        </mc:Choice>
      </mc:AlternateContent>
    </w:p>
    <w:p w14:paraId="685DB62A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新余市人民政府办公室关于印发</w:t>
      </w:r>
    </w:p>
    <w:p w14:paraId="5EA9B521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2024年新余市政务公开工作要点的通知</w:t>
      </w:r>
    </w:p>
    <w:p w14:paraId="27A39D02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bookmarkEnd w:id="0"/>
    </w:p>
    <w:p w14:paraId="50CF4C41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各县（区）人民政府、管委会，市政府各部门、市直各单位：</w:t>
      </w:r>
    </w:p>
    <w:p w14:paraId="66702807">
      <w:pPr>
        <w:shd w:val="clear"/>
        <w:adjustRightInd w:val="0"/>
        <w:snapToGrid w:val="0"/>
        <w:spacing w:before="0" w:line="600" w:lineRule="exact"/>
        <w:ind w:left="0" w:firstLine="640" w:firstLineChars="200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eastAsia="zh-CN"/>
        </w:rPr>
        <w:t>现将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</w:rPr>
        <w:t>《2024年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  <w:lang w:eastAsia="zh-CN"/>
        </w:rPr>
        <w:t>新余市</w:t>
      </w:r>
      <w:r>
        <w:rPr>
          <w:rFonts w:hint="eastAsia" w:ascii="仿宋_GB2312" w:hAnsi="仿宋_GB2312" w:eastAsia="仿宋_GB2312" w:cs="仿宋_GB2312"/>
          <w:color w:val="auto"/>
          <w:spacing w:val="0"/>
          <w:position w:val="0"/>
          <w:sz w:val="32"/>
          <w:szCs w:val="32"/>
        </w:rPr>
        <w:t>政务公开工作要点》印发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</w:rPr>
        <w:t>给你们，请结合实际认真贯彻落实。</w:t>
      </w:r>
    </w:p>
    <w:p w14:paraId="66D44C78">
      <w:pPr>
        <w:shd w:val="clear"/>
        <w:adjustRightInd w:val="0"/>
        <w:snapToGrid w:val="0"/>
        <w:spacing w:before="0" w:line="600" w:lineRule="exact"/>
        <w:ind w:left="0" w:firstLine="640" w:firstLineChars="200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</w:p>
    <w:p w14:paraId="787FAB1C">
      <w:pPr>
        <w:shd w:val="clear"/>
        <w:adjustRightInd w:val="0"/>
        <w:snapToGrid w:val="0"/>
        <w:spacing w:before="0" w:line="600" w:lineRule="exact"/>
        <w:ind w:left="0" w:firstLine="640" w:firstLineChars="200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</w:pPr>
    </w:p>
    <w:p w14:paraId="6FE565C8">
      <w:pPr>
        <w:shd w:val="clear"/>
        <w:wordWrap w:val="0"/>
        <w:adjustRightInd w:val="0"/>
        <w:snapToGrid w:val="0"/>
        <w:spacing w:before="0" w:line="600" w:lineRule="exact"/>
        <w:ind w:left="0" w:firstLine="640" w:firstLineChars="200"/>
        <w:jc w:val="both"/>
        <w:rPr>
          <w:rFonts w:hint="default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cs="仿宋_GB2312"/>
          <w:color w:val="auto"/>
          <w:spacing w:val="0"/>
          <w:sz w:val="32"/>
          <w:szCs w:val="32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eastAsia="zh-CN"/>
        </w:rPr>
        <w:t>新余市人民政府办公室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lang w:val="en-US" w:eastAsia="zh-CN"/>
        </w:rPr>
        <w:t xml:space="preserve">  </w:t>
      </w:r>
    </w:p>
    <w:p w14:paraId="3D02D70D">
      <w:pPr>
        <w:shd w:val="clear"/>
        <w:wordWrap w:val="0"/>
        <w:adjustRightInd w:val="0"/>
        <w:snapToGrid w:val="0"/>
        <w:spacing w:line="600" w:lineRule="exact"/>
        <w:ind w:firstLine="640" w:firstLineChars="200"/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2024年6月</w:t>
      </w:r>
      <w:r>
        <w:rPr>
          <w:rFonts w:hint="eastAsia" w:ascii="仿宋_GB2312" w:hAnsi="仿宋_GB2312" w:cs="仿宋_GB2312"/>
          <w:b w:val="0"/>
          <w:bCs w:val="0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日    </w:t>
      </w:r>
    </w:p>
    <w:p w14:paraId="52740D6F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(此件主动公开)</w:t>
      </w:r>
    </w:p>
    <w:p w14:paraId="62BFE650"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 w14:paraId="51E7B8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024年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新余市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政务公开工作要点</w:t>
      </w:r>
    </w:p>
    <w:p w14:paraId="1DFBBD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0" w:firstLineChars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031285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2024年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我市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政务公开工作的总体要求是：以习近平新时代中国特色社会主义思想为指导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深入贯彻党的二十大精神和习近平总书记考察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西重要讲话精神，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32"/>
          <w:szCs w:val="32"/>
          <w:shd w:val="clear" w:color="auto" w:fill="auto"/>
          <w:lang w:val="en-US" w:eastAsia="zh-CN" w:bidi="ar"/>
        </w:rPr>
        <w:t>认真落实党中央、国务院及省委、省政府对政务公开的决策部署和市委、市政府工作要求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，坚持把党的领导贯彻到政务公开工作全过程各方面，准确把握政务公开职责定位，统筹政务公开和安全保密，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健全制度规范，优化渠道方式，提高公开质效，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以高质量政务公开助推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经济社会高质量发展。根据中共中央办公厅、国务院办公厅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和省政府办公厅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有关文件精神，结合我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实际，制定如下工作要点。</w:t>
      </w:r>
    </w:p>
    <w:p w14:paraId="77026D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一、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聚焦助推重点工作，提升政务公开质量</w:t>
      </w:r>
    </w:p>
    <w:p w14:paraId="19A3B7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（一）持续推进重大战略部署信息公开。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及时公开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制造业重点产业链现代化建设“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6313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”行动计划、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项目带动战略三年行动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等“六大行动计划”工作推进情况。做好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数字经济做优做强“一号发展工程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”、规模以上工业企业数字化转型、“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引客入余”工程、大规模设备更新和消费品以旧换新等政策举措和进展成效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实时发布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“十百千万”工程行动计划、科技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创新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六大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升级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行动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电子商务“十百千万”行动、农产品“三品一标”四大行动和汽车、智能家居、体育赛事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等方面的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进展情况和取得成效等方面信息。加强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民营经济发展壮大系列政策措施、中小企业政府采购支持政策等方面的信息公开。依法推进企业信用信息公开公示。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市发改委、市工信局、市科技局、市商务局、市农业农村局、市文化广电旅游局、</w:t>
      </w:r>
      <w:r>
        <w:rPr>
          <w:rFonts w:hint="eastAsia" w:ascii="楷体_GB2312" w:hAnsi="楷体_GB2312" w:eastAsia="楷体_GB2312" w:cs="楷体_GB2312"/>
          <w:bCs/>
          <w:color w:val="auto"/>
          <w:sz w:val="32"/>
        </w:rPr>
        <w:t>市住建局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、市市场监管局、市体育局按职责分工负责）</w:t>
      </w:r>
    </w:p>
    <w:p w14:paraId="261D0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（二）不断深化民生重点领域信息公开</w:t>
      </w:r>
    </w:p>
    <w:p w14:paraId="4D96A7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深入推进高校毕业生、脱贫劳动力、城镇困难人员、退役军人等重点群体就业政策的信息公开。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（市人社局、市退役军人事务局）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 w14:paraId="0A23E6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继续做好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教育信息公开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，重点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加强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学校和校外培训机构的监管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信息公开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，落实收费公示和公开承诺制度，推进办学资质等信息集中公开。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（市教育局）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 w14:paraId="0CCCDF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加强安全生产领域信息公开，及时公开隐患管理、执法检查、检查和巡查发现安全监管监察问题、灾害事故救援等方面信息。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Cs w:val="0"/>
          <w:color w:val="auto"/>
          <w:sz w:val="32"/>
          <w:szCs w:val="32"/>
        </w:rPr>
        <w:t>市应急管理局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）</w:t>
      </w:r>
    </w:p>
    <w:p w14:paraId="3B2704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u w:val="none"/>
        </w:rPr>
        <w:t>开展征地信息公开标准化规范化试点。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（市自然资源局、渝水区政府）</w:t>
      </w:r>
    </w:p>
    <w:p w14:paraId="249B97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加强棚户区改造、保障性租赁住房等方面的信息公开。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（市住建局）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 xml:space="preserve"> </w:t>
      </w:r>
    </w:p>
    <w:p w14:paraId="5EB874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做好养老服务机构信息和监督检查信息公开。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（市民政局）</w:t>
      </w:r>
    </w:p>
    <w:p w14:paraId="7E0181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</w:rPr>
        <w:t>聚焦促进政策落实，发挥政务公开功能作用</w:t>
      </w:r>
    </w:p>
    <w:p w14:paraId="66E79B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开展政策解读质量提升专项行动</w:t>
      </w:r>
    </w:p>
    <w:p w14:paraId="015D074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坚持政策解读与政策文件同步起草、同步审签、同步发布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。政府规章、规划、行政规范性文件以及其他涉及公民、法人和其他社会组织权利义务的政策文件的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解读率要达到100%。对拟以市政府、市政府办名义出台属性为主动公开的政策性文件，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部门没有随文附报解读材料的，政府办公室不予收文办理。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、县〔区〕人民政府〔管委会〕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按职责分工负责）</w:t>
      </w:r>
    </w:p>
    <w:p w14:paraId="0F981A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组织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开展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政策解读优秀案例评选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活动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（市政府办公室）</w:t>
      </w:r>
    </w:p>
    <w:p w14:paraId="3FABB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各地各部门应通过新闻发布会、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图片、视频、互动直播、简明问答、现场宣讲等多元化形式开展政策解读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县（区）政府（管委会）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和市级部门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负责同志应出席新闻发布会宣讲解读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重大政策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（市政府各部门、市直有关单位、县〔区〕人民政府〔管委会〕）</w:t>
      </w:r>
    </w:p>
    <w:p w14:paraId="00516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（二）优化政策发布推送与咨询服务</w:t>
      </w:r>
    </w:p>
    <w:p w14:paraId="1C2491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1.各地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各部门制定的行政规范性文件、重大政策文件，要在文件公开后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个工作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日内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，将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解读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材料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通过政府网站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政务媒体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同步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发布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（市政府各部门、市直有关单位、县〔区〕人民政府〔管委会〕）</w:t>
      </w:r>
    </w:p>
    <w:p w14:paraId="1EA78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2.持续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推动政策个性化、主动化供给。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强化线下政策推送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针</w:t>
      </w:r>
      <w:r>
        <w:rPr>
          <w:rFonts w:hint="eastAsia" w:ascii="仿宋_GB2312" w:hAnsi="Calibri" w:eastAsia="仿宋_GB2312" w:cs="仿宋_GB2312"/>
          <w:b w:val="0"/>
          <w:bCs w:val="0"/>
          <w:color w:val="auto"/>
          <w:sz w:val="31"/>
          <w:szCs w:val="31"/>
          <w:shd w:val="clear" w:color="auto" w:fill="FFFFFF"/>
          <w:lang w:eastAsia="zh-CN"/>
        </w:rPr>
        <w:t>对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</w:rPr>
        <w:t>关注度高、专业性强、办事需求量大的政策</w:t>
      </w:r>
      <w:r>
        <w:rPr>
          <w:rFonts w:hint="eastAsia" w:ascii="仿宋_GB2312" w:hAnsi="Calibri" w:eastAsia="仿宋_GB2312" w:cs="仿宋_GB2312"/>
          <w:b w:val="0"/>
          <w:bCs w:val="0"/>
          <w:color w:val="auto"/>
          <w:sz w:val="31"/>
          <w:szCs w:val="31"/>
          <w:shd w:val="clear" w:color="auto" w:fill="FFFFFF"/>
          <w:lang w:eastAsia="zh-CN"/>
        </w:rPr>
        <w:t>，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深入企业、园区、社区开展专场政策解读活动。推进线上政策直达，加强“</w:t>
      </w:r>
      <w:r>
        <w:rPr>
          <w:rFonts w:hint="eastAsia" w:ascii="仿宋_GB2312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赣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企通”平台推广使用，推进惠企政策精准直达。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市政府办公室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、市政务服务中心牵头，市政府各部门、市直有关单位、县〔区〕人民政府〔管委会〕按职责分工负责）</w:t>
      </w:r>
    </w:p>
    <w:p w14:paraId="38EE37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3.为企业群众提供“政策+解读+咨询+办事”的综合解读服务。各地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各部门要持续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畅通政策咨询渠道，及时更新政策解读员信息，强化12345政务服务便民热线的政策咨询作用。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在全市行政规范性文件库上线“阅后即办”功能，各地各部门行政规范性文件包含依申请政务服务事项的，应提供办事服务链接，便利企业群众使用政策。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（市政府办公室、市大数据中心、市政务服务中心、市城管局牵头，市政府各部门、市直有关单位、县〔区〕人民政府〔管委会〕按职责分工负责）</w:t>
      </w:r>
    </w:p>
    <w:p w14:paraId="0D77A1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（三）加强重大政策落实结果评价</w:t>
      </w:r>
    </w:p>
    <w:p w14:paraId="58A81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1.加强政策实施后的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跟踪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问效，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及时梳理总结政策实施效果。常态化开展</w:t>
      </w:r>
      <w:r>
        <w:rPr>
          <w:rFonts w:hint="eastAsia" w:ascii="仿宋_GB2312" w:hAnsi="Calibri" w:eastAsia="仿宋_GB2312" w:cs="仿宋_GB2312"/>
          <w:i w:val="0"/>
          <w:iCs w:val="0"/>
          <w:caps w:val="0"/>
          <w:color w:val="auto"/>
          <w:spacing w:val="0"/>
          <w:sz w:val="31"/>
          <w:szCs w:val="31"/>
          <w:shd w:val="clear" w:color="auto" w:fill="FFFFFF"/>
          <w:lang w:val="en-US" w:eastAsia="zh-CN"/>
        </w:rPr>
        <w:t>优秀案例征集评选活动，提炼总结政策制定、政策解读、政策推送、政策落地等方面的典型案例，及时向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《江西·政能亮》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节目报送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（市政府办公室牵头，市政府各部门、市直有关单位、县〔区〕人民政府〔管委会〕按职责分工负责）</w:t>
      </w:r>
    </w:p>
    <w:p w14:paraId="2E0EDF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探索建立重大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行政决策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落实情况评价机制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，选择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部分领域开展专题性政策评价工作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，助力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察实情见实效。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（市政府办公室）</w:t>
      </w:r>
    </w:p>
    <w:p w14:paraId="3479E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三、聚焦夯实工作基础，提升政务公开业务能力</w:t>
      </w:r>
    </w:p>
    <w:p w14:paraId="168E1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（一）统筹政务公开和安全保密</w:t>
      </w:r>
    </w:p>
    <w:p w14:paraId="0C3D16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1.根据法律、法规、规章关于主动公开信息的规定，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分领域、分层级确定法定公开事项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。以《新余市主动公开事项责任目录清单（2023年）》为基础，优化调整主动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公开事项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目录清单。推动目录与网站主动公开目录、业务系统的融合应用，探索“一地创新、多地复用”路径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（市政府办公室牵头，市政府各部门、市直有关单位、县〔区〕人民政府〔管委会〕按职责分工负责）</w:t>
      </w:r>
    </w:p>
    <w:p w14:paraId="710884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坚持“先审查、后公开”和“一事一审”原则，依法对拟公开信息进行保密审查，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公开信息不得涉及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国家秘密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和法律法规禁止公开的信息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（市政府各部门、市直有关单位、县〔区〕人民政府〔管委会〕）</w:t>
      </w:r>
    </w:p>
    <w:p w14:paraId="49464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继续深入推进公共企事业单位信息公开，各主管部门负责制定发布本领域公共企事业单位信息公开制度，指导公共企事业单位优化主动公开目录，及时发布信息。加强对用户数量多、公共属性强、具有系统性重要性的公共企事业单位信息公开工作的监督管理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（市政府办公室牵头，市教育局、市卫健委、市住建局、市发改委、市水利局、市生态环境局、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</w:rPr>
        <w:t>市交通运输局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、县〔区〕人民政府〔管委会〕按职责分工负责）</w:t>
      </w:r>
    </w:p>
    <w:p w14:paraId="69C81D93">
      <w:pPr>
        <w:pStyle w:val="2"/>
        <w:adjustRightInd w:val="0"/>
        <w:snapToGrid w:val="0"/>
        <w:spacing w:line="560" w:lineRule="exact"/>
        <w:ind w:firstLine="64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加快推进新余市行政规范性文件库建设。对标省政府行政规范性文件数据标准，对全市在库文件电子数据进行检查整理，确保在库文件电子数据要素齐全、格式规范。做好行政规范性文件库动态更新，新制发的行政规范性文件及时入库，失效的规范性文件及时清理。市司法局做好规范性文件监督工作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、市司法局、县〔区〕人民政府〔管委会〕）</w:t>
      </w:r>
    </w:p>
    <w:p w14:paraId="4EB06730">
      <w:pPr>
        <w:pStyle w:val="2"/>
        <w:adjustRightInd w:val="0"/>
        <w:snapToGrid w:val="0"/>
        <w:spacing w:line="560" w:lineRule="exact"/>
        <w:ind w:firstLine="640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（二）规范政府信息依申请公开办理答复</w:t>
      </w:r>
    </w:p>
    <w:p w14:paraId="184F50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以贯彻实施新修订的行政复议法为契机，修订完善依申请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公开工作规范，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促进工作的规范化、标准化、专业化，提升工作效率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。健全采取合理手段规制滥用申请权情形，依法维护政府信息公开工作秩序。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（市政府办公室、县〔区〕人民政府〔管委会〕）</w:t>
      </w:r>
    </w:p>
    <w:p w14:paraId="6493D7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2.继续开展依申请公开办理质量提升专项行动，切实增强工作规范性，保障答复质效和办理时限。（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43856D2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3.坚持服务理念，主动跨前与申请人做好沟通，依法准确回应信息获取需求，防范和化解矛盾。（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52B2D7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（三）持续推进基层政务公开标准化规范化建设</w:t>
      </w:r>
    </w:p>
    <w:p w14:paraId="0FC44A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1.强化第一批基层政务公开标准化规范化“十县百乡”建设成果运用，扎实推进第二批基层政务公开标准化规范化建设。（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70CCC7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jc w:val="both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2.提高基层重大决策公众参与度，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将公众参与作为县、乡两级政府在开展重大建设项目、公共资源配置、社会公益事业等工作中的必经程序，纳入政务公开考核内容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</w:p>
    <w:p w14:paraId="44A4F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（四）规范重大行政决策程序管理</w:t>
      </w:r>
    </w:p>
    <w:p w14:paraId="57872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各地各部门要深入贯彻落实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《重大行政决策程序暂行条例》（国务院令第713号）、《江西省县级以上人民政府重大行政决策程序规定》（江西省人民政府令第247号）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，组织编制本地本部门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2024年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重大行政决策事项目录，经同级党委（党组）同意后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向社会公开，并实行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动态管理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</w:p>
    <w:p w14:paraId="180F14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重大行政决策事项目录内的事项必须依法履行公众参与程序，通过政府网站、政务新媒体向社会公开征询意见。也可采取座谈会、听证会、实地走访、民意调查等方式针对性地征集社会意见，制定涉企政策时，注重听取相关企业和行业协会商会意见；制定涉及特定群体利益政策时，注重听取相关人民团体、社会组织、群体代表的意见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）</w:t>
      </w:r>
    </w:p>
    <w:p w14:paraId="561E23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3.通过政府网站、政务新媒体向社会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公开征求意见的期限一般不少于30日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，公开征集意见的政策草案要同步开展解读，讲明讲透政策，引导好社会预期。（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111348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4.在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重大行政决策公布之日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起20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个工作日内，通过政府网站反馈公众提出意见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采纳情况，对不予采纳的意见和建议，说明理由。通过座谈会、听证会、实地走访、民意调查等其他方式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征求社会公众意见建议的，也应反馈意见采纳情况。（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796BA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</w:rPr>
        <w:t>聚焦平台载体建设，提升政务公开服务水平</w:t>
      </w:r>
    </w:p>
    <w:p w14:paraId="011AFC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（一）推动政务公开渠道平台规范发展</w:t>
      </w:r>
    </w:p>
    <w:p w14:paraId="377800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1.推进政务公开相关业务数据化。优化和重构工作流程，推进政务公开业务工作与政府网站集约化平台等信息系统的融合，加强对平台数据的分析和利用，提高工作效率。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（市政府办公室、市大数据中心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219D0B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规范政府网站信息公开专栏，集中规范展示政府信息公开指南、政府信息公开制度、法定主动公开内容、信息公开年报等栏目。优化栏目间数据互联互通功能，在政策文件库中发布的公文，需要在网站其他栏目展示的，原则上不做重复录入，应通过“抄送”“重定向”“插入超链接”等网站功能将相关公文发布到其他栏目，确保数据同源，便于信息公开后的管理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（市大数据中心、各政府网站主办单位、县〔区〕人民政府〔管委会〕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4B8C4A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3.完善政府网站集约化平台，提升日常监管的自动化、智能化水平，对更新超期、严重表述错误、隐私泄露等问题实时监测、及时预警和处置。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（市大数据中心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1461F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4.开展政府网站信息清理专项行动，定期清理过时、失效内容，防范信息汇聚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引发泄密风险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（市政府办公室、市大数据中心牵头，各政府网站主办单位、县〔区〕人民政府〔管委会〕按职责分工负责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0F5669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5.严格落实政务新媒体备案和动态管理制度。积极参加江西省政府系统优秀微信公众号评选活动，加强政务新媒体功能建设，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val="en-US" w:eastAsia="zh-CN"/>
        </w:rPr>
        <w:t>畅通互动交流渠道，更好满足企业和群众个性化需求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。加强政务新媒体日常巡检，及时发现和整改问题。着力解决好政务新媒体运营管理中的突出问题，防止数字形式主义。（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市政府办公室、市大数据中心牵头，各政务新媒体主办单位、县〔区〕人民政府〔管委会〕按职责分工负责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38419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6.加快政府公报数字化，合理减少纸质版政府公报印发数量。（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市政府办公室、县〔区〕人民政府〔管委会〕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23F92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（二）持续优化政企政民互动渠道</w:t>
      </w:r>
    </w:p>
    <w:p w14:paraId="5A01B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1.深化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“政府开放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活动，结合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开展以民生实事为主要内容的开放活动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通过答疑、问卷调查等方式加强与公众的互动，深入了解公众需求。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4B595E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统筹做好“12345”政务服务便民热线、“人民网领导留言板”“领导信箱”“我为政府网站找错”“意见征集栏目”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等政民互动渠道的日常维护工作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强化结果分析运用。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严格落实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“我为政府网站找错”网民留言3个工作日内答复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要求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（市政府办公室、市城管局、市大数据中心、县〔区〕人民政府〔管委会〕）</w:t>
      </w:r>
    </w:p>
    <w:p w14:paraId="19A3F7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3.进一步规范政务公开专区功能，加强对县区、乡镇专区政府信息查询、信息公开申请、政策咨询服务、政策宣传解读等功能建设的监督和指导。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（市政府办公室、市政务服务中心、县〔区〕人民政府〔管委会〕）</w:t>
      </w:r>
    </w:p>
    <w:p w14:paraId="248BF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（三）健全政务舆情会商处置机制</w:t>
      </w:r>
    </w:p>
    <w:p w14:paraId="12F0D2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按照“谁主管谁回应、谁处置谁回应”的原则，严格落实政务舆情处置回应主体责任。健全涉余政务舆情监测和快速处置机制，督促各地各有关部门及时调查研判，妥善应对处置，为经济社会发展营造良好舆论环境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（市政府办公室、市政府各部门、市直有关单位、县〔区〕人民政府〔管委会〕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70C15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五、聚焦强化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color="auto" w:fill="auto"/>
          <w:lang w:eastAsia="zh-CN"/>
        </w:rPr>
        <w:t>监督保障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，推动政务公开任务落实</w:t>
      </w:r>
    </w:p>
    <w:p w14:paraId="33354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（一）进一步加强工作考核</w:t>
      </w:r>
    </w:p>
    <w:p w14:paraId="204800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进一步完善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全市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政务公开工作考评办法，优化考评指标体系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，加强对省、市政务公开工作要点贯彻落实情况的考核。</w:t>
      </w:r>
      <w:r>
        <w:rPr>
          <w:rFonts w:hint="eastAsia" w:ascii="楷体_GB2312" w:hAnsi="楷体_GB2312" w:eastAsia="楷体_GB2312" w:cs="楷体_GB2312"/>
          <w:color w:val="auto"/>
          <w:sz w:val="32"/>
          <w:szCs w:val="32"/>
          <w:lang w:val="en-US" w:eastAsia="zh-CN"/>
        </w:rPr>
        <w:t>（市政府办公室、县〔区〕人民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政府〔管委会〕）</w:t>
      </w:r>
    </w:p>
    <w:p w14:paraId="6B162F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综合运用数字化手段，收集分析相关单位工作业绩和自然痕迹，切实减轻基层考核“报表”“台账”负担。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（市政府办公室）</w:t>
      </w:r>
    </w:p>
    <w:p w14:paraId="40B4E6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（二）进一步加强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指导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培训</w:t>
      </w:r>
    </w:p>
    <w:p w14:paraId="674615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各地各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部门主要负责同志每年至少听取一次政务公开工作汇报，及时研究解决政务公开工作中的突出问题。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（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市政府各部门、市直有关单位、县〔区〕人民政府〔管委会〕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2293B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2.认真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做好政务公开业务培训，确保各单位政务公开分管领导和工作人员年内至少参加一次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市级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业务培训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进一步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增强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培训的针对性和实效性。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75788B3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val="en-US" w:eastAsia="zh-CN"/>
        </w:rPr>
        <w:t>（三）进一步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凝聚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  <w:lang w:eastAsia="zh-CN"/>
        </w:rPr>
        <w:t>工作</w:t>
      </w:r>
      <w:r>
        <w:rPr>
          <w:rFonts w:hint="eastAsia" w:ascii="楷体_GB2312" w:hAnsi="楷体_GB2312" w:eastAsia="楷体_GB2312" w:cs="楷体_GB2312"/>
          <w:b/>
          <w:bCs/>
          <w:color w:val="auto"/>
          <w:sz w:val="32"/>
          <w:szCs w:val="32"/>
        </w:rPr>
        <w:t>合力</w:t>
      </w:r>
    </w:p>
    <w:p w14:paraId="2E3FFA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以开展“大抓落实年”活动为契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机，有力有序推进政务公开各项工作。各地各部门要紧密结合政务公开工作实际，做好任务分解，明确责任单位和落实时限，于本工作要点发布后30日内报送市政府办公室。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1FB28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深入挖掘各地各部门在政策宣传解读、政务舆情回应、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  <w:t>主动公开目录编制、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公共企事业单位信息公开、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  <w:t>政府网站与政务新媒体管理等方面的创新亮点和典型经验，做好政务公开优秀案例征集和推广工作，推动政务公开工作走深走实。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1807AE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根据有关规定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，评选全市政务公开先进集体和先进个人，对政务公开工作推动有力、成效突出的单位和个人予以表扬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。对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工作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落实不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到位、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违反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相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关规定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的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，依法依规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追责问责</w:t>
      </w:r>
      <w: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。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（市政府办公室牵头，市政府各部门、市直有关单位、县〔区〕人民政府〔管委会〕按职责分工负责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）</w:t>
      </w:r>
    </w:p>
    <w:p w14:paraId="1BB19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543883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2BC30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w:p w14:paraId="5CC0F0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</w:rPr>
      </w:pPr>
    </w:p>
    <mc:AlternateContent>
      <mc:Choice Requires="wpsCustomData">
        <wpsCustomData:docfieldEnd id="1"/>
      </mc:Choice>
    </mc:AlternateContent>
    <w:p w14:paraId="5CE324C9">
      <w:pPr>
        <w:adjustRightInd w:val="0"/>
        <w:snapToGrid w:val="0"/>
        <w:spacing w:line="660" w:lineRule="exact"/>
        <w:rPr>
          <w:rFonts w:hint="eastAsia"/>
          <w:color w:val="auto"/>
        </w:rPr>
      </w:pPr>
    </w:p>
    <w:p w14:paraId="7C27DB5B">
      <w:pPr>
        <w:adjustRightInd w:val="0"/>
        <w:snapToGrid w:val="0"/>
        <w:spacing w:line="660" w:lineRule="exact"/>
        <w:rPr>
          <w:rFonts w:hint="default"/>
          <w:color w:val="auto"/>
          <w:lang w:val="en-US" w:eastAsia="zh-CN"/>
        </w:rPr>
      </w:pPr>
    </w:p>
    <w:p w14:paraId="661CD853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600" w:lineRule="exact"/>
        <w:rPr>
          <w:color w:val="auto"/>
        </w:rPr>
      </w:pPr>
    </w:p>
    <w:p w14:paraId="033162E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600" w:lineRule="exact"/>
        <w:ind w:left="0" w:leftChars="0" w:firstLine="280" w:firstLineChars="100"/>
        <w:jc w:val="both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57785</wp:posOffset>
                </wp:positionV>
                <wp:extent cx="5687695" cy="0"/>
                <wp:effectExtent l="0" t="4445" r="0" b="508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pt;margin-top:4.55pt;height:0pt;width:447.85pt;z-index:251661312;mso-width-relative:page;mso-height-relative:page;" filled="f" stroked="t" coordsize="21600,21600" o:gfxdata="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s5+j90gAAAAUBAAAPAAAAAAAAAAEAIAAAACIAAABkcnMvZG93bnJldi54bWxQSwEC&#10;FAAUAAAACACHTuJA8+bC/foBAADyAwAADgAAAAAAAAABACAAAAAhAQAAZHJzL2Uyb0RvYy54bWxQ&#10;SwUGAAAAAAYABgBZAQAAjQ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抄送：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市委，市纪委市监委，</w:t>
      </w:r>
      <w:r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市人大常委会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，</w:t>
      </w:r>
      <w:r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市政协，新余军分区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，</w:t>
      </w:r>
    </w:p>
    <w:p w14:paraId="727F94C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bidi w:val="0"/>
        <w:spacing w:line="600" w:lineRule="exact"/>
        <w:ind w:left="0" w:leftChars="0" w:firstLine="1120" w:firstLineChars="400"/>
        <w:jc w:val="both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市委各部门，</w:t>
      </w:r>
      <w:r>
        <w:rPr>
          <w:rFonts w:hint="default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市中级法院，市检察院，群众团体</w:t>
      </w: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lang w:val="en-US" w:eastAsia="zh-CN" w:bidi="ar-SA"/>
        </w:rPr>
        <w:t>。</w:t>
      </w:r>
    </w:p>
    <w:p w14:paraId="14F3B0D9">
      <w:pPr>
        <w:spacing w:line="600" w:lineRule="exact"/>
        <w:ind w:firstLine="280" w:firstLineChars="100"/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429260</wp:posOffset>
                </wp:positionV>
                <wp:extent cx="5687695" cy="0"/>
                <wp:effectExtent l="0" t="4445" r="0" b="508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3.8pt;height:0pt;width:447.85pt;z-index:251662336;mso-width-relative:page;mso-height-relative:page;" filled="f" stroked="t" coordsize="21600,21600" o:gfxdata="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NJdvuLUAAAABgEAAA8AAAAAAAAAAQAgAAAAIgAAAGRycy9kb3ducmV2LnhtbFBL&#10;AQIUABQAAAAIAIdO4kBc0lFf+gEAAPIDAAAOAAAAAAAAAAEAIAAAACMBAABkcnMvZTJvRG9jLnht&#10;bFBLBQYAAAAABgAGAFkBAACP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5687695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769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.5pt;height:0pt;width:447.85pt;z-index:251660288;mso-width-relative:page;mso-height-relative:page;" filled="f" stroked="t" coordsize="21600,21600" o:gfxdata="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Jp5sA9MAAAAEAQAADwAAAAAAAAABACAAAAAiAAAAZHJzL2Rvd25yZXYueG1sUEsB&#10;AhQAFAAAAAgAh07iQDxl2Sb6AQAA8gMAAA4AAAAAAAAAAQAgAAAAIgEAAGRycy9lMm9Eb2MueG1s&#10;UEsFBgAAAAAGAAYAWQEAAI4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新余市人民政府办公室秘书科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 xml:space="preserve">  202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4" w:left="1587" w:header="0" w:footer="1587" w:gutter="0"/>
      <w:paperSrc w:first="262" w:other="262"/>
      <w:cols w:space="720" w:num="1"/>
      <w:rtlGutter w:val="0"/>
      <w:docGrid w:type="linesAndChars"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63B01">
    <w:pPr>
      <w:pStyle w:val="3"/>
      <w:ind w:right="360" w:firstLine="360"/>
      <w:jc w:val="right"/>
      <w:rPr>
        <w:rFonts w:hint="eastAsia" w:ascii="宋体" w:hAnsi="宋体" w:eastAsia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DA0796A">
                          <w:pPr>
                            <w:pStyle w:val="3"/>
                            <w:ind w:right="360" w:firstLine="360"/>
                            <w:jc w:val="right"/>
                          </w:pP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－ 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kern w:val="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kern w:val="0"/>
                              <w:sz w:val="28"/>
                              <w:szCs w:val="28"/>
                            </w:rPr>
                            <w:t xml:space="preserve"> －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DNJQg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DA0796A">
                    <w:pPr>
                      <w:pStyle w:val="3"/>
                      <w:ind w:right="360" w:firstLine="360"/>
                      <w:jc w:val="right"/>
                    </w:pP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－ 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instrText xml:space="preserve"> PAGE </w:instrTex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kern w:val="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kern w:val="0"/>
                        <w:sz w:val="28"/>
                        <w:szCs w:val="28"/>
                      </w:rPr>
                      <w:t xml:space="preserve"> －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7E86C0">
    <w:pPr>
      <w:pStyle w:val="3"/>
      <w:ind w:right="360" w:firstLine="360"/>
      <w:rPr>
        <w:rFonts w:hint="eastAsia" w:ascii="宋体" w:hAnsi="宋体" w:eastAsia="宋体"/>
        <w:sz w:val="28"/>
        <w:szCs w:val="28"/>
      </w:rPr>
    </w:pPr>
    <w:r>
      <w:rPr>
        <w:rFonts w:hint="eastAsia" w:ascii="宋体" w:hAnsi="宋体" w:eastAsia="宋体"/>
        <w:kern w:val="0"/>
        <w:sz w:val="28"/>
        <w:szCs w:val="28"/>
      </w:rPr>
      <w:t>－</w:t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ascii="宋体" w:hAnsi="宋体" w:eastAsia="宋体"/>
        <w:kern w:val="0"/>
        <w:sz w:val="28"/>
        <w:szCs w:val="28"/>
      </w:rPr>
      <w:fldChar w:fldCharType="begin"/>
    </w:r>
    <w:r>
      <w:rPr>
        <w:rFonts w:ascii="宋体" w:hAnsi="宋体" w:eastAsia="宋体"/>
        <w:kern w:val="0"/>
        <w:sz w:val="28"/>
        <w:szCs w:val="28"/>
      </w:rPr>
      <w:instrText xml:space="preserve"> PAGE </w:instrText>
    </w:r>
    <w:r>
      <w:rPr>
        <w:rFonts w:ascii="宋体" w:hAnsi="宋体" w:eastAsia="宋体"/>
        <w:kern w:val="0"/>
        <w:sz w:val="28"/>
        <w:szCs w:val="28"/>
      </w:rPr>
      <w:fldChar w:fldCharType="separate"/>
    </w:r>
    <w:r>
      <w:rPr>
        <w:rFonts w:ascii="宋体" w:hAnsi="宋体" w:eastAsia="宋体"/>
        <w:kern w:val="0"/>
        <w:sz w:val="28"/>
        <w:szCs w:val="28"/>
      </w:rPr>
      <w:t>2</w:t>
    </w:r>
    <w:r>
      <w:rPr>
        <w:rFonts w:ascii="宋体" w:hAnsi="宋体" w:eastAsia="宋体"/>
        <w:kern w:val="0"/>
        <w:sz w:val="28"/>
        <w:szCs w:val="28"/>
      </w:rPr>
      <w:fldChar w:fldCharType="end"/>
    </w:r>
    <w:r>
      <w:rPr>
        <w:rFonts w:ascii="宋体" w:hAnsi="宋体" w:eastAsia="宋体"/>
        <w:kern w:val="0"/>
        <w:sz w:val="28"/>
        <w:szCs w:val="28"/>
      </w:rPr>
      <w:t xml:space="preserve"> </w:t>
    </w:r>
    <w:r>
      <w:rPr>
        <w:rFonts w:hint="eastAsia" w:ascii="宋体" w:hAnsi="宋体" w:eastAsia="宋体"/>
        <w:kern w:val="0"/>
        <w:sz w:val="28"/>
        <w:szCs w:val="28"/>
      </w:rPr>
      <w:t>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iZWMzYjg4YmJjMTM2M2RlYTIwNjc3ZWIxNWIyYzcifQ=="/>
  </w:docVars>
  <w:rsids>
    <w:rsidRoot w:val="00000000"/>
    <w:rsid w:val="049C6646"/>
    <w:rsid w:val="3EAB0813"/>
    <w:rsid w:val="4FF6F8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qFormat/>
    <w:uiPriority w:val="0"/>
    <w:rPr>
      <w:rFonts w:ascii="宋体" w:hAnsi="Courier New" w:eastAsia="宋体" w:cs="Times New Roman"/>
      <w:sz w:val="21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5806</Words>
  <Characters>5900</Characters>
  <Lines>0</Lines>
  <Paragraphs>0</Paragraphs>
  <TotalTime>0</TotalTime>
  <ScaleCrop>false</ScaleCrop>
  <LinksUpToDate>false</LinksUpToDate>
  <CharactersWithSpaces>5976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  </cp:lastModifiedBy>
  <dcterms:modified xsi:type="dcterms:W3CDTF">2024-06-26T07:25:00Z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8E7A2236DD2841878D8C34B32FED47FC_13</vt:lpwstr>
  </property>
</Properties>
</file>