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2258D0">
      <w:pPr>
        <w:spacing w:line="640" w:lineRule="exact"/>
        <w:jc w:val="center"/>
        <w:rPr>
          <w:rFonts w:hint="eastAsia" w:ascii="方正小标宋简体" w:hAnsi="方正小标宋简体" w:eastAsia="方正小标宋简体" w:cs="方正小标宋简体"/>
          <w:sz w:val="44"/>
          <w:szCs w:val="48"/>
          <w:lang w:eastAsia="zh-CN"/>
        </w:rPr>
      </w:pPr>
      <w:r>
        <w:rPr>
          <w:rFonts w:hint="eastAsia" w:ascii="方正小标宋简体" w:hAnsi="方正小标宋简体" w:eastAsia="方正小标宋简体" w:cs="方正小标宋简体"/>
          <w:sz w:val="44"/>
          <w:szCs w:val="48"/>
        </w:rPr>
        <w:t>202</w:t>
      </w:r>
      <w:r>
        <w:rPr>
          <w:rFonts w:ascii="方正小标宋简体" w:hAnsi="方正小标宋简体" w:eastAsia="方正小标宋简体" w:cs="方正小标宋简体"/>
          <w:sz w:val="44"/>
          <w:szCs w:val="48"/>
        </w:rPr>
        <w:t>4</w:t>
      </w:r>
      <w:r>
        <w:rPr>
          <w:rFonts w:hint="eastAsia" w:ascii="方正小标宋简体" w:hAnsi="方正小标宋简体" w:eastAsia="方正小标宋简体" w:cs="方正小标宋简体"/>
          <w:sz w:val="44"/>
          <w:szCs w:val="48"/>
        </w:rPr>
        <w:t>年</w:t>
      </w:r>
      <w:r>
        <w:rPr>
          <w:rFonts w:hint="eastAsia" w:ascii="方正小标宋简体" w:hAnsi="方正小标宋简体" w:eastAsia="方正小标宋简体" w:cs="方正小标宋简体"/>
          <w:sz w:val="44"/>
          <w:szCs w:val="48"/>
          <w:lang w:val="en-US" w:eastAsia="zh-CN"/>
        </w:rPr>
        <w:t>11</w:t>
      </w:r>
      <w:r>
        <w:rPr>
          <w:rFonts w:hint="eastAsia" w:ascii="方正小标宋简体" w:hAnsi="方正小标宋简体" w:eastAsia="方正小标宋简体" w:cs="方正小标宋简体"/>
          <w:sz w:val="44"/>
          <w:szCs w:val="48"/>
        </w:rPr>
        <w:t>月</w:t>
      </w:r>
      <w:r>
        <w:rPr>
          <w:rFonts w:hint="eastAsia" w:ascii="方正小标宋简体" w:hAnsi="方正小标宋简体" w:eastAsia="方正小标宋简体" w:cs="方正小标宋简体"/>
          <w:sz w:val="44"/>
          <w:szCs w:val="48"/>
          <w:lang w:val="en-US" w:eastAsia="zh-CN"/>
        </w:rPr>
        <w:t>新余</w:t>
      </w:r>
      <w:r>
        <w:rPr>
          <w:rFonts w:hint="eastAsia" w:ascii="方正小标宋简体" w:hAnsi="方正小标宋简体" w:eastAsia="方正小标宋简体" w:cs="方正小标宋简体"/>
          <w:sz w:val="44"/>
          <w:szCs w:val="48"/>
        </w:rPr>
        <w:t>市环境空气质量状况</w:t>
      </w:r>
      <w:r>
        <w:rPr>
          <w:rFonts w:hint="eastAsia" w:ascii="方正小标宋简体" w:hAnsi="方正小标宋简体" w:eastAsia="方正小标宋简体" w:cs="方正小标宋简体"/>
          <w:sz w:val="44"/>
          <w:szCs w:val="48"/>
          <w:lang w:val="en-US" w:eastAsia="zh-CN"/>
        </w:rPr>
        <w:t>报告</w:t>
      </w:r>
    </w:p>
    <w:p w14:paraId="17B5F876">
      <w:pPr>
        <w:spacing w:line="560" w:lineRule="exact"/>
        <w:jc w:val="center"/>
        <w:rPr>
          <w:b/>
          <w:bCs/>
          <w:sz w:val="44"/>
          <w:szCs w:val="48"/>
        </w:rPr>
      </w:pPr>
    </w:p>
    <w:p w14:paraId="747F40F5">
      <w:pPr>
        <w:spacing w:line="560" w:lineRule="exact"/>
        <w:ind w:firstLine="640" w:firstLineChars="200"/>
        <w:rPr>
          <w:rFonts w:eastAsia="仿宋_GB2312"/>
          <w:sz w:val="32"/>
          <w:szCs w:val="32"/>
        </w:rPr>
      </w:pPr>
      <w:r>
        <w:rPr>
          <w:rFonts w:eastAsia="仿宋_GB2312"/>
          <w:sz w:val="32"/>
          <w:szCs w:val="32"/>
        </w:rPr>
        <w:t>2024年</w:t>
      </w:r>
      <w:r>
        <w:rPr>
          <w:rFonts w:hint="eastAsia" w:eastAsia="仿宋_GB2312"/>
          <w:sz w:val="32"/>
          <w:szCs w:val="32"/>
          <w:lang w:val="en-US" w:eastAsia="zh-CN"/>
        </w:rPr>
        <w:t>11</w:t>
      </w:r>
      <w:r>
        <w:rPr>
          <w:rFonts w:eastAsia="仿宋_GB2312"/>
          <w:sz w:val="32"/>
          <w:szCs w:val="32"/>
        </w:rPr>
        <w:t>月，全市细颗粒物PM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29</w:t>
      </w:r>
      <w:r>
        <w:rPr>
          <w:rFonts w:eastAsia="仿宋_GB2312"/>
          <w:sz w:val="32"/>
          <w:szCs w:val="32"/>
        </w:rPr>
        <w:t>微克/立方米（省月均值</w:t>
      </w:r>
      <w:r>
        <w:rPr>
          <w:rFonts w:hint="eastAsia" w:eastAsia="仿宋_GB2312"/>
          <w:sz w:val="32"/>
          <w:szCs w:val="32"/>
          <w:lang w:val="en-US" w:eastAsia="zh-CN"/>
        </w:rPr>
        <w:t>27</w:t>
      </w:r>
      <w:r>
        <w:rPr>
          <w:rFonts w:eastAsia="仿宋_GB2312"/>
          <w:sz w:val="32"/>
          <w:szCs w:val="32"/>
        </w:rPr>
        <w:t>微克/立方米）</w:t>
      </w:r>
      <w:r>
        <w:rPr>
          <w:rFonts w:eastAsia="仿宋_GB2312"/>
          <w:color w:val="000000"/>
          <w:sz w:val="32"/>
          <w:szCs w:val="32"/>
        </w:rPr>
        <w:t>，</w:t>
      </w:r>
      <w:r>
        <w:rPr>
          <w:rFonts w:eastAsia="仿宋_GB2312"/>
          <w:sz w:val="32"/>
          <w:szCs w:val="32"/>
        </w:rPr>
        <w:t>同比</w:t>
      </w:r>
      <w:r>
        <w:rPr>
          <w:rFonts w:hint="eastAsia" w:eastAsia="仿宋_GB2312"/>
          <w:sz w:val="32"/>
          <w:szCs w:val="32"/>
        </w:rPr>
        <w:t>下降</w:t>
      </w:r>
      <w:r>
        <w:rPr>
          <w:rFonts w:hint="eastAsia" w:eastAsia="仿宋_GB2312"/>
          <w:sz w:val="32"/>
          <w:szCs w:val="32"/>
          <w:lang w:val="en-US" w:eastAsia="zh-CN"/>
        </w:rPr>
        <w:t>17.1</w:t>
      </w:r>
      <w:r>
        <w:rPr>
          <w:rFonts w:hint="eastAsia" w:eastAsia="仿宋_GB2312"/>
          <w:sz w:val="32"/>
          <w:szCs w:val="32"/>
        </w:rPr>
        <w:t>%</w:t>
      </w:r>
      <w:r>
        <w:rPr>
          <w:rFonts w:eastAsia="仿宋_GB2312"/>
          <w:sz w:val="32"/>
          <w:szCs w:val="32"/>
        </w:rPr>
        <w:t>。全市</w:t>
      </w:r>
      <w:r>
        <w:rPr>
          <w:rFonts w:hint="eastAsia" w:eastAsia="仿宋_GB2312"/>
          <w:sz w:val="32"/>
          <w:szCs w:val="32"/>
        </w:rPr>
        <w:t>可吸入颗粒物</w:t>
      </w:r>
      <w:r>
        <w:rPr>
          <w:rFonts w:eastAsia="仿宋_GB2312"/>
          <w:sz w:val="32"/>
          <w:szCs w:val="32"/>
        </w:rPr>
        <w:t>PM</w:t>
      </w:r>
      <w:r>
        <w:rPr>
          <w:rFonts w:eastAsia="仿宋_GB2312"/>
          <w:sz w:val="32"/>
          <w:szCs w:val="32"/>
          <w:vertAlign w:val="subscript"/>
        </w:rPr>
        <w:t>10</w:t>
      </w:r>
      <w:r>
        <w:rPr>
          <w:rFonts w:eastAsia="仿宋_GB2312"/>
          <w:sz w:val="32"/>
          <w:szCs w:val="32"/>
        </w:rPr>
        <w:t>月均值为</w:t>
      </w:r>
      <w:r>
        <w:rPr>
          <w:rFonts w:hint="eastAsia" w:eastAsia="仿宋_GB2312"/>
          <w:sz w:val="32"/>
          <w:szCs w:val="32"/>
          <w:lang w:val="en-US" w:eastAsia="zh-CN"/>
        </w:rPr>
        <w:t>48</w:t>
      </w:r>
      <w:r>
        <w:rPr>
          <w:rFonts w:eastAsia="仿宋_GB2312"/>
          <w:sz w:val="32"/>
          <w:szCs w:val="32"/>
        </w:rPr>
        <w:t>微克/立方米（省月均值</w:t>
      </w:r>
      <w:r>
        <w:rPr>
          <w:rFonts w:hint="eastAsia" w:eastAsia="仿宋_GB2312"/>
          <w:sz w:val="32"/>
          <w:szCs w:val="32"/>
          <w:lang w:val="en-US" w:eastAsia="zh-CN"/>
        </w:rPr>
        <w:t>47</w:t>
      </w:r>
      <w:r>
        <w:rPr>
          <w:rFonts w:eastAsia="仿宋_GB2312"/>
          <w:sz w:val="32"/>
          <w:szCs w:val="32"/>
        </w:rPr>
        <w:t>微克/立方米）</w:t>
      </w:r>
      <w:r>
        <w:rPr>
          <w:rFonts w:eastAsia="仿宋_GB2312"/>
          <w:color w:val="000000"/>
          <w:sz w:val="32"/>
          <w:szCs w:val="32"/>
        </w:rPr>
        <w:t>，</w:t>
      </w:r>
      <w:r>
        <w:rPr>
          <w:rFonts w:eastAsia="仿宋_GB2312"/>
          <w:sz w:val="32"/>
          <w:szCs w:val="32"/>
        </w:rPr>
        <w:t>同比</w:t>
      </w:r>
      <w:r>
        <w:rPr>
          <w:rFonts w:hint="eastAsia" w:eastAsia="仿宋_GB2312"/>
          <w:sz w:val="32"/>
          <w:szCs w:val="32"/>
        </w:rPr>
        <w:t>下降</w:t>
      </w:r>
      <w:r>
        <w:rPr>
          <w:rFonts w:hint="eastAsia" w:eastAsia="仿宋_GB2312"/>
          <w:sz w:val="32"/>
          <w:szCs w:val="32"/>
          <w:lang w:val="en-US" w:eastAsia="zh-CN"/>
        </w:rPr>
        <w:t>31.4</w:t>
      </w:r>
      <w:r>
        <w:rPr>
          <w:rFonts w:eastAsia="仿宋_GB2312"/>
          <w:sz w:val="32"/>
          <w:szCs w:val="32"/>
        </w:rPr>
        <w:t>%。全市优良天数比例</w:t>
      </w:r>
      <w:r>
        <w:rPr>
          <w:rFonts w:hint="eastAsia" w:eastAsia="仿宋_GB2312"/>
          <w:sz w:val="32"/>
          <w:szCs w:val="32"/>
          <w:lang w:val="en-US" w:eastAsia="zh-CN"/>
        </w:rPr>
        <w:t>100.0</w:t>
      </w:r>
      <w:r>
        <w:rPr>
          <w:rFonts w:eastAsia="仿宋_GB2312"/>
          <w:sz w:val="32"/>
          <w:szCs w:val="32"/>
        </w:rPr>
        <w:t>%（省月均值优良天数比例</w:t>
      </w:r>
      <w:r>
        <w:rPr>
          <w:rFonts w:hint="eastAsia" w:eastAsia="仿宋_GB2312"/>
          <w:sz w:val="32"/>
          <w:szCs w:val="32"/>
          <w:lang w:val="en-US" w:eastAsia="zh-CN"/>
        </w:rPr>
        <w:t>100.0</w:t>
      </w:r>
      <w:r>
        <w:rPr>
          <w:rFonts w:eastAsia="仿宋_GB2312"/>
          <w:sz w:val="32"/>
          <w:szCs w:val="32"/>
        </w:rPr>
        <w:t>%），同比</w:t>
      </w:r>
      <w:r>
        <w:rPr>
          <w:rFonts w:hint="eastAsia" w:eastAsia="仿宋_GB2312"/>
          <w:sz w:val="32"/>
          <w:szCs w:val="32"/>
          <w:lang w:val="en-US" w:eastAsia="zh-CN"/>
        </w:rPr>
        <w:t>持平</w:t>
      </w:r>
      <w:r>
        <w:rPr>
          <w:rFonts w:eastAsia="仿宋_GB2312"/>
          <w:sz w:val="32"/>
          <w:szCs w:val="32"/>
        </w:rPr>
        <w:t>。全市二氧化硫月均值</w:t>
      </w:r>
      <w:r>
        <w:rPr>
          <w:rFonts w:hint="eastAsia" w:eastAsia="仿宋_GB2312"/>
          <w:sz w:val="32"/>
          <w:szCs w:val="32"/>
          <w:lang w:val="en-US" w:eastAsia="zh-CN"/>
        </w:rPr>
        <w:t>15</w:t>
      </w:r>
      <w:r>
        <w:rPr>
          <w:rFonts w:eastAsia="仿宋_GB2312"/>
          <w:sz w:val="32"/>
          <w:szCs w:val="32"/>
        </w:rPr>
        <w:t>微克/立方米，同比</w:t>
      </w:r>
      <w:r>
        <w:rPr>
          <w:rFonts w:hint="eastAsia" w:eastAsia="仿宋_GB2312"/>
          <w:sz w:val="32"/>
          <w:szCs w:val="32"/>
          <w:lang w:val="en-US" w:eastAsia="zh-CN"/>
        </w:rPr>
        <w:t>持平</w:t>
      </w:r>
      <w:r>
        <w:rPr>
          <w:rFonts w:hint="eastAsia" w:eastAsia="仿宋_GB2312"/>
          <w:sz w:val="32"/>
          <w:szCs w:val="32"/>
        </w:rPr>
        <w:t>，</w:t>
      </w:r>
      <w:r>
        <w:rPr>
          <w:rFonts w:eastAsia="仿宋_GB2312"/>
          <w:sz w:val="32"/>
          <w:szCs w:val="32"/>
        </w:rPr>
        <w:t>二氧化氮月均值</w:t>
      </w:r>
      <w:r>
        <w:rPr>
          <w:rFonts w:hint="eastAsia" w:eastAsia="仿宋_GB2312"/>
          <w:sz w:val="32"/>
          <w:szCs w:val="32"/>
          <w:lang w:val="en-US" w:eastAsia="zh-CN"/>
        </w:rPr>
        <w:t>21</w:t>
      </w:r>
      <w:r>
        <w:rPr>
          <w:rFonts w:eastAsia="仿宋_GB2312"/>
          <w:sz w:val="32"/>
          <w:szCs w:val="32"/>
        </w:rPr>
        <w:t>微克/立方米，同比</w:t>
      </w:r>
      <w:r>
        <w:rPr>
          <w:rFonts w:hint="eastAsia" w:eastAsia="仿宋_GB2312"/>
          <w:sz w:val="32"/>
          <w:szCs w:val="32"/>
          <w:lang w:val="en-US" w:eastAsia="zh-CN"/>
        </w:rPr>
        <w:t>下降34.4</w:t>
      </w:r>
      <w:r>
        <w:rPr>
          <w:rFonts w:eastAsia="仿宋_GB2312"/>
          <w:sz w:val="32"/>
          <w:szCs w:val="32"/>
        </w:rPr>
        <w:t>%，二氧化硫</w:t>
      </w:r>
      <w:r>
        <w:rPr>
          <w:rFonts w:hint="eastAsia" w:eastAsia="仿宋_GB2312"/>
          <w:sz w:val="32"/>
          <w:szCs w:val="32"/>
        </w:rPr>
        <w:t>、</w:t>
      </w:r>
      <w:r>
        <w:rPr>
          <w:rFonts w:eastAsia="仿宋_GB2312"/>
          <w:sz w:val="32"/>
          <w:szCs w:val="32"/>
        </w:rPr>
        <w:t>二氧化氮均达到国家一级标准。</w:t>
      </w:r>
    </w:p>
    <w:p w14:paraId="50EBF93B">
      <w:pPr>
        <w:spacing w:line="560" w:lineRule="exact"/>
        <w:ind w:firstLine="640" w:firstLineChars="200"/>
        <w:rPr>
          <w:rFonts w:eastAsia="仿宋_GB2312"/>
          <w:sz w:val="32"/>
          <w:szCs w:val="32"/>
        </w:rPr>
      </w:pPr>
      <w:r>
        <w:rPr>
          <w:rFonts w:hint="eastAsia" w:eastAsia="仿宋_GB2312"/>
          <w:sz w:val="32"/>
          <w:szCs w:val="32"/>
          <w:lang w:val="en-US" w:eastAsia="zh-CN"/>
        </w:rPr>
        <w:t>11</w:t>
      </w:r>
      <w:r>
        <w:rPr>
          <w:rFonts w:eastAsia="仿宋_GB2312"/>
          <w:sz w:val="32"/>
          <w:szCs w:val="32"/>
        </w:rPr>
        <w:t>月各县（区）PM</w:t>
      </w:r>
      <w:r>
        <w:rPr>
          <w:rFonts w:eastAsia="仿宋_GB2312"/>
          <w:sz w:val="32"/>
          <w:szCs w:val="32"/>
          <w:vertAlign w:val="subscript"/>
        </w:rPr>
        <w:t>2.5</w:t>
      </w:r>
      <w:r>
        <w:rPr>
          <w:rFonts w:eastAsia="仿宋_GB2312"/>
          <w:sz w:val="32"/>
          <w:szCs w:val="32"/>
        </w:rPr>
        <w:t>月均值情况：分宜县PM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34</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同比上升3.0%</w:t>
      </w:r>
      <w:r>
        <w:rPr>
          <w:rFonts w:hint="eastAsia" w:eastAsia="仿宋_GB2312"/>
          <w:sz w:val="32"/>
          <w:szCs w:val="32"/>
        </w:rPr>
        <w:t>；</w:t>
      </w:r>
      <w:r>
        <w:rPr>
          <w:rFonts w:eastAsia="仿宋_GB2312"/>
          <w:sz w:val="32"/>
          <w:szCs w:val="32"/>
        </w:rPr>
        <w:t>渝水区PM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29</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同比下降17.1%</w:t>
      </w:r>
      <w:r>
        <w:rPr>
          <w:rFonts w:hint="eastAsia" w:eastAsia="仿宋_GB2312"/>
          <w:sz w:val="32"/>
          <w:szCs w:val="32"/>
        </w:rPr>
        <w:t>；</w:t>
      </w:r>
      <w:r>
        <w:rPr>
          <w:rFonts w:eastAsia="仿宋_GB2312"/>
          <w:sz w:val="32"/>
          <w:szCs w:val="32"/>
        </w:rPr>
        <w:t>高新区PM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29</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同比下降9.4%。</w:t>
      </w:r>
      <w:bookmarkStart w:id="0" w:name="_GoBack"/>
      <w:bookmarkEnd w:id="0"/>
    </w:p>
    <w:p w14:paraId="3632C0E4">
      <w:pPr>
        <w:pStyle w:val="9"/>
        <w:spacing w:line="560" w:lineRule="exact"/>
        <w:rPr>
          <w:rFonts w:ascii="Times New Roman" w:hAnsi="Times New Roman" w:eastAsia="仿宋_GB2312"/>
          <w:sz w:val="32"/>
          <w:szCs w:val="32"/>
        </w:rPr>
      </w:pPr>
      <w:r>
        <w:rPr>
          <w:rFonts w:ascii="Times New Roman" w:hAnsi="Times New Roman" w:eastAsia="仿宋_GB2312"/>
          <w:sz w:val="32"/>
          <w:szCs w:val="32"/>
        </w:rPr>
        <w:t xml:space="preserve"> </w:t>
      </w:r>
    </w:p>
    <w:p w14:paraId="541ECB56">
      <w:pPr>
        <w:spacing w:line="560" w:lineRule="exact"/>
        <w:ind w:firstLine="640" w:firstLineChars="200"/>
        <w:rPr>
          <w:rFonts w:eastAsia="仿宋_GB2312"/>
          <w:sz w:val="32"/>
          <w:szCs w:val="32"/>
        </w:rPr>
      </w:pPr>
      <w:r>
        <w:rPr>
          <w:rFonts w:hint="eastAsia" w:eastAsia="仿宋_GB2312"/>
          <w:sz w:val="32"/>
          <w:szCs w:val="32"/>
        </w:rPr>
        <w:t>附件：1、</w:t>
      </w:r>
      <w:r>
        <w:rPr>
          <w:rFonts w:eastAsia="仿宋_GB2312"/>
          <w:sz w:val="32"/>
          <w:szCs w:val="32"/>
        </w:rPr>
        <w:t>2024年</w:t>
      </w:r>
      <w:r>
        <w:rPr>
          <w:rFonts w:hint="eastAsia" w:eastAsia="仿宋_GB2312"/>
          <w:sz w:val="32"/>
          <w:szCs w:val="32"/>
          <w:lang w:val="en-US" w:eastAsia="zh-CN"/>
        </w:rPr>
        <w:t>11</w:t>
      </w:r>
      <w:r>
        <w:rPr>
          <w:rFonts w:hint="eastAsia" w:eastAsia="仿宋_GB2312"/>
          <w:sz w:val="32"/>
          <w:szCs w:val="32"/>
        </w:rPr>
        <w:t>月份全市各县（区）空气质量均值情况表</w:t>
      </w:r>
    </w:p>
    <w:p w14:paraId="3C6B7A49">
      <w:pPr>
        <w:spacing w:line="560" w:lineRule="exact"/>
        <w:ind w:firstLine="1600" w:firstLineChars="500"/>
        <w:rPr>
          <w:rFonts w:eastAsia="仿宋_GB2312"/>
          <w:sz w:val="32"/>
          <w:szCs w:val="32"/>
        </w:rPr>
      </w:pPr>
      <w:r>
        <w:rPr>
          <w:rFonts w:hint="eastAsia" w:eastAsia="仿宋_GB2312"/>
          <w:sz w:val="32"/>
          <w:szCs w:val="32"/>
        </w:rPr>
        <w:t>2、</w:t>
      </w:r>
      <w:r>
        <w:rPr>
          <w:rFonts w:eastAsia="仿宋_GB2312"/>
          <w:sz w:val="32"/>
          <w:szCs w:val="32"/>
        </w:rPr>
        <w:t>2024年1月1日—</w:t>
      </w:r>
      <w:r>
        <w:rPr>
          <w:rFonts w:hint="eastAsia" w:eastAsia="仿宋_GB2312"/>
          <w:sz w:val="32"/>
          <w:szCs w:val="32"/>
          <w:lang w:val="en-US" w:eastAsia="zh-CN"/>
        </w:rPr>
        <w:t>11</w:t>
      </w:r>
      <w:r>
        <w:rPr>
          <w:rFonts w:eastAsia="仿宋_GB2312"/>
          <w:sz w:val="32"/>
          <w:szCs w:val="32"/>
        </w:rPr>
        <w:t>月</w:t>
      </w:r>
      <w:r>
        <w:rPr>
          <w:rFonts w:hint="eastAsia" w:eastAsia="仿宋_GB2312"/>
          <w:sz w:val="32"/>
          <w:szCs w:val="32"/>
        </w:rPr>
        <w:t>3</w:t>
      </w:r>
      <w:r>
        <w:rPr>
          <w:rFonts w:hint="eastAsia" w:eastAsia="仿宋_GB2312"/>
          <w:sz w:val="32"/>
          <w:szCs w:val="32"/>
          <w:lang w:val="en-US" w:eastAsia="zh-CN"/>
        </w:rPr>
        <w:t>0</w:t>
      </w:r>
      <w:r>
        <w:rPr>
          <w:rFonts w:eastAsia="仿宋_GB2312"/>
          <w:sz w:val="32"/>
          <w:szCs w:val="32"/>
        </w:rPr>
        <w:t>日全市</w:t>
      </w:r>
      <w:r>
        <w:rPr>
          <w:rFonts w:hint="eastAsia" w:eastAsia="仿宋_GB2312"/>
          <w:sz w:val="32"/>
          <w:szCs w:val="32"/>
        </w:rPr>
        <w:t>各县（区）</w:t>
      </w:r>
      <w:r>
        <w:rPr>
          <w:rFonts w:eastAsia="仿宋_GB2312"/>
          <w:sz w:val="32"/>
          <w:szCs w:val="32"/>
        </w:rPr>
        <w:t>空气质量均值情况表</w:t>
      </w:r>
    </w:p>
    <w:p w14:paraId="5E46F4A7">
      <w:pPr>
        <w:pStyle w:val="9"/>
        <w:spacing w:line="560" w:lineRule="exact"/>
        <w:ind w:firstLine="640" w:firstLineChars="200"/>
        <w:rPr>
          <w:rFonts w:ascii="Times New Roman" w:hAnsi="Times New Roman" w:eastAsia="仿宋_GB2312" w:cs="Times New Roman"/>
          <w:sz w:val="32"/>
          <w:szCs w:val="32"/>
        </w:rPr>
      </w:pPr>
    </w:p>
    <w:p w14:paraId="190CF4FE">
      <w:pPr>
        <w:pStyle w:val="9"/>
        <w:spacing w:line="560" w:lineRule="exact"/>
        <w:ind w:firstLine="3520" w:firstLineChars="11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新余市生态环境保护委员会办公室</w:t>
      </w:r>
    </w:p>
    <w:p w14:paraId="211F7324">
      <w:pPr>
        <w:pStyle w:val="9"/>
        <w:spacing w:line="560" w:lineRule="exact"/>
        <w:ind w:firstLine="5760" w:firstLineChars="18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12</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日</w:t>
      </w:r>
    </w:p>
    <w:p w14:paraId="678C2E7A">
      <w:pPr>
        <w:pStyle w:val="9"/>
        <w:spacing w:line="560" w:lineRule="exact"/>
        <w:rPr>
          <w:rFonts w:ascii="Times New Roman" w:hAnsi="Times New Roman" w:cs="Times New Roman"/>
        </w:rPr>
        <w:sectPr>
          <w:pgSz w:w="11906" w:h="16838"/>
          <w:pgMar w:top="2098" w:right="1474" w:bottom="1984" w:left="1587" w:header="851" w:footer="992" w:gutter="0"/>
          <w:cols w:space="425" w:num="1"/>
          <w:docGrid w:type="lines" w:linePitch="312" w:charSpace="0"/>
        </w:sectPr>
      </w:pPr>
    </w:p>
    <w:p w14:paraId="7D67E12B">
      <w:pPr>
        <w:spacing w:line="560" w:lineRule="exact"/>
        <w:rPr>
          <w:rFonts w:eastAsia="黑体"/>
          <w:sz w:val="32"/>
          <w:szCs w:val="32"/>
        </w:rPr>
      </w:pPr>
      <w:r>
        <w:rPr>
          <w:rFonts w:eastAsia="黑体"/>
          <w:sz w:val="32"/>
          <w:szCs w:val="32"/>
        </w:rPr>
        <w:t>附件1：</w:t>
      </w:r>
    </w:p>
    <w:p w14:paraId="1536228A">
      <w:pPr>
        <w:spacing w:line="560" w:lineRule="exact"/>
        <w:jc w:val="center"/>
        <w:rPr>
          <w:rFonts w:hint="eastAsia"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t>2024</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11</w:t>
      </w:r>
      <w:r>
        <w:rPr>
          <w:rFonts w:hint="eastAsia" w:ascii="方正小标宋简体" w:hAnsi="方正小标宋简体" w:eastAsia="方正小标宋简体" w:cs="方正小标宋简体"/>
          <w:sz w:val="32"/>
          <w:szCs w:val="32"/>
        </w:rPr>
        <w:t>月份全市各县（区）空气质量均值情况表</w:t>
      </w:r>
    </w:p>
    <w:tbl>
      <w:tblPr>
        <w:tblStyle w:val="15"/>
        <w:tblW w:w="4996" w:type="pct"/>
        <w:tblInd w:w="0" w:type="dxa"/>
        <w:tblLayout w:type="autofit"/>
        <w:tblCellMar>
          <w:top w:w="0" w:type="dxa"/>
          <w:left w:w="108" w:type="dxa"/>
          <w:bottom w:w="0" w:type="dxa"/>
          <w:right w:w="108" w:type="dxa"/>
        </w:tblCellMar>
      </w:tblPr>
      <w:tblGrid>
        <w:gridCol w:w="842"/>
        <w:gridCol w:w="1811"/>
        <w:gridCol w:w="1956"/>
        <w:gridCol w:w="2058"/>
        <w:gridCol w:w="1746"/>
        <w:gridCol w:w="2202"/>
        <w:gridCol w:w="1910"/>
        <w:gridCol w:w="1638"/>
      </w:tblGrid>
      <w:tr w14:paraId="713F6188">
        <w:tblPrEx>
          <w:tblCellMar>
            <w:top w:w="0" w:type="dxa"/>
            <w:left w:w="108" w:type="dxa"/>
            <w:bottom w:w="0" w:type="dxa"/>
            <w:right w:w="108" w:type="dxa"/>
          </w:tblCellMar>
        </w:tblPrEx>
        <w:trPr>
          <w:trHeight w:val="737" w:hRule="atLeast"/>
        </w:trPr>
        <w:tc>
          <w:tcPr>
            <w:tcW w:w="297"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621D065B">
            <w:pPr>
              <w:widowControl/>
              <w:jc w:val="center"/>
              <w:rPr>
                <w:rFonts w:eastAsia="等线"/>
                <w:b/>
                <w:bCs/>
                <w:color w:val="000000"/>
                <w:kern w:val="0"/>
                <w:sz w:val="24"/>
                <w:szCs w:val="24"/>
              </w:rPr>
            </w:pPr>
            <w:r>
              <w:rPr>
                <w:rFonts w:hint="eastAsia" w:ascii="宋体" w:hAnsi="宋体"/>
                <w:b/>
                <w:bCs/>
                <w:color w:val="000000"/>
                <w:kern w:val="0"/>
                <w:sz w:val="24"/>
                <w:szCs w:val="24"/>
              </w:rPr>
              <w:t>序号</w:t>
            </w:r>
          </w:p>
        </w:tc>
        <w:tc>
          <w:tcPr>
            <w:tcW w:w="639"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0E89C5A6">
            <w:pPr>
              <w:widowControl/>
              <w:jc w:val="center"/>
              <w:rPr>
                <w:rFonts w:eastAsia="等线"/>
                <w:b/>
                <w:bCs/>
                <w:color w:val="000000"/>
                <w:kern w:val="0"/>
                <w:sz w:val="24"/>
                <w:szCs w:val="24"/>
              </w:rPr>
            </w:pPr>
            <w:r>
              <w:rPr>
                <w:rFonts w:hint="eastAsia" w:ascii="宋体" w:hAnsi="宋体"/>
                <w:b/>
                <w:bCs/>
                <w:color w:val="000000"/>
                <w:kern w:val="0"/>
                <w:sz w:val="24"/>
                <w:szCs w:val="24"/>
              </w:rPr>
              <w:t>市县（区）</w:t>
            </w:r>
          </w:p>
        </w:tc>
        <w:tc>
          <w:tcPr>
            <w:tcW w:w="2032" w:type="pct"/>
            <w:gridSpan w:val="3"/>
            <w:tcBorders>
              <w:top w:val="single" w:color="auto" w:sz="4" w:space="0"/>
              <w:left w:val="nil"/>
              <w:bottom w:val="single" w:color="auto" w:sz="4" w:space="0"/>
              <w:right w:val="single" w:color="auto" w:sz="4" w:space="0"/>
            </w:tcBorders>
            <w:shd w:val="clear" w:color="000000" w:fill="DBDBDB"/>
            <w:noWrap/>
            <w:vAlign w:val="center"/>
          </w:tcPr>
          <w:p w14:paraId="695F1A7A">
            <w:pPr>
              <w:widowControl/>
              <w:jc w:val="center"/>
              <w:rPr>
                <w:rFonts w:eastAsia="等线"/>
                <w:b/>
                <w:bCs/>
                <w:color w:val="000000"/>
                <w:kern w:val="0"/>
                <w:sz w:val="24"/>
                <w:szCs w:val="24"/>
              </w:rPr>
            </w:pPr>
            <w:r>
              <w:rPr>
                <w:rFonts w:eastAsia="等线"/>
                <w:b/>
                <w:bCs/>
                <w:color w:val="000000"/>
                <w:kern w:val="0"/>
                <w:sz w:val="24"/>
                <w:szCs w:val="24"/>
              </w:rPr>
              <w:t>PM</w:t>
            </w:r>
            <w:r>
              <w:rPr>
                <w:rFonts w:eastAsia="等线"/>
                <w:b/>
                <w:bCs/>
                <w:color w:val="000000"/>
                <w:kern w:val="0"/>
                <w:sz w:val="24"/>
                <w:szCs w:val="24"/>
                <w:vertAlign w:val="subscript"/>
              </w:rPr>
              <w:t>2.5</w:t>
            </w:r>
            <w:r>
              <w:rPr>
                <w:rFonts w:hint="eastAsia" w:ascii="宋体" w:hAnsi="宋体"/>
                <w:b/>
                <w:bCs/>
                <w:color w:val="000000"/>
                <w:kern w:val="0"/>
                <w:sz w:val="24"/>
                <w:szCs w:val="24"/>
              </w:rPr>
              <w:t>（</w:t>
            </w:r>
            <w:r>
              <w:rPr>
                <w:rFonts w:eastAsia="等线"/>
                <w:b/>
                <w:bCs/>
                <w:color w:val="000000"/>
                <w:kern w:val="0"/>
                <w:sz w:val="24"/>
                <w:szCs w:val="24"/>
              </w:rPr>
              <w:t>ug/m</w:t>
            </w:r>
            <w:r>
              <w:rPr>
                <w:rFonts w:eastAsia="等线"/>
                <w:b/>
                <w:bCs/>
                <w:color w:val="000000"/>
                <w:kern w:val="0"/>
                <w:sz w:val="24"/>
                <w:szCs w:val="24"/>
                <w:vertAlign w:val="superscript"/>
              </w:rPr>
              <w:t>3</w:t>
            </w:r>
            <w:r>
              <w:rPr>
                <w:rFonts w:hint="eastAsia" w:ascii="宋体" w:hAnsi="宋体"/>
                <w:b/>
                <w:bCs/>
                <w:color w:val="000000"/>
                <w:kern w:val="0"/>
                <w:sz w:val="24"/>
                <w:szCs w:val="24"/>
              </w:rPr>
              <w:t>）</w:t>
            </w:r>
          </w:p>
        </w:tc>
        <w:tc>
          <w:tcPr>
            <w:tcW w:w="2029" w:type="pct"/>
            <w:gridSpan w:val="3"/>
            <w:tcBorders>
              <w:top w:val="single" w:color="auto" w:sz="4" w:space="0"/>
              <w:left w:val="nil"/>
              <w:bottom w:val="single" w:color="auto" w:sz="4" w:space="0"/>
              <w:right w:val="single" w:color="000000" w:sz="8" w:space="0"/>
            </w:tcBorders>
            <w:shd w:val="clear" w:color="000000" w:fill="DBDBDB"/>
            <w:noWrap/>
            <w:vAlign w:val="center"/>
          </w:tcPr>
          <w:p w14:paraId="0087B535">
            <w:pPr>
              <w:widowControl/>
              <w:jc w:val="center"/>
              <w:rPr>
                <w:rFonts w:eastAsia="等线"/>
                <w:b/>
                <w:bCs/>
                <w:color w:val="000000"/>
                <w:kern w:val="0"/>
                <w:sz w:val="24"/>
                <w:szCs w:val="24"/>
              </w:rPr>
            </w:pPr>
            <w:r>
              <w:rPr>
                <w:rFonts w:hint="eastAsia" w:ascii="宋体" w:hAnsi="宋体"/>
                <w:b/>
                <w:bCs/>
                <w:color w:val="000000"/>
                <w:kern w:val="0"/>
                <w:sz w:val="24"/>
                <w:szCs w:val="24"/>
              </w:rPr>
              <w:t>优良率（%）</w:t>
            </w:r>
          </w:p>
        </w:tc>
      </w:tr>
      <w:tr w14:paraId="2CD3E9B2">
        <w:tblPrEx>
          <w:tblCellMar>
            <w:top w:w="0" w:type="dxa"/>
            <w:left w:w="108" w:type="dxa"/>
            <w:bottom w:w="0" w:type="dxa"/>
            <w:right w:w="108" w:type="dxa"/>
          </w:tblCellMar>
        </w:tblPrEx>
        <w:trPr>
          <w:trHeight w:val="737" w:hRule="atLeast"/>
        </w:trPr>
        <w:tc>
          <w:tcPr>
            <w:tcW w:w="297" w:type="pct"/>
            <w:vMerge w:val="continue"/>
            <w:tcBorders>
              <w:top w:val="single" w:color="auto" w:sz="4" w:space="0"/>
              <w:left w:val="single" w:color="auto" w:sz="4" w:space="0"/>
              <w:bottom w:val="single" w:color="auto" w:sz="4" w:space="0"/>
              <w:right w:val="single" w:color="auto" w:sz="4" w:space="0"/>
            </w:tcBorders>
            <w:vAlign w:val="center"/>
          </w:tcPr>
          <w:p w14:paraId="278D8FDA">
            <w:pPr>
              <w:widowControl/>
              <w:jc w:val="left"/>
              <w:rPr>
                <w:rFonts w:eastAsia="等线"/>
                <w:b/>
                <w:bCs/>
                <w:color w:val="000000"/>
                <w:kern w:val="0"/>
                <w:sz w:val="24"/>
                <w:szCs w:val="24"/>
              </w:rPr>
            </w:pPr>
          </w:p>
        </w:tc>
        <w:tc>
          <w:tcPr>
            <w:tcW w:w="639" w:type="pct"/>
            <w:vMerge w:val="continue"/>
            <w:tcBorders>
              <w:top w:val="single" w:color="auto" w:sz="4" w:space="0"/>
              <w:left w:val="single" w:color="auto" w:sz="4" w:space="0"/>
              <w:bottom w:val="single" w:color="auto" w:sz="4" w:space="0"/>
              <w:right w:val="single" w:color="auto" w:sz="4" w:space="0"/>
            </w:tcBorders>
            <w:vAlign w:val="center"/>
          </w:tcPr>
          <w:p w14:paraId="7CD45D5B">
            <w:pPr>
              <w:widowControl/>
              <w:jc w:val="left"/>
              <w:rPr>
                <w:rFonts w:eastAsia="等线"/>
                <w:b/>
                <w:bCs/>
                <w:color w:val="000000"/>
                <w:kern w:val="0"/>
                <w:sz w:val="24"/>
                <w:szCs w:val="24"/>
              </w:rPr>
            </w:pPr>
          </w:p>
        </w:tc>
        <w:tc>
          <w:tcPr>
            <w:tcW w:w="690" w:type="pct"/>
            <w:tcBorders>
              <w:top w:val="nil"/>
              <w:left w:val="nil"/>
              <w:bottom w:val="single" w:color="auto" w:sz="4" w:space="0"/>
              <w:right w:val="single" w:color="auto" w:sz="4" w:space="0"/>
            </w:tcBorders>
            <w:shd w:val="clear" w:color="000000" w:fill="DBDBDB"/>
            <w:noWrap/>
            <w:vAlign w:val="center"/>
          </w:tcPr>
          <w:p w14:paraId="096BD369">
            <w:pPr>
              <w:widowControl/>
              <w:jc w:val="center"/>
              <w:rPr>
                <w:rFonts w:hint="eastAsia" w:eastAsia="等线"/>
                <w:b/>
                <w:bCs/>
                <w:color w:val="000000"/>
                <w:kern w:val="0"/>
                <w:sz w:val="24"/>
                <w:szCs w:val="24"/>
                <w:lang w:eastAsia="zh-CN"/>
              </w:rPr>
            </w:pPr>
            <w:r>
              <w:rPr>
                <w:rFonts w:eastAsia="等线"/>
                <w:b/>
                <w:bCs/>
                <w:color w:val="000000"/>
                <w:kern w:val="0"/>
                <w:sz w:val="24"/>
                <w:szCs w:val="24"/>
              </w:rPr>
              <w:t>2024/</w:t>
            </w:r>
            <w:r>
              <w:rPr>
                <w:rFonts w:hint="eastAsia" w:eastAsia="等线"/>
                <w:b/>
                <w:bCs/>
                <w:color w:val="000000"/>
                <w:kern w:val="0"/>
                <w:sz w:val="24"/>
                <w:szCs w:val="24"/>
                <w:lang w:val="en-US" w:eastAsia="zh-CN"/>
              </w:rPr>
              <w:t>11</w:t>
            </w:r>
            <w:r>
              <w:rPr>
                <w:rFonts w:eastAsia="等线"/>
                <w:b/>
                <w:bCs/>
                <w:color w:val="000000"/>
                <w:kern w:val="0"/>
                <w:sz w:val="24"/>
                <w:szCs w:val="24"/>
              </w:rPr>
              <w:t>/1-</w:t>
            </w:r>
            <w:r>
              <w:rPr>
                <w:rFonts w:hint="eastAsia" w:eastAsia="等线"/>
                <w:b/>
                <w:bCs/>
                <w:color w:val="000000"/>
                <w:kern w:val="0"/>
                <w:sz w:val="24"/>
                <w:szCs w:val="24"/>
                <w:lang w:val="en-US" w:eastAsia="zh-CN"/>
              </w:rPr>
              <w:t>11</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726" w:type="pct"/>
            <w:tcBorders>
              <w:top w:val="nil"/>
              <w:left w:val="nil"/>
              <w:bottom w:val="single" w:color="auto" w:sz="4" w:space="0"/>
              <w:right w:val="single" w:color="auto" w:sz="4" w:space="0"/>
            </w:tcBorders>
            <w:shd w:val="clear" w:color="000000" w:fill="DBDBDB"/>
            <w:noWrap/>
            <w:vAlign w:val="center"/>
          </w:tcPr>
          <w:p w14:paraId="089A2157">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616" w:type="pct"/>
            <w:tcBorders>
              <w:top w:val="nil"/>
              <w:left w:val="nil"/>
              <w:bottom w:val="single" w:color="auto" w:sz="4" w:space="0"/>
              <w:right w:val="single" w:color="auto" w:sz="4" w:space="0"/>
            </w:tcBorders>
            <w:shd w:val="clear" w:color="000000" w:fill="DBDBDB"/>
            <w:noWrap/>
            <w:vAlign w:val="center"/>
          </w:tcPr>
          <w:p w14:paraId="1BFDB0F1">
            <w:pPr>
              <w:widowControl/>
              <w:jc w:val="center"/>
              <w:rPr>
                <w:rFonts w:eastAsia="等线"/>
                <w:b/>
                <w:bCs/>
                <w:color w:val="000000"/>
                <w:kern w:val="0"/>
                <w:sz w:val="24"/>
                <w:szCs w:val="24"/>
              </w:rPr>
            </w:pPr>
            <w:r>
              <w:rPr>
                <w:rFonts w:hint="eastAsia" w:ascii="宋体" w:hAnsi="宋体"/>
                <w:b/>
                <w:bCs/>
                <w:color w:val="000000"/>
                <w:kern w:val="0"/>
                <w:sz w:val="24"/>
                <w:szCs w:val="24"/>
              </w:rPr>
              <w:t>同比（</w:t>
            </w:r>
            <w:r>
              <w:rPr>
                <w:rFonts w:eastAsia="等线"/>
                <w:b/>
                <w:bCs/>
                <w:color w:val="000000"/>
                <w:kern w:val="0"/>
                <w:sz w:val="24"/>
                <w:szCs w:val="24"/>
              </w:rPr>
              <w:t>%</w:t>
            </w:r>
            <w:r>
              <w:rPr>
                <w:rFonts w:hint="eastAsia" w:ascii="宋体" w:hAnsi="宋体"/>
                <w:b/>
                <w:bCs/>
                <w:color w:val="000000"/>
                <w:kern w:val="0"/>
                <w:sz w:val="24"/>
                <w:szCs w:val="24"/>
              </w:rPr>
              <w:t>）</w:t>
            </w:r>
          </w:p>
        </w:tc>
        <w:tc>
          <w:tcPr>
            <w:tcW w:w="777" w:type="pct"/>
            <w:tcBorders>
              <w:top w:val="nil"/>
              <w:left w:val="nil"/>
              <w:bottom w:val="single" w:color="auto" w:sz="4" w:space="0"/>
              <w:right w:val="single" w:color="auto" w:sz="4" w:space="0"/>
            </w:tcBorders>
            <w:shd w:val="clear" w:color="000000" w:fill="DBDBDB"/>
            <w:noWrap/>
            <w:vAlign w:val="center"/>
          </w:tcPr>
          <w:p w14:paraId="6E79D913">
            <w:pPr>
              <w:widowControl/>
              <w:jc w:val="center"/>
              <w:rPr>
                <w:rFonts w:hint="eastAsia" w:eastAsia="等线"/>
                <w:b/>
                <w:bCs/>
                <w:color w:val="000000"/>
                <w:kern w:val="0"/>
                <w:sz w:val="24"/>
                <w:szCs w:val="24"/>
                <w:lang w:eastAsia="zh-CN"/>
              </w:rPr>
            </w:pPr>
            <w:r>
              <w:rPr>
                <w:rFonts w:eastAsia="等线"/>
                <w:b/>
                <w:bCs/>
                <w:color w:val="000000"/>
                <w:kern w:val="0"/>
                <w:sz w:val="24"/>
                <w:szCs w:val="24"/>
              </w:rPr>
              <w:t>2024/</w:t>
            </w:r>
            <w:r>
              <w:rPr>
                <w:rFonts w:hint="eastAsia" w:eastAsia="等线"/>
                <w:b/>
                <w:bCs/>
                <w:color w:val="000000"/>
                <w:kern w:val="0"/>
                <w:sz w:val="24"/>
                <w:szCs w:val="24"/>
                <w:lang w:val="en-US" w:eastAsia="zh-CN"/>
              </w:rPr>
              <w:t>11</w:t>
            </w:r>
            <w:r>
              <w:rPr>
                <w:rFonts w:eastAsia="等线"/>
                <w:b/>
                <w:bCs/>
                <w:color w:val="000000"/>
                <w:kern w:val="0"/>
                <w:sz w:val="24"/>
                <w:szCs w:val="24"/>
              </w:rPr>
              <w:t>/1-</w:t>
            </w:r>
            <w:r>
              <w:rPr>
                <w:rFonts w:hint="eastAsia" w:eastAsia="等线"/>
                <w:b/>
                <w:bCs/>
                <w:color w:val="000000"/>
                <w:kern w:val="0"/>
                <w:sz w:val="24"/>
                <w:szCs w:val="24"/>
                <w:lang w:val="en-US" w:eastAsia="zh-CN"/>
              </w:rPr>
              <w:t>11</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674" w:type="pct"/>
            <w:tcBorders>
              <w:top w:val="nil"/>
              <w:left w:val="nil"/>
              <w:bottom w:val="single" w:color="auto" w:sz="4" w:space="0"/>
              <w:right w:val="single" w:color="auto" w:sz="4" w:space="0"/>
            </w:tcBorders>
            <w:shd w:val="clear" w:color="000000" w:fill="DBDBDB"/>
            <w:noWrap/>
            <w:vAlign w:val="center"/>
          </w:tcPr>
          <w:p w14:paraId="5389B1B3">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578" w:type="pct"/>
            <w:tcBorders>
              <w:top w:val="nil"/>
              <w:left w:val="nil"/>
              <w:bottom w:val="single" w:color="auto" w:sz="4" w:space="0"/>
              <w:right w:val="single" w:color="auto" w:sz="8" w:space="0"/>
            </w:tcBorders>
            <w:shd w:val="clear" w:color="000000" w:fill="DBDBDB"/>
            <w:noWrap/>
            <w:vAlign w:val="center"/>
          </w:tcPr>
          <w:p w14:paraId="64730D59">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同比（%）</w:t>
            </w:r>
          </w:p>
        </w:tc>
      </w:tr>
      <w:tr w14:paraId="2880E3CE">
        <w:tblPrEx>
          <w:tblCellMar>
            <w:top w:w="0" w:type="dxa"/>
            <w:left w:w="108" w:type="dxa"/>
            <w:bottom w:w="0" w:type="dxa"/>
            <w:right w:w="108" w:type="dxa"/>
          </w:tblCellMar>
        </w:tblPrEx>
        <w:trPr>
          <w:trHeight w:val="737" w:hRule="atLeast"/>
        </w:trPr>
        <w:tc>
          <w:tcPr>
            <w:tcW w:w="297" w:type="pct"/>
            <w:tcBorders>
              <w:top w:val="single" w:color="auto" w:sz="4" w:space="0"/>
              <w:left w:val="single" w:color="auto" w:sz="8" w:space="0"/>
              <w:bottom w:val="single" w:color="auto" w:sz="4" w:space="0"/>
              <w:right w:val="single" w:color="auto" w:sz="4" w:space="0"/>
            </w:tcBorders>
            <w:shd w:val="clear" w:color="auto" w:fill="auto"/>
            <w:noWrap/>
            <w:vAlign w:val="center"/>
          </w:tcPr>
          <w:p w14:paraId="58B92DC0">
            <w:pPr>
              <w:widowControl/>
              <w:jc w:val="center"/>
              <w:rPr>
                <w:rFonts w:eastAsia="等线"/>
                <w:color w:val="000000"/>
                <w:kern w:val="0"/>
                <w:sz w:val="24"/>
                <w:szCs w:val="24"/>
              </w:rPr>
            </w:pPr>
            <w:r>
              <w:rPr>
                <w:rFonts w:eastAsia="等线"/>
                <w:color w:val="000000"/>
                <w:kern w:val="0"/>
                <w:sz w:val="24"/>
                <w:szCs w:val="24"/>
              </w:rPr>
              <w:t>1</w:t>
            </w:r>
          </w:p>
        </w:tc>
        <w:tc>
          <w:tcPr>
            <w:tcW w:w="639" w:type="pct"/>
            <w:tcBorders>
              <w:top w:val="single" w:color="auto" w:sz="4" w:space="0"/>
              <w:left w:val="nil"/>
              <w:bottom w:val="single" w:color="auto" w:sz="4" w:space="0"/>
              <w:right w:val="single" w:color="auto" w:sz="4" w:space="0"/>
            </w:tcBorders>
            <w:shd w:val="clear" w:color="auto" w:fill="auto"/>
            <w:noWrap/>
            <w:vAlign w:val="center"/>
          </w:tcPr>
          <w:p w14:paraId="531D01A8">
            <w:pPr>
              <w:widowControl/>
              <w:jc w:val="center"/>
              <w:rPr>
                <w:rFonts w:eastAsia="等线"/>
                <w:color w:val="000000"/>
                <w:kern w:val="0"/>
                <w:sz w:val="24"/>
                <w:szCs w:val="24"/>
              </w:rPr>
            </w:pPr>
            <w:r>
              <w:rPr>
                <w:rFonts w:hint="eastAsia" w:ascii="宋体" w:hAnsi="宋体"/>
                <w:color w:val="000000"/>
                <w:kern w:val="0"/>
                <w:sz w:val="24"/>
                <w:szCs w:val="24"/>
              </w:rPr>
              <w:t>渝水区</w:t>
            </w:r>
          </w:p>
        </w:tc>
        <w:tc>
          <w:tcPr>
            <w:tcW w:w="690" w:type="pct"/>
            <w:tcBorders>
              <w:top w:val="single" w:color="auto" w:sz="4" w:space="0"/>
              <w:left w:val="single" w:color="auto" w:sz="4" w:space="0"/>
              <w:bottom w:val="single" w:color="auto" w:sz="4" w:space="0"/>
              <w:right w:val="single" w:color="auto" w:sz="4" w:space="0"/>
            </w:tcBorders>
            <w:shd w:val="clear"/>
            <w:noWrap/>
            <w:vAlign w:val="center"/>
          </w:tcPr>
          <w:p w14:paraId="1F7AF716">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29</w:t>
            </w:r>
          </w:p>
        </w:tc>
        <w:tc>
          <w:tcPr>
            <w:tcW w:w="726" w:type="pct"/>
            <w:tcBorders>
              <w:top w:val="single" w:color="auto" w:sz="4" w:space="0"/>
              <w:left w:val="nil"/>
              <w:bottom w:val="single" w:color="auto" w:sz="4" w:space="0"/>
              <w:right w:val="single" w:color="auto" w:sz="4" w:space="0"/>
            </w:tcBorders>
            <w:shd w:val="clear"/>
            <w:noWrap/>
            <w:vAlign w:val="center"/>
          </w:tcPr>
          <w:p w14:paraId="4B65CEA0">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35</w:t>
            </w:r>
          </w:p>
        </w:tc>
        <w:tc>
          <w:tcPr>
            <w:tcW w:w="616" w:type="pct"/>
            <w:tcBorders>
              <w:top w:val="single" w:color="auto" w:sz="4" w:space="0"/>
              <w:left w:val="single" w:color="auto" w:sz="4" w:space="0"/>
              <w:bottom w:val="single" w:color="auto" w:sz="4" w:space="0"/>
              <w:right w:val="single" w:color="auto" w:sz="4" w:space="0"/>
            </w:tcBorders>
            <w:shd w:val="clear" w:color="auto" w:fill="00B050"/>
            <w:noWrap/>
            <w:vAlign w:val="center"/>
          </w:tcPr>
          <w:p w14:paraId="1BB49C7B">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-17.1</w:t>
            </w:r>
          </w:p>
        </w:tc>
        <w:tc>
          <w:tcPr>
            <w:tcW w:w="777" w:type="pct"/>
            <w:tcBorders>
              <w:top w:val="single" w:color="auto" w:sz="4" w:space="0"/>
              <w:left w:val="single" w:color="auto" w:sz="4" w:space="0"/>
              <w:bottom w:val="single" w:color="auto" w:sz="4" w:space="0"/>
              <w:right w:val="single" w:color="auto" w:sz="4" w:space="0"/>
            </w:tcBorders>
            <w:shd w:val="clear"/>
            <w:noWrap/>
            <w:vAlign w:val="center"/>
          </w:tcPr>
          <w:p w14:paraId="7AE3D1AD">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674" w:type="pct"/>
            <w:tcBorders>
              <w:top w:val="single" w:color="auto" w:sz="4" w:space="0"/>
              <w:left w:val="nil"/>
              <w:bottom w:val="single" w:color="auto" w:sz="4" w:space="0"/>
              <w:right w:val="single" w:color="auto" w:sz="4" w:space="0"/>
            </w:tcBorders>
            <w:shd w:val="clear"/>
            <w:noWrap/>
            <w:vAlign w:val="center"/>
          </w:tcPr>
          <w:p w14:paraId="10EFE67E">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578" w:type="pct"/>
            <w:tcBorders>
              <w:top w:val="single" w:color="auto" w:sz="4" w:space="0"/>
              <w:left w:val="nil"/>
              <w:bottom w:val="single" w:color="auto" w:sz="4" w:space="0"/>
              <w:right w:val="single" w:color="auto" w:sz="8" w:space="0"/>
            </w:tcBorders>
            <w:shd w:val="clear"/>
            <w:noWrap/>
            <w:vAlign w:val="center"/>
          </w:tcPr>
          <w:p w14:paraId="5E6A2100">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 xml:space="preserve">0.0 </w:t>
            </w:r>
          </w:p>
        </w:tc>
      </w:tr>
      <w:tr w14:paraId="22F7A7D1">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4" w:space="0"/>
              <w:right w:val="single" w:color="auto" w:sz="4" w:space="0"/>
            </w:tcBorders>
            <w:shd w:val="clear" w:color="auto" w:fill="auto"/>
            <w:noWrap/>
            <w:vAlign w:val="center"/>
          </w:tcPr>
          <w:p w14:paraId="73B01167">
            <w:pPr>
              <w:widowControl/>
              <w:jc w:val="center"/>
              <w:rPr>
                <w:rFonts w:eastAsia="等线"/>
                <w:color w:val="000000"/>
                <w:kern w:val="0"/>
                <w:sz w:val="24"/>
                <w:szCs w:val="24"/>
              </w:rPr>
            </w:pPr>
            <w:r>
              <w:rPr>
                <w:rFonts w:eastAsia="等线"/>
                <w:color w:val="000000"/>
                <w:kern w:val="0"/>
                <w:sz w:val="24"/>
                <w:szCs w:val="24"/>
              </w:rPr>
              <w:t>2</w:t>
            </w:r>
          </w:p>
        </w:tc>
        <w:tc>
          <w:tcPr>
            <w:tcW w:w="639" w:type="pct"/>
            <w:tcBorders>
              <w:top w:val="nil"/>
              <w:left w:val="nil"/>
              <w:bottom w:val="single" w:color="auto" w:sz="4" w:space="0"/>
              <w:right w:val="single" w:color="auto" w:sz="4" w:space="0"/>
            </w:tcBorders>
            <w:shd w:val="clear" w:color="auto" w:fill="auto"/>
            <w:noWrap/>
            <w:vAlign w:val="center"/>
          </w:tcPr>
          <w:p w14:paraId="449885C4">
            <w:pPr>
              <w:widowControl/>
              <w:jc w:val="center"/>
              <w:rPr>
                <w:rFonts w:eastAsia="等线"/>
                <w:color w:val="000000"/>
                <w:kern w:val="0"/>
                <w:sz w:val="24"/>
                <w:szCs w:val="24"/>
              </w:rPr>
            </w:pPr>
            <w:r>
              <w:rPr>
                <w:rFonts w:hint="eastAsia" w:ascii="宋体" w:hAnsi="宋体"/>
                <w:color w:val="000000"/>
                <w:kern w:val="0"/>
                <w:sz w:val="24"/>
                <w:szCs w:val="24"/>
              </w:rPr>
              <w:t>高新区</w:t>
            </w:r>
          </w:p>
        </w:tc>
        <w:tc>
          <w:tcPr>
            <w:tcW w:w="690" w:type="pct"/>
            <w:tcBorders>
              <w:top w:val="nil"/>
              <w:left w:val="single" w:color="auto" w:sz="4" w:space="0"/>
              <w:bottom w:val="single" w:color="auto" w:sz="4" w:space="0"/>
              <w:right w:val="single" w:color="auto" w:sz="4" w:space="0"/>
            </w:tcBorders>
            <w:shd w:val="clear"/>
            <w:noWrap/>
            <w:vAlign w:val="center"/>
          </w:tcPr>
          <w:p w14:paraId="6132C8A4">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29</w:t>
            </w:r>
          </w:p>
        </w:tc>
        <w:tc>
          <w:tcPr>
            <w:tcW w:w="726" w:type="pct"/>
            <w:tcBorders>
              <w:top w:val="nil"/>
              <w:left w:val="nil"/>
              <w:bottom w:val="single" w:color="auto" w:sz="4" w:space="0"/>
              <w:right w:val="single" w:color="auto" w:sz="4" w:space="0"/>
            </w:tcBorders>
            <w:shd w:val="clear"/>
            <w:noWrap/>
            <w:vAlign w:val="center"/>
          </w:tcPr>
          <w:p w14:paraId="74482E71">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32</w:t>
            </w:r>
          </w:p>
        </w:tc>
        <w:tc>
          <w:tcPr>
            <w:tcW w:w="616" w:type="pct"/>
            <w:tcBorders>
              <w:top w:val="nil"/>
              <w:left w:val="single" w:color="auto" w:sz="4" w:space="0"/>
              <w:bottom w:val="single" w:color="auto" w:sz="4" w:space="0"/>
              <w:right w:val="single" w:color="auto" w:sz="4" w:space="0"/>
            </w:tcBorders>
            <w:shd w:val="clear" w:color="auto" w:fill="00B050"/>
            <w:noWrap/>
            <w:vAlign w:val="center"/>
          </w:tcPr>
          <w:p w14:paraId="102A905A">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-9.4</w:t>
            </w:r>
          </w:p>
        </w:tc>
        <w:tc>
          <w:tcPr>
            <w:tcW w:w="777" w:type="pct"/>
            <w:tcBorders>
              <w:top w:val="nil"/>
              <w:left w:val="single" w:color="auto" w:sz="4" w:space="0"/>
              <w:bottom w:val="single" w:color="auto" w:sz="4" w:space="0"/>
              <w:right w:val="single" w:color="auto" w:sz="4" w:space="0"/>
            </w:tcBorders>
            <w:shd w:val="clear"/>
            <w:noWrap/>
            <w:vAlign w:val="center"/>
          </w:tcPr>
          <w:p w14:paraId="4BF0845E">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674" w:type="pct"/>
            <w:tcBorders>
              <w:top w:val="nil"/>
              <w:left w:val="nil"/>
              <w:bottom w:val="single" w:color="auto" w:sz="4" w:space="0"/>
              <w:right w:val="single" w:color="auto" w:sz="4" w:space="0"/>
            </w:tcBorders>
            <w:shd w:val="clear"/>
            <w:noWrap/>
            <w:vAlign w:val="center"/>
          </w:tcPr>
          <w:p w14:paraId="6512E269">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578" w:type="pct"/>
            <w:tcBorders>
              <w:top w:val="nil"/>
              <w:left w:val="nil"/>
              <w:bottom w:val="single" w:color="auto" w:sz="4" w:space="0"/>
              <w:right w:val="single" w:color="auto" w:sz="8" w:space="0"/>
            </w:tcBorders>
            <w:shd w:val="clear"/>
            <w:noWrap/>
            <w:vAlign w:val="center"/>
          </w:tcPr>
          <w:p w14:paraId="2084D54D">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 xml:space="preserve">0.0 </w:t>
            </w:r>
          </w:p>
        </w:tc>
      </w:tr>
      <w:tr w14:paraId="4A4607A1">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4" w:space="0"/>
              <w:right w:val="single" w:color="auto" w:sz="4" w:space="0"/>
            </w:tcBorders>
            <w:shd w:val="clear" w:color="auto" w:fill="auto"/>
            <w:noWrap/>
            <w:vAlign w:val="center"/>
          </w:tcPr>
          <w:p w14:paraId="11EDC349">
            <w:pPr>
              <w:widowControl/>
              <w:jc w:val="center"/>
              <w:rPr>
                <w:rFonts w:eastAsia="等线"/>
                <w:color w:val="000000"/>
                <w:kern w:val="0"/>
                <w:sz w:val="24"/>
                <w:szCs w:val="24"/>
              </w:rPr>
            </w:pPr>
            <w:r>
              <w:rPr>
                <w:rFonts w:eastAsia="等线"/>
                <w:color w:val="000000"/>
                <w:kern w:val="0"/>
                <w:sz w:val="24"/>
                <w:szCs w:val="24"/>
              </w:rPr>
              <w:t>3</w:t>
            </w:r>
          </w:p>
        </w:tc>
        <w:tc>
          <w:tcPr>
            <w:tcW w:w="639" w:type="pct"/>
            <w:tcBorders>
              <w:top w:val="nil"/>
              <w:left w:val="nil"/>
              <w:bottom w:val="single" w:color="auto" w:sz="4" w:space="0"/>
              <w:right w:val="single" w:color="auto" w:sz="4" w:space="0"/>
            </w:tcBorders>
            <w:shd w:val="clear" w:color="auto" w:fill="auto"/>
            <w:noWrap/>
            <w:vAlign w:val="center"/>
          </w:tcPr>
          <w:p w14:paraId="6969907F">
            <w:pPr>
              <w:widowControl/>
              <w:jc w:val="center"/>
              <w:rPr>
                <w:rFonts w:eastAsia="等线"/>
                <w:color w:val="000000"/>
                <w:kern w:val="0"/>
                <w:sz w:val="24"/>
                <w:szCs w:val="24"/>
              </w:rPr>
            </w:pPr>
            <w:r>
              <w:rPr>
                <w:rFonts w:hint="eastAsia" w:ascii="宋体" w:hAnsi="宋体"/>
                <w:color w:val="000000"/>
                <w:kern w:val="0"/>
                <w:sz w:val="24"/>
                <w:szCs w:val="24"/>
              </w:rPr>
              <w:t>分宜县</w:t>
            </w:r>
          </w:p>
        </w:tc>
        <w:tc>
          <w:tcPr>
            <w:tcW w:w="690" w:type="pct"/>
            <w:tcBorders>
              <w:top w:val="nil"/>
              <w:left w:val="single" w:color="auto" w:sz="4" w:space="0"/>
              <w:bottom w:val="single" w:color="auto" w:sz="4" w:space="0"/>
              <w:right w:val="single" w:color="auto" w:sz="4" w:space="0"/>
            </w:tcBorders>
            <w:shd w:val="clear"/>
            <w:noWrap/>
            <w:vAlign w:val="center"/>
          </w:tcPr>
          <w:p w14:paraId="540EC4C6">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34</w:t>
            </w:r>
          </w:p>
        </w:tc>
        <w:tc>
          <w:tcPr>
            <w:tcW w:w="726" w:type="pct"/>
            <w:tcBorders>
              <w:top w:val="nil"/>
              <w:left w:val="nil"/>
              <w:bottom w:val="single" w:color="auto" w:sz="4" w:space="0"/>
              <w:right w:val="single" w:color="auto" w:sz="4" w:space="0"/>
            </w:tcBorders>
            <w:shd w:val="clear"/>
            <w:noWrap/>
            <w:vAlign w:val="center"/>
          </w:tcPr>
          <w:p w14:paraId="559FC4C8">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33</w:t>
            </w:r>
          </w:p>
        </w:tc>
        <w:tc>
          <w:tcPr>
            <w:tcW w:w="616" w:type="pct"/>
            <w:tcBorders>
              <w:top w:val="nil"/>
              <w:left w:val="single" w:color="auto" w:sz="4" w:space="0"/>
              <w:bottom w:val="single" w:color="auto" w:sz="4" w:space="0"/>
              <w:right w:val="single" w:color="auto" w:sz="4" w:space="0"/>
            </w:tcBorders>
            <w:shd w:val="clear" w:color="auto" w:fill="FF0000"/>
            <w:noWrap/>
            <w:vAlign w:val="center"/>
          </w:tcPr>
          <w:p w14:paraId="6D4D193A">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3.0</w:t>
            </w:r>
          </w:p>
        </w:tc>
        <w:tc>
          <w:tcPr>
            <w:tcW w:w="777" w:type="pct"/>
            <w:tcBorders>
              <w:top w:val="nil"/>
              <w:left w:val="single" w:color="auto" w:sz="4" w:space="0"/>
              <w:bottom w:val="single" w:color="auto" w:sz="4" w:space="0"/>
              <w:right w:val="single" w:color="auto" w:sz="4" w:space="0"/>
            </w:tcBorders>
            <w:shd w:val="clear"/>
            <w:noWrap/>
            <w:vAlign w:val="center"/>
          </w:tcPr>
          <w:p w14:paraId="41CDA77A">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674" w:type="pct"/>
            <w:tcBorders>
              <w:top w:val="nil"/>
              <w:left w:val="nil"/>
              <w:bottom w:val="single" w:color="auto" w:sz="4" w:space="0"/>
              <w:right w:val="single" w:color="auto" w:sz="4" w:space="0"/>
            </w:tcBorders>
            <w:shd w:val="clear"/>
            <w:noWrap/>
            <w:vAlign w:val="center"/>
          </w:tcPr>
          <w:p w14:paraId="099ED242">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578" w:type="pct"/>
            <w:tcBorders>
              <w:top w:val="nil"/>
              <w:left w:val="nil"/>
              <w:bottom w:val="single" w:color="auto" w:sz="4" w:space="0"/>
              <w:right w:val="single" w:color="auto" w:sz="8" w:space="0"/>
            </w:tcBorders>
            <w:shd w:val="clear"/>
            <w:noWrap/>
            <w:vAlign w:val="center"/>
          </w:tcPr>
          <w:p w14:paraId="2CF4E6C6">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 xml:space="preserve">0.0 </w:t>
            </w:r>
          </w:p>
        </w:tc>
      </w:tr>
      <w:tr w14:paraId="15216EAF">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4" w:space="0"/>
              <w:right w:val="single" w:color="auto" w:sz="4" w:space="0"/>
            </w:tcBorders>
            <w:shd w:val="clear" w:color="auto" w:fill="auto"/>
            <w:noWrap/>
            <w:vAlign w:val="center"/>
          </w:tcPr>
          <w:p w14:paraId="7B9F9330">
            <w:pPr>
              <w:widowControl/>
              <w:jc w:val="center"/>
              <w:rPr>
                <w:rFonts w:eastAsia="等线"/>
                <w:color w:val="000000"/>
                <w:kern w:val="0"/>
                <w:sz w:val="24"/>
                <w:szCs w:val="24"/>
              </w:rPr>
            </w:pPr>
            <w:r>
              <w:rPr>
                <w:rFonts w:hint="eastAsia" w:eastAsia="等线"/>
                <w:color w:val="000000"/>
                <w:kern w:val="0"/>
                <w:sz w:val="24"/>
                <w:szCs w:val="24"/>
                <w:lang w:val="en-US" w:eastAsia="zh-CN"/>
              </w:rPr>
              <w:t>4</w:t>
            </w:r>
            <w:r>
              <w:rPr>
                <w:rFonts w:eastAsia="等线"/>
                <w:color w:val="000000"/>
                <w:kern w:val="0"/>
                <w:sz w:val="24"/>
                <w:szCs w:val="24"/>
              </w:rPr>
              <w:t>　</w:t>
            </w:r>
          </w:p>
        </w:tc>
        <w:tc>
          <w:tcPr>
            <w:tcW w:w="639" w:type="pct"/>
            <w:tcBorders>
              <w:top w:val="nil"/>
              <w:left w:val="nil"/>
              <w:bottom w:val="single" w:color="auto" w:sz="4" w:space="0"/>
              <w:right w:val="single" w:color="auto" w:sz="4" w:space="0"/>
            </w:tcBorders>
            <w:shd w:val="clear" w:color="auto" w:fill="auto"/>
            <w:noWrap/>
            <w:vAlign w:val="center"/>
          </w:tcPr>
          <w:p w14:paraId="33DE8143">
            <w:pPr>
              <w:widowControl/>
              <w:jc w:val="center"/>
              <w:rPr>
                <w:rFonts w:eastAsia="等线"/>
                <w:color w:val="000000"/>
                <w:kern w:val="0"/>
                <w:sz w:val="24"/>
                <w:szCs w:val="24"/>
              </w:rPr>
            </w:pPr>
            <w:r>
              <w:rPr>
                <w:rFonts w:hint="eastAsia" w:ascii="宋体" w:hAnsi="宋体"/>
                <w:color w:val="000000"/>
                <w:kern w:val="0"/>
                <w:sz w:val="24"/>
                <w:szCs w:val="24"/>
              </w:rPr>
              <w:t>市均值</w:t>
            </w:r>
          </w:p>
        </w:tc>
        <w:tc>
          <w:tcPr>
            <w:tcW w:w="6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370195">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29</w:t>
            </w:r>
          </w:p>
        </w:tc>
        <w:tc>
          <w:tcPr>
            <w:tcW w:w="726" w:type="pct"/>
            <w:tcBorders>
              <w:top w:val="single" w:color="auto" w:sz="4" w:space="0"/>
              <w:left w:val="nil"/>
              <w:bottom w:val="single" w:color="auto" w:sz="4" w:space="0"/>
              <w:right w:val="single" w:color="auto" w:sz="4" w:space="0"/>
            </w:tcBorders>
            <w:shd w:val="clear" w:color="auto" w:fill="auto"/>
            <w:noWrap/>
            <w:vAlign w:val="center"/>
          </w:tcPr>
          <w:p w14:paraId="3E447D68">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35</w:t>
            </w:r>
          </w:p>
        </w:tc>
        <w:tc>
          <w:tcPr>
            <w:tcW w:w="616" w:type="pct"/>
            <w:tcBorders>
              <w:top w:val="nil"/>
              <w:left w:val="single" w:color="auto" w:sz="4" w:space="0"/>
              <w:bottom w:val="single" w:color="auto" w:sz="4" w:space="0"/>
              <w:right w:val="single" w:color="auto" w:sz="4" w:space="0"/>
            </w:tcBorders>
            <w:shd w:val="clear" w:color="auto" w:fill="00B050"/>
            <w:noWrap/>
            <w:vAlign w:val="center"/>
          </w:tcPr>
          <w:p w14:paraId="648BD52C">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-17.1</w:t>
            </w:r>
          </w:p>
        </w:tc>
        <w:tc>
          <w:tcPr>
            <w:tcW w:w="777" w:type="pct"/>
            <w:tcBorders>
              <w:top w:val="nil"/>
              <w:left w:val="single" w:color="auto" w:sz="4" w:space="0"/>
              <w:bottom w:val="single" w:color="auto" w:sz="4" w:space="0"/>
              <w:right w:val="single" w:color="auto" w:sz="4" w:space="0"/>
            </w:tcBorders>
            <w:shd w:val="clear" w:color="auto" w:fill="auto"/>
            <w:noWrap/>
            <w:vAlign w:val="center"/>
          </w:tcPr>
          <w:p w14:paraId="637DE361">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674" w:type="pct"/>
            <w:tcBorders>
              <w:top w:val="nil"/>
              <w:left w:val="nil"/>
              <w:bottom w:val="single" w:color="auto" w:sz="4" w:space="0"/>
              <w:right w:val="single" w:color="auto" w:sz="4" w:space="0"/>
            </w:tcBorders>
            <w:shd w:val="clear" w:color="auto" w:fill="auto"/>
            <w:noWrap/>
            <w:vAlign w:val="center"/>
          </w:tcPr>
          <w:p w14:paraId="6F88FDBE">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100.0</w:t>
            </w:r>
          </w:p>
        </w:tc>
        <w:tc>
          <w:tcPr>
            <w:tcW w:w="578" w:type="pct"/>
            <w:tcBorders>
              <w:top w:val="nil"/>
              <w:left w:val="nil"/>
              <w:bottom w:val="single" w:color="auto" w:sz="4" w:space="0"/>
              <w:right w:val="single" w:color="auto" w:sz="8" w:space="0"/>
            </w:tcBorders>
            <w:shd w:val="clear" w:color="auto" w:fill="auto"/>
            <w:noWrap/>
            <w:vAlign w:val="center"/>
          </w:tcPr>
          <w:p w14:paraId="757B4560">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 xml:space="preserve">0.0 </w:t>
            </w:r>
          </w:p>
        </w:tc>
      </w:tr>
      <w:tr w14:paraId="28775068">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8" w:space="0"/>
              <w:right w:val="single" w:color="auto" w:sz="4" w:space="0"/>
            </w:tcBorders>
            <w:shd w:val="clear" w:color="auto" w:fill="auto"/>
            <w:noWrap/>
            <w:vAlign w:val="center"/>
          </w:tcPr>
          <w:p w14:paraId="3E9FFE53">
            <w:pPr>
              <w:widowControl/>
              <w:jc w:val="center"/>
              <w:rPr>
                <w:rFonts w:eastAsia="等线"/>
                <w:color w:val="000000"/>
                <w:kern w:val="0"/>
                <w:sz w:val="24"/>
                <w:szCs w:val="24"/>
              </w:rPr>
            </w:pPr>
            <w:r>
              <w:rPr>
                <w:rFonts w:hint="eastAsia" w:eastAsia="等线"/>
                <w:color w:val="000000"/>
                <w:kern w:val="0"/>
                <w:sz w:val="24"/>
                <w:szCs w:val="24"/>
                <w:lang w:val="en-US" w:eastAsia="zh-CN"/>
              </w:rPr>
              <w:t>5</w:t>
            </w:r>
            <w:r>
              <w:rPr>
                <w:rFonts w:eastAsia="等线"/>
                <w:color w:val="000000"/>
                <w:kern w:val="0"/>
                <w:sz w:val="24"/>
                <w:szCs w:val="24"/>
              </w:rPr>
              <w:t>　</w:t>
            </w:r>
          </w:p>
        </w:tc>
        <w:tc>
          <w:tcPr>
            <w:tcW w:w="639" w:type="pct"/>
            <w:tcBorders>
              <w:top w:val="nil"/>
              <w:left w:val="nil"/>
              <w:bottom w:val="single" w:color="auto" w:sz="8" w:space="0"/>
              <w:right w:val="single" w:color="auto" w:sz="4" w:space="0"/>
            </w:tcBorders>
            <w:shd w:val="clear" w:color="auto" w:fill="auto"/>
            <w:noWrap/>
            <w:vAlign w:val="center"/>
          </w:tcPr>
          <w:p w14:paraId="1AEC8C53">
            <w:pPr>
              <w:widowControl/>
              <w:jc w:val="center"/>
              <w:rPr>
                <w:rFonts w:eastAsia="等线"/>
                <w:color w:val="000000"/>
                <w:kern w:val="0"/>
                <w:sz w:val="24"/>
                <w:szCs w:val="24"/>
              </w:rPr>
            </w:pPr>
            <w:r>
              <w:rPr>
                <w:rFonts w:hint="eastAsia" w:ascii="宋体" w:hAnsi="宋体"/>
                <w:color w:val="000000"/>
                <w:kern w:val="0"/>
                <w:sz w:val="24"/>
                <w:szCs w:val="24"/>
              </w:rPr>
              <w:t>省均值</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220921A1">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27</w:t>
            </w:r>
          </w:p>
        </w:tc>
        <w:tc>
          <w:tcPr>
            <w:tcW w:w="726" w:type="pct"/>
            <w:tcBorders>
              <w:top w:val="nil"/>
              <w:left w:val="nil"/>
              <w:bottom w:val="single" w:color="auto" w:sz="4" w:space="0"/>
              <w:right w:val="single" w:color="auto" w:sz="4" w:space="0"/>
            </w:tcBorders>
            <w:shd w:val="clear" w:color="auto" w:fill="auto"/>
            <w:noWrap/>
            <w:vAlign w:val="center"/>
          </w:tcPr>
          <w:p w14:paraId="535BD5FC">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33</w:t>
            </w:r>
          </w:p>
        </w:tc>
        <w:tc>
          <w:tcPr>
            <w:tcW w:w="616" w:type="pct"/>
            <w:tcBorders>
              <w:top w:val="nil"/>
              <w:left w:val="single" w:color="auto" w:sz="4" w:space="0"/>
              <w:bottom w:val="single" w:color="auto" w:sz="4" w:space="0"/>
              <w:right w:val="single" w:color="auto" w:sz="4" w:space="0"/>
            </w:tcBorders>
            <w:shd w:val="clear" w:color="auto" w:fill="00B050"/>
            <w:noWrap/>
            <w:vAlign w:val="center"/>
          </w:tcPr>
          <w:p w14:paraId="052CFCBE">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-18.2</w:t>
            </w:r>
          </w:p>
        </w:tc>
        <w:tc>
          <w:tcPr>
            <w:tcW w:w="777" w:type="pct"/>
            <w:tcBorders>
              <w:top w:val="nil"/>
              <w:left w:val="single" w:color="auto" w:sz="4" w:space="0"/>
              <w:bottom w:val="single" w:color="auto" w:sz="8" w:space="0"/>
              <w:right w:val="single" w:color="auto" w:sz="4" w:space="0"/>
            </w:tcBorders>
            <w:shd w:val="clear" w:color="auto" w:fill="auto"/>
            <w:noWrap/>
            <w:vAlign w:val="center"/>
          </w:tcPr>
          <w:p w14:paraId="29E8B07C">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 xml:space="preserve">100.0 </w:t>
            </w:r>
          </w:p>
        </w:tc>
        <w:tc>
          <w:tcPr>
            <w:tcW w:w="674" w:type="pct"/>
            <w:tcBorders>
              <w:top w:val="nil"/>
              <w:left w:val="nil"/>
              <w:bottom w:val="single" w:color="auto" w:sz="8" w:space="0"/>
              <w:right w:val="single" w:color="auto" w:sz="4" w:space="0"/>
            </w:tcBorders>
            <w:shd w:val="clear" w:color="auto" w:fill="auto"/>
            <w:noWrap/>
            <w:vAlign w:val="center"/>
          </w:tcPr>
          <w:p w14:paraId="5EC74602">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99.4</w:t>
            </w:r>
          </w:p>
        </w:tc>
        <w:tc>
          <w:tcPr>
            <w:tcW w:w="578" w:type="pct"/>
            <w:tcBorders>
              <w:top w:val="nil"/>
              <w:left w:val="nil"/>
              <w:bottom w:val="single" w:color="auto" w:sz="4" w:space="0"/>
              <w:right w:val="single" w:color="auto" w:sz="8" w:space="0"/>
            </w:tcBorders>
            <w:shd w:val="clear" w:color="auto" w:fill="00B050"/>
            <w:noWrap/>
            <w:vAlign w:val="center"/>
          </w:tcPr>
          <w:p w14:paraId="1DD5A713">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 xml:space="preserve">0.6 </w:t>
            </w:r>
          </w:p>
        </w:tc>
      </w:tr>
    </w:tbl>
    <w:p w14:paraId="04546AB8">
      <w:pPr>
        <w:spacing w:line="276" w:lineRule="auto"/>
        <w:rPr>
          <w:rFonts w:hint="eastAsia" w:ascii="仿宋_GB2312" w:hAnsi="方正小标宋简体" w:eastAsia="仿宋_GB2312" w:cs="方正小标宋简体"/>
          <w:sz w:val="24"/>
          <w:szCs w:val="24"/>
        </w:rPr>
      </w:pPr>
      <w:r>
        <w:rPr>
          <w:rFonts w:hint="eastAsia" w:ascii="仿宋_GB2312" w:hAnsi="方正小标宋简体" w:eastAsia="仿宋_GB2312" w:cs="方正小标宋简体"/>
          <w:sz w:val="24"/>
          <w:szCs w:val="24"/>
        </w:rPr>
        <w:t>注：1.红色底色标注为较202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年同期恶化，绿色底色标注为较202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年同期改善，白色底色标注为较202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年同期持平；</w:t>
      </w:r>
    </w:p>
    <w:p w14:paraId="358ECC84">
      <w:pPr>
        <w:spacing w:line="276" w:lineRule="auto"/>
        <w:ind w:firstLine="480" w:firstLineChars="200"/>
        <w:rPr>
          <w:rFonts w:hint="eastAsia" w:ascii="仿宋_GB2312" w:hAnsi="方正小标宋简体" w:eastAsia="仿宋_GB2312" w:cs="方正小标宋简体"/>
          <w:sz w:val="24"/>
          <w:szCs w:val="24"/>
          <w:lang w:eastAsia="zh-CN"/>
        </w:rPr>
      </w:pPr>
      <w:r>
        <w:rPr>
          <w:rFonts w:hint="eastAsia" w:ascii="仿宋_GB2312" w:hAnsi="方正小标宋简体" w:eastAsia="仿宋_GB2312" w:cs="方正小标宋简体"/>
          <w:sz w:val="24"/>
          <w:szCs w:val="24"/>
        </w:rPr>
        <w:t>2.渝水区、高新区数据来源于国家空气质量联网监测管理平台的原始实况数据，分宜县数据来源于新余市空气质量联网监测管理平台的原始实况数据，非最终审核数据，仅供参考。市均值为渝水区和高新区的国控站点平均值（分宜县为省控站点不计入全市均值</w:t>
      </w:r>
      <w:r>
        <w:rPr>
          <w:rFonts w:hint="eastAsia" w:ascii="仿宋_GB2312" w:hAnsi="方正小标宋简体" w:eastAsia="仿宋_GB2312" w:cs="方正小标宋简体"/>
          <w:sz w:val="24"/>
          <w:szCs w:val="24"/>
          <w:lang w:eastAsia="zh-CN"/>
        </w:rPr>
        <w:t>。</w:t>
      </w:r>
    </w:p>
    <w:p w14:paraId="33A423E3">
      <w:pPr>
        <w:pStyle w:val="2"/>
        <w:ind w:left="0" w:leftChars="0" w:firstLine="0" w:firstLineChars="0"/>
        <w:rPr>
          <w:rFonts w:hint="eastAsia"/>
          <w:lang w:eastAsia="zh-CN"/>
        </w:rPr>
      </w:pPr>
    </w:p>
    <w:p w14:paraId="1ABEC08F">
      <w:pPr>
        <w:spacing w:line="560" w:lineRule="exact"/>
        <w:rPr>
          <w:rFonts w:eastAsia="黑体"/>
          <w:sz w:val="32"/>
          <w:szCs w:val="32"/>
        </w:rPr>
      </w:pPr>
      <w:r>
        <w:rPr>
          <w:rFonts w:eastAsia="黑体"/>
          <w:sz w:val="32"/>
          <w:szCs w:val="32"/>
        </w:rPr>
        <w:t>附件2：</w:t>
      </w:r>
    </w:p>
    <w:p w14:paraId="304AA41C">
      <w:pPr>
        <w:spacing w:line="5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w:t>
      </w:r>
      <w:r>
        <w:rPr>
          <w:rFonts w:ascii="方正小标宋简体" w:hAnsi="方正小标宋简体" w:eastAsia="方正小标宋简体" w:cs="方正小标宋简体"/>
          <w:sz w:val="32"/>
          <w:szCs w:val="32"/>
        </w:rPr>
        <w:t>4</w:t>
      </w:r>
      <w:r>
        <w:rPr>
          <w:rFonts w:hint="eastAsia" w:ascii="方正小标宋简体" w:hAnsi="方正小标宋简体" w:eastAsia="方正小标宋简体" w:cs="方正小标宋简体"/>
          <w:sz w:val="32"/>
          <w:szCs w:val="32"/>
        </w:rPr>
        <w:t>年1月1日—</w:t>
      </w:r>
      <w:r>
        <w:rPr>
          <w:rFonts w:hint="eastAsia" w:ascii="方正小标宋简体" w:hAnsi="方正小标宋简体" w:eastAsia="方正小标宋简体" w:cs="方正小标宋简体"/>
          <w:sz w:val="32"/>
          <w:szCs w:val="32"/>
          <w:lang w:val="en-US" w:eastAsia="zh-CN"/>
        </w:rPr>
        <w:t>11</w:t>
      </w:r>
      <w:r>
        <w:rPr>
          <w:rFonts w:hint="eastAsia" w:ascii="方正小标宋简体" w:hAnsi="方正小标宋简体" w:eastAsia="方正小标宋简体" w:cs="方正小标宋简体"/>
          <w:sz w:val="32"/>
          <w:szCs w:val="32"/>
        </w:rPr>
        <w:t>月3</w:t>
      </w:r>
      <w:r>
        <w:rPr>
          <w:rFonts w:hint="eastAsia" w:ascii="方正小标宋简体" w:hAnsi="方正小标宋简体" w:eastAsia="方正小标宋简体" w:cs="方正小标宋简体"/>
          <w:sz w:val="32"/>
          <w:szCs w:val="32"/>
          <w:lang w:val="en-US" w:eastAsia="zh-CN"/>
        </w:rPr>
        <w:t>0</w:t>
      </w:r>
      <w:r>
        <w:rPr>
          <w:rFonts w:hint="eastAsia" w:ascii="方正小标宋简体" w:hAnsi="方正小标宋简体" w:eastAsia="方正小标宋简体" w:cs="方正小标宋简体"/>
          <w:sz w:val="32"/>
          <w:szCs w:val="32"/>
        </w:rPr>
        <w:t>日全市各县（区）空气质量均值情况表</w:t>
      </w:r>
    </w:p>
    <w:tbl>
      <w:tblPr>
        <w:tblStyle w:val="15"/>
        <w:tblW w:w="4997" w:type="pct"/>
        <w:tblInd w:w="0" w:type="dxa"/>
        <w:tblLayout w:type="autofit"/>
        <w:tblCellMar>
          <w:top w:w="0" w:type="dxa"/>
          <w:left w:w="108" w:type="dxa"/>
          <w:bottom w:w="0" w:type="dxa"/>
          <w:right w:w="108" w:type="dxa"/>
        </w:tblCellMar>
      </w:tblPr>
      <w:tblGrid>
        <w:gridCol w:w="838"/>
        <w:gridCol w:w="1734"/>
        <w:gridCol w:w="2219"/>
        <w:gridCol w:w="1887"/>
        <w:gridCol w:w="1808"/>
        <w:gridCol w:w="2219"/>
        <w:gridCol w:w="1887"/>
        <w:gridCol w:w="1573"/>
      </w:tblGrid>
      <w:tr w14:paraId="2A8BDB8F">
        <w:tblPrEx>
          <w:tblCellMar>
            <w:top w:w="0" w:type="dxa"/>
            <w:left w:w="108" w:type="dxa"/>
            <w:bottom w:w="0" w:type="dxa"/>
            <w:right w:w="108" w:type="dxa"/>
          </w:tblCellMar>
        </w:tblPrEx>
        <w:trPr>
          <w:trHeight w:val="737" w:hRule="atLeast"/>
        </w:trPr>
        <w:tc>
          <w:tcPr>
            <w:tcW w:w="296"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5A6FCCB4">
            <w:pPr>
              <w:widowControl/>
              <w:jc w:val="center"/>
              <w:rPr>
                <w:rFonts w:eastAsia="等线"/>
                <w:b/>
                <w:bCs/>
                <w:color w:val="000000"/>
                <w:kern w:val="0"/>
                <w:sz w:val="24"/>
                <w:szCs w:val="24"/>
              </w:rPr>
            </w:pPr>
            <w:r>
              <w:rPr>
                <w:rFonts w:hint="eastAsia" w:ascii="宋体" w:hAnsi="宋体"/>
                <w:b/>
                <w:bCs/>
                <w:color w:val="000000"/>
                <w:kern w:val="0"/>
                <w:sz w:val="24"/>
                <w:szCs w:val="24"/>
              </w:rPr>
              <w:t>序号</w:t>
            </w:r>
          </w:p>
        </w:tc>
        <w:tc>
          <w:tcPr>
            <w:tcW w:w="612"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5E6E26FC">
            <w:pPr>
              <w:widowControl/>
              <w:jc w:val="center"/>
              <w:rPr>
                <w:rFonts w:eastAsia="等线"/>
                <w:b/>
                <w:bCs/>
                <w:color w:val="000000"/>
                <w:kern w:val="0"/>
                <w:sz w:val="24"/>
                <w:szCs w:val="24"/>
              </w:rPr>
            </w:pPr>
            <w:r>
              <w:rPr>
                <w:rFonts w:hint="eastAsia" w:ascii="宋体" w:hAnsi="宋体"/>
                <w:b/>
                <w:bCs/>
                <w:color w:val="000000"/>
                <w:kern w:val="0"/>
                <w:sz w:val="24"/>
                <w:szCs w:val="24"/>
              </w:rPr>
              <w:t>市县（区）</w:t>
            </w:r>
          </w:p>
        </w:tc>
        <w:tc>
          <w:tcPr>
            <w:tcW w:w="2087" w:type="pct"/>
            <w:gridSpan w:val="3"/>
            <w:tcBorders>
              <w:top w:val="single" w:color="auto" w:sz="4" w:space="0"/>
              <w:left w:val="nil"/>
              <w:bottom w:val="single" w:color="auto" w:sz="4" w:space="0"/>
              <w:right w:val="single" w:color="auto" w:sz="4" w:space="0"/>
            </w:tcBorders>
            <w:shd w:val="clear" w:color="000000" w:fill="DBDBDB"/>
            <w:noWrap/>
            <w:vAlign w:val="center"/>
          </w:tcPr>
          <w:p w14:paraId="2A1D06C7">
            <w:pPr>
              <w:widowControl/>
              <w:jc w:val="center"/>
              <w:rPr>
                <w:rFonts w:eastAsia="等线"/>
                <w:b/>
                <w:bCs/>
                <w:color w:val="000000"/>
                <w:kern w:val="0"/>
                <w:sz w:val="24"/>
                <w:szCs w:val="24"/>
              </w:rPr>
            </w:pPr>
            <w:r>
              <w:rPr>
                <w:rFonts w:eastAsia="等线"/>
                <w:b/>
                <w:bCs/>
                <w:color w:val="000000"/>
                <w:kern w:val="0"/>
                <w:sz w:val="24"/>
                <w:szCs w:val="24"/>
              </w:rPr>
              <w:t>PM</w:t>
            </w:r>
            <w:r>
              <w:rPr>
                <w:rFonts w:eastAsia="等线"/>
                <w:b/>
                <w:bCs/>
                <w:color w:val="000000"/>
                <w:kern w:val="0"/>
                <w:sz w:val="24"/>
                <w:szCs w:val="24"/>
                <w:vertAlign w:val="subscript"/>
              </w:rPr>
              <w:t>2.5</w:t>
            </w:r>
            <w:r>
              <w:rPr>
                <w:rFonts w:hint="eastAsia" w:ascii="宋体" w:hAnsi="宋体"/>
                <w:b/>
                <w:bCs/>
                <w:color w:val="000000"/>
                <w:kern w:val="0"/>
                <w:sz w:val="24"/>
                <w:szCs w:val="24"/>
              </w:rPr>
              <w:t>（</w:t>
            </w:r>
            <w:r>
              <w:rPr>
                <w:rFonts w:eastAsia="等线"/>
                <w:b/>
                <w:bCs/>
                <w:color w:val="000000"/>
                <w:kern w:val="0"/>
                <w:sz w:val="24"/>
                <w:szCs w:val="24"/>
              </w:rPr>
              <w:t>ug/m</w:t>
            </w:r>
            <w:r>
              <w:rPr>
                <w:rFonts w:eastAsia="等线"/>
                <w:b/>
                <w:bCs/>
                <w:color w:val="000000"/>
                <w:kern w:val="0"/>
                <w:sz w:val="24"/>
                <w:szCs w:val="24"/>
                <w:vertAlign w:val="superscript"/>
              </w:rPr>
              <w:t>3</w:t>
            </w:r>
            <w:r>
              <w:rPr>
                <w:rFonts w:hint="eastAsia" w:ascii="宋体" w:hAnsi="宋体"/>
                <w:b/>
                <w:bCs/>
                <w:color w:val="000000"/>
                <w:kern w:val="0"/>
                <w:sz w:val="24"/>
                <w:szCs w:val="24"/>
              </w:rPr>
              <w:t>）</w:t>
            </w:r>
          </w:p>
        </w:tc>
        <w:tc>
          <w:tcPr>
            <w:tcW w:w="2004" w:type="pct"/>
            <w:gridSpan w:val="3"/>
            <w:tcBorders>
              <w:top w:val="single" w:color="auto" w:sz="4" w:space="0"/>
              <w:left w:val="nil"/>
              <w:bottom w:val="single" w:color="auto" w:sz="4" w:space="0"/>
              <w:right w:val="single" w:color="000000" w:sz="8" w:space="0"/>
            </w:tcBorders>
            <w:shd w:val="clear" w:color="000000" w:fill="DBDBDB"/>
            <w:noWrap/>
            <w:vAlign w:val="center"/>
          </w:tcPr>
          <w:p w14:paraId="75420120">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优良率（%）</w:t>
            </w:r>
          </w:p>
        </w:tc>
      </w:tr>
      <w:tr w14:paraId="56DAEBE1">
        <w:tblPrEx>
          <w:tblCellMar>
            <w:top w:w="0" w:type="dxa"/>
            <w:left w:w="108" w:type="dxa"/>
            <w:bottom w:w="0" w:type="dxa"/>
            <w:right w:w="108" w:type="dxa"/>
          </w:tblCellMar>
        </w:tblPrEx>
        <w:trPr>
          <w:trHeight w:val="737" w:hRule="atLeast"/>
        </w:trPr>
        <w:tc>
          <w:tcPr>
            <w:tcW w:w="296" w:type="pct"/>
            <w:vMerge w:val="continue"/>
            <w:tcBorders>
              <w:top w:val="single" w:color="auto" w:sz="4" w:space="0"/>
              <w:left w:val="single" w:color="auto" w:sz="4" w:space="0"/>
              <w:bottom w:val="single" w:color="auto" w:sz="4" w:space="0"/>
              <w:right w:val="single" w:color="auto" w:sz="4" w:space="0"/>
            </w:tcBorders>
            <w:vAlign w:val="center"/>
          </w:tcPr>
          <w:p w14:paraId="2D8132EE">
            <w:pPr>
              <w:widowControl/>
              <w:jc w:val="left"/>
              <w:rPr>
                <w:rFonts w:eastAsia="等线"/>
                <w:b/>
                <w:bCs/>
                <w:color w:val="000000"/>
                <w:kern w:val="0"/>
                <w:sz w:val="24"/>
                <w:szCs w:val="24"/>
              </w:rPr>
            </w:pPr>
          </w:p>
        </w:tc>
        <w:tc>
          <w:tcPr>
            <w:tcW w:w="612" w:type="pct"/>
            <w:vMerge w:val="continue"/>
            <w:tcBorders>
              <w:top w:val="single" w:color="auto" w:sz="4" w:space="0"/>
              <w:left w:val="single" w:color="auto" w:sz="4" w:space="0"/>
              <w:bottom w:val="single" w:color="auto" w:sz="4" w:space="0"/>
              <w:right w:val="single" w:color="auto" w:sz="4" w:space="0"/>
            </w:tcBorders>
            <w:vAlign w:val="center"/>
          </w:tcPr>
          <w:p w14:paraId="69656959">
            <w:pPr>
              <w:widowControl/>
              <w:jc w:val="left"/>
              <w:rPr>
                <w:rFonts w:eastAsia="等线"/>
                <w:b/>
                <w:bCs/>
                <w:color w:val="000000"/>
                <w:kern w:val="0"/>
                <w:sz w:val="24"/>
                <w:szCs w:val="24"/>
              </w:rPr>
            </w:pPr>
          </w:p>
        </w:tc>
        <w:tc>
          <w:tcPr>
            <w:tcW w:w="783" w:type="pct"/>
            <w:tcBorders>
              <w:top w:val="nil"/>
              <w:left w:val="nil"/>
              <w:bottom w:val="single" w:color="auto" w:sz="4" w:space="0"/>
              <w:right w:val="single" w:color="auto" w:sz="4" w:space="0"/>
            </w:tcBorders>
            <w:shd w:val="clear" w:color="000000" w:fill="DBDBDB"/>
            <w:noWrap/>
            <w:vAlign w:val="center"/>
          </w:tcPr>
          <w:p w14:paraId="406B5F47">
            <w:pPr>
              <w:widowControl/>
              <w:jc w:val="center"/>
              <w:rPr>
                <w:rFonts w:hint="default" w:eastAsia="等线"/>
                <w:b/>
                <w:bCs/>
                <w:color w:val="000000"/>
                <w:kern w:val="0"/>
                <w:sz w:val="24"/>
                <w:szCs w:val="24"/>
                <w:lang w:val="en-US" w:eastAsia="zh-CN"/>
              </w:rPr>
            </w:pPr>
            <w:r>
              <w:rPr>
                <w:rFonts w:eastAsia="等线"/>
                <w:b/>
                <w:bCs/>
                <w:color w:val="000000"/>
                <w:kern w:val="0"/>
                <w:sz w:val="24"/>
                <w:szCs w:val="24"/>
              </w:rPr>
              <w:t>2024/1/1-</w:t>
            </w:r>
            <w:r>
              <w:rPr>
                <w:rFonts w:hint="eastAsia" w:eastAsia="等线"/>
                <w:b/>
                <w:bCs/>
                <w:color w:val="000000"/>
                <w:kern w:val="0"/>
                <w:sz w:val="24"/>
                <w:szCs w:val="24"/>
                <w:lang w:val="en-US" w:eastAsia="zh-CN"/>
              </w:rPr>
              <w:t>11</w:t>
            </w:r>
            <w:r>
              <w:rPr>
                <w:rFonts w:eastAsia="等线"/>
                <w:b/>
                <w:bCs/>
                <w:color w:val="000000"/>
                <w:kern w:val="0"/>
                <w:sz w:val="24"/>
                <w:szCs w:val="24"/>
              </w:rPr>
              <w:t>/</w:t>
            </w:r>
            <w:r>
              <w:rPr>
                <w:rFonts w:hint="eastAsia" w:eastAsia="等线"/>
                <w:b/>
                <w:bCs/>
                <w:color w:val="000000"/>
                <w:kern w:val="0"/>
                <w:sz w:val="24"/>
                <w:szCs w:val="24"/>
                <w:lang w:val="en-US" w:eastAsia="zh-CN"/>
              </w:rPr>
              <w:t>30</w:t>
            </w:r>
          </w:p>
        </w:tc>
        <w:tc>
          <w:tcPr>
            <w:tcW w:w="666" w:type="pct"/>
            <w:tcBorders>
              <w:top w:val="nil"/>
              <w:left w:val="nil"/>
              <w:bottom w:val="single" w:color="auto" w:sz="4" w:space="0"/>
              <w:right w:val="single" w:color="auto" w:sz="4" w:space="0"/>
            </w:tcBorders>
            <w:shd w:val="clear" w:color="000000" w:fill="DBDBDB"/>
            <w:noWrap/>
            <w:vAlign w:val="center"/>
          </w:tcPr>
          <w:p w14:paraId="3EE25EFE">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636" w:type="pct"/>
            <w:tcBorders>
              <w:top w:val="nil"/>
              <w:left w:val="nil"/>
              <w:bottom w:val="single" w:color="auto" w:sz="4" w:space="0"/>
              <w:right w:val="single" w:color="auto" w:sz="4" w:space="0"/>
            </w:tcBorders>
            <w:shd w:val="clear" w:color="000000" w:fill="DBDBDB"/>
            <w:noWrap/>
            <w:vAlign w:val="center"/>
          </w:tcPr>
          <w:p w14:paraId="5647EBC3">
            <w:pPr>
              <w:widowControl/>
              <w:jc w:val="center"/>
              <w:rPr>
                <w:rFonts w:eastAsia="等线"/>
                <w:b/>
                <w:bCs/>
                <w:color w:val="000000"/>
                <w:kern w:val="0"/>
                <w:sz w:val="24"/>
                <w:szCs w:val="24"/>
              </w:rPr>
            </w:pPr>
            <w:r>
              <w:rPr>
                <w:rFonts w:hint="eastAsia" w:ascii="宋体" w:hAnsi="宋体"/>
                <w:b/>
                <w:bCs/>
                <w:color w:val="000000"/>
                <w:kern w:val="0"/>
                <w:sz w:val="24"/>
                <w:szCs w:val="24"/>
              </w:rPr>
              <w:t>同比（</w:t>
            </w:r>
            <w:r>
              <w:rPr>
                <w:rFonts w:eastAsia="等线"/>
                <w:b/>
                <w:bCs/>
                <w:color w:val="000000"/>
                <w:kern w:val="0"/>
                <w:sz w:val="24"/>
                <w:szCs w:val="24"/>
              </w:rPr>
              <w:t>%</w:t>
            </w:r>
            <w:r>
              <w:rPr>
                <w:rFonts w:hint="eastAsia" w:ascii="宋体" w:hAnsi="宋体"/>
                <w:b/>
                <w:bCs/>
                <w:color w:val="000000"/>
                <w:kern w:val="0"/>
                <w:sz w:val="24"/>
                <w:szCs w:val="24"/>
              </w:rPr>
              <w:t>）</w:t>
            </w:r>
          </w:p>
        </w:tc>
        <w:tc>
          <w:tcPr>
            <w:tcW w:w="783" w:type="pct"/>
            <w:tcBorders>
              <w:top w:val="nil"/>
              <w:left w:val="nil"/>
              <w:bottom w:val="single" w:color="auto" w:sz="4" w:space="0"/>
              <w:right w:val="single" w:color="auto" w:sz="4" w:space="0"/>
            </w:tcBorders>
            <w:shd w:val="clear" w:color="000000" w:fill="DBDBDB"/>
            <w:noWrap/>
            <w:vAlign w:val="center"/>
          </w:tcPr>
          <w:p w14:paraId="44F47F5C">
            <w:pPr>
              <w:widowControl/>
              <w:jc w:val="center"/>
              <w:rPr>
                <w:rFonts w:hint="eastAsia" w:eastAsia="等线"/>
                <w:b/>
                <w:bCs/>
                <w:color w:val="000000"/>
                <w:kern w:val="0"/>
                <w:sz w:val="24"/>
                <w:szCs w:val="24"/>
                <w:lang w:val="en-US" w:eastAsia="zh-CN"/>
              </w:rPr>
            </w:pPr>
            <w:r>
              <w:rPr>
                <w:rFonts w:eastAsia="等线"/>
                <w:b/>
                <w:bCs/>
                <w:color w:val="000000"/>
                <w:kern w:val="0"/>
                <w:sz w:val="24"/>
                <w:szCs w:val="24"/>
              </w:rPr>
              <w:t>2024/1/1-</w:t>
            </w:r>
            <w:r>
              <w:rPr>
                <w:rFonts w:hint="eastAsia" w:eastAsia="等线"/>
                <w:b/>
                <w:bCs/>
                <w:color w:val="000000"/>
                <w:kern w:val="0"/>
                <w:sz w:val="24"/>
                <w:szCs w:val="24"/>
                <w:lang w:val="en-US" w:eastAsia="zh-CN"/>
              </w:rPr>
              <w:t>11</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0</w:t>
            </w:r>
          </w:p>
        </w:tc>
        <w:tc>
          <w:tcPr>
            <w:tcW w:w="666" w:type="pct"/>
            <w:tcBorders>
              <w:top w:val="nil"/>
              <w:left w:val="nil"/>
              <w:bottom w:val="single" w:color="auto" w:sz="4" w:space="0"/>
              <w:right w:val="single" w:color="auto" w:sz="4" w:space="0"/>
            </w:tcBorders>
            <w:shd w:val="clear" w:color="000000" w:fill="DBDBDB"/>
            <w:noWrap/>
            <w:vAlign w:val="center"/>
          </w:tcPr>
          <w:p w14:paraId="2FBEE61C">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554" w:type="pct"/>
            <w:tcBorders>
              <w:top w:val="nil"/>
              <w:left w:val="nil"/>
              <w:bottom w:val="single" w:color="auto" w:sz="4" w:space="0"/>
              <w:right w:val="single" w:color="auto" w:sz="8" w:space="0"/>
            </w:tcBorders>
            <w:shd w:val="clear" w:color="000000" w:fill="DBDBDB"/>
            <w:noWrap/>
            <w:vAlign w:val="center"/>
          </w:tcPr>
          <w:p w14:paraId="5D097608">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同比（%）</w:t>
            </w:r>
          </w:p>
        </w:tc>
      </w:tr>
      <w:tr w14:paraId="058EC325">
        <w:tblPrEx>
          <w:tblCellMar>
            <w:top w:w="0" w:type="dxa"/>
            <w:left w:w="108" w:type="dxa"/>
            <w:bottom w:w="0" w:type="dxa"/>
            <w:right w:w="108" w:type="dxa"/>
          </w:tblCellMar>
        </w:tblPrEx>
        <w:trPr>
          <w:trHeight w:val="737" w:hRule="atLeast"/>
        </w:trPr>
        <w:tc>
          <w:tcPr>
            <w:tcW w:w="296" w:type="pct"/>
            <w:tcBorders>
              <w:top w:val="single" w:color="auto" w:sz="4" w:space="0"/>
              <w:left w:val="single" w:color="auto" w:sz="8" w:space="0"/>
              <w:bottom w:val="single" w:color="auto" w:sz="4" w:space="0"/>
              <w:right w:val="single" w:color="auto" w:sz="4" w:space="0"/>
            </w:tcBorders>
            <w:shd w:val="clear" w:color="auto" w:fill="auto"/>
            <w:noWrap/>
            <w:vAlign w:val="center"/>
          </w:tcPr>
          <w:p w14:paraId="5C013849">
            <w:pPr>
              <w:widowControl/>
              <w:jc w:val="center"/>
              <w:rPr>
                <w:rFonts w:eastAsia="等线"/>
                <w:color w:val="000000"/>
                <w:kern w:val="0"/>
                <w:sz w:val="24"/>
                <w:szCs w:val="24"/>
              </w:rPr>
            </w:pPr>
            <w:r>
              <w:rPr>
                <w:rFonts w:eastAsia="等线"/>
                <w:color w:val="000000"/>
                <w:kern w:val="0"/>
                <w:sz w:val="24"/>
                <w:szCs w:val="24"/>
              </w:rPr>
              <w:t>1</w:t>
            </w:r>
          </w:p>
        </w:tc>
        <w:tc>
          <w:tcPr>
            <w:tcW w:w="612" w:type="pct"/>
            <w:tcBorders>
              <w:top w:val="single" w:color="auto" w:sz="4" w:space="0"/>
              <w:left w:val="nil"/>
              <w:bottom w:val="single" w:color="auto" w:sz="4" w:space="0"/>
              <w:right w:val="single" w:color="auto" w:sz="4" w:space="0"/>
            </w:tcBorders>
            <w:shd w:val="clear" w:color="auto" w:fill="auto"/>
            <w:noWrap/>
            <w:vAlign w:val="center"/>
          </w:tcPr>
          <w:p w14:paraId="70081D3A">
            <w:pPr>
              <w:widowControl/>
              <w:jc w:val="center"/>
              <w:rPr>
                <w:rFonts w:eastAsia="等线"/>
                <w:color w:val="000000"/>
                <w:kern w:val="0"/>
                <w:sz w:val="24"/>
                <w:szCs w:val="24"/>
              </w:rPr>
            </w:pPr>
            <w:r>
              <w:rPr>
                <w:rFonts w:hint="eastAsia" w:ascii="宋体" w:hAnsi="宋体"/>
                <w:color w:val="000000"/>
                <w:kern w:val="0"/>
                <w:sz w:val="24"/>
                <w:szCs w:val="24"/>
              </w:rPr>
              <w:t>渝水区</w:t>
            </w:r>
          </w:p>
        </w:tc>
        <w:tc>
          <w:tcPr>
            <w:tcW w:w="783" w:type="pct"/>
            <w:tcBorders>
              <w:top w:val="single" w:color="auto" w:sz="4" w:space="0"/>
              <w:left w:val="single" w:color="auto" w:sz="4" w:space="0"/>
              <w:bottom w:val="single" w:color="auto" w:sz="4" w:space="0"/>
              <w:right w:val="single" w:color="auto" w:sz="4" w:space="0"/>
            </w:tcBorders>
            <w:shd w:val="clear"/>
            <w:noWrap/>
            <w:vAlign w:val="center"/>
          </w:tcPr>
          <w:p w14:paraId="53153176">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27</w:t>
            </w:r>
          </w:p>
        </w:tc>
        <w:tc>
          <w:tcPr>
            <w:tcW w:w="666" w:type="pct"/>
            <w:tcBorders>
              <w:top w:val="single" w:color="auto" w:sz="4" w:space="0"/>
              <w:left w:val="nil"/>
              <w:bottom w:val="single" w:color="auto" w:sz="4" w:space="0"/>
              <w:right w:val="single" w:color="auto" w:sz="4" w:space="0"/>
            </w:tcBorders>
            <w:shd w:val="clear"/>
            <w:noWrap/>
            <w:vAlign w:val="center"/>
          </w:tcPr>
          <w:p w14:paraId="2B0F6A4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31</w:t>
            </w:r>
          </w:p>
        </w:tc>
        <w:tc>
          <w:tcPr>
            <w:tcW w:w="636" w:type="pct"/>
            <w:tcBorders>
              <w:top w:val="single" w:color="auto" w:sz="4" w:space="0"/>
              <w:left w:val="single" w:color="auto" w:sz="4" w:space="0"/>
              <w:bottom w:val="single" w:color="auto" w:sz="4" w:space="0"/>
              <w:right w:val="single" w:color="auto" w:sz="4" w:space="0"/>
            </w:tcBorders>
            <w:shd w:val="clear" w:color="auto" w:fill="00B050"/>
            <w:noWrap/>
            <w:vAlign w:val="center"/>
          </w:tcPr>
          <w:p w14:paraId="05D52EC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-12.9</w:t>
            </w:r>
          </w:p>
        </w:tc>
        <w:tc>
          <w:tcPr>
            <w:tcW w:w="783" w:type="pct"/>
            <w:tcBorders>
              <w:top w:val="single" w:color="auto" w:sz="4" w:space="0"/>
              <w:left w:val="single" w:color="auto" w:sz="4" w:space="0"/>
              <w:bottom w:val="single" w:color="auto" w:sz="4" w:space="0"/>
              <w:right w:val="single" w:color="auto" w:sz="4" w:space="0"/>
            </w:tcBorders>
            <w:shd w:val="clear"/>
            <w:noWrap/>
            <w:vAlign w:val="center"/>
          </w:tcPr>
          <w:p w14:paraId="37F598E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96.7</w:t>
            </w:r>
          </w:p>
        </w:tc>
        <w:tc>
          <w:tcPr>
            <w:tcW w:w="666" w:type="pct"/>
            <w:tcBorders>
              <w:top w:val="single" w:color="auto" w:sz="4" w:space="0"/>
              <w:left w:val="nil"/>
              <w:bottom w:val="single" w:color="auto" w:sz="4" w:space="0"/>
              <w:right w:val="single" w:color="auto" w:sz="4" w:space="0"/>
            </w:tcBorders>
            <w:shd w:val="clear"/>
            <w:noWrap/>
            <w:vAlign w:val="center"/>
          </w:tcPr>
          <w:p w14:paraId="75119D0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98.5</w:t>
            </w:r>
          </w:p>
        </w:tc>
        <w:tc>
          <w:tcPr>
            <w:tcW w:w="554" w:type="pct"/>
            <w:tcBorders>
              <w:top w:val="single" w:color="auto" w:sz="4" w:space="0"/>
              <w:left w:val="nil"/>
              <w:bottom w:val="single" w:color="auto" w:sz="4" w:space="0"/>
              <w:right w:val="single" w:color="auto" w:sz="8" w:space="0"/>
            </w:tcBorders>
            <w:shd w:val="clear" w:color="auto" w:fill="FF0000"/>
            <w:noWrap/>
            <w:vAlign w:val="center"/>
          </w:tcPr>
          <w:p w14:paraId="6CC48D2C">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-1.8</w:t>
            </w:r>
          </w:p>
        </w:tc>
      </w:tr>
      <w:tr w14:paraId="39DEF359">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auto" w:fill="auto"/>
            <w:noWrap/>
            <w:vAlign w:val="center"/>
          </w:tcPr>
          <w:p w14:paraId="5CFF6C0F">
            <w:pPr>
              <w:widowControl/>
              <w:jc w:val="center"/>
              <w:rPr>
                <w:rFonts w:eastAsia="等线"/>
                <w:color w:val="000000"/>
                <w:kern w:val="0"/>
                <w:sz w:val="24"/>
                <w:szCs w:val="24"/>
              </w:rPr>
            </w:pPr>
            <w:r>
              <w:rPr>
                <w:rFonts w:eastAsia="等线"/>
                <w:color w:val="000000"/>
                <w:kern w:val="0"/>
                <w:sz w:val="24"/>
                <w:szCs w:val="24"/>
              </w:rPr>
              <w:t>2</w:t>
            </w:r>
          </w:p>
        </w:tc>
        <w:tc>
          <w:tcPr>
            <w:tcW w:w="612" w:type="pct"/>
            <w:tcBorders>
              <w:top w:val="nil"/>
              <w:left w:val="nil"/>
              <w:bottom w:val="single" w:color="auto" w:sz="4" w:space="0"/>
              <w:right w:val="single" w:color="auto" w:sz="4" w:space="0"/>
            </w:tcBorders>
            <w:shd w:val="clear" w:color="auto" w:fill="auto"/>
            <w:noWrap/>
            <w:vAlign w:val="center"/>
          </w:tcPr>
          <w:p w14:paraId="7DC436C9">
            <w:pPr>
              <w:widowControl/>
              <w:jc w:val="center"/>
              <w:rPr>
                <w:rFonts w:eastAsia="等线"/>
                <w:color w:val="000000"/>
                <w:kern w:val="0"/>
                <w:sz w:val="24"/>
                <w:szCs w:val="24"/>
              </w:rPr>
            </w:pPr>
            <w:r>
              <w:rPr>
                <w:rFonts w:hint="eastAsia" w:ascii="宋体" w:hAnsi="宋体"/>
                <w:color w:val="000000"/>
                <w:kern w:val="0"/>
                <w:sz w:val="24"/>
                <w:szCs w:val="24"/>
              </w:rPr>
              <w:t>高新区</w:t>
            </w:r>
          </w:p>
        </w:tc>
        <w:tc>
          <w:tcPr>
            <w:tcW w:w="783" w:type="pct"/>
            <w:tcBorders>
              <w:top w:val="nil"/>
              <w:left w:val="single" w:color="auto" w:sz="4" w:space="0"/>
              <w:bottom w:val="single" w:color="auto" w:sz="4" w:space="0"/>
              <w:right w:val="single" w:color="auto" w:sz="4" w:space="0"/>
            </w:tcBorders>
            <w:shd w:val="clear"/>
            <w:noWrap/>
            <w:vAlign w:val="center"/>
          </w:tcPr>
          <w:p w14:paraId="4B60D10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25</w:t>
            </w:r>
          </w:p>
        </w:tc>
        <w:tc>
          <w:tcPr>
            <w:tcW w:w="666" w:type="pct"/>
            <w:tcBorders>
              <w:top w:val="nil"/>
              <w:left w:val="nil"/>
              <w:bottom w:val="single" w:color="auto" w:sz="4" w:space="0"/>
              <w:right w:val="single" w:color="auto" w:sz="4" w:space="0"/>
            </w:tcBorders>
            <w:shd w:val="clear"/>
            <w:noWrap/>
            <w:vAlign w:val="center"/>
          </w:tcPr>
          <w:p w14:paraId="378E249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28</w:t>
            </w:r>
          </w:p>
        </w:tc>
        <w:tc>
          <w:tcPr>
            <w:tcW w:w="636" w:type="pct"/>
            <w:tcBorders>
              <w:top w:val="nil"/>
              <w:left w:val="single" w:color="auto" w:sz="4" w:space="0"/>
              <w:bottom w:val="single" w:color="auto" w:sz="4" w:space="0"/>
              <w:right w:val="single" w:color="auto" w:sz="4" w:space="0"/>
            </w:tcBorders>
            <w:shd w:val="clear" w:color="auto" w:fill="00B050"/>
            <w:noWrap/>
            <w:vAlign w:val="center"/>
          </w:tcPr>
          <w:p w14:paraId="0D860EA8">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-10.7</w:t>
            </w:r>
          </w:p>
        </w:tc>
        <w:tc>
          <w:tcPr>
            <w:tcW w:w="783" w:type="pct"/>
            <w:tcBorders>
              <w:top w:val="nil"/>
              <w:left w:val="single" w:color="auto" w:sz="4" w:space="0"/>
              <w:bottom w:val="single" w:color="auto" w:sz="4" w:space="0"/>
              <w:right w:val="single" w:color="auto" w:sz="4" w:space="0"/>
            </w:tcBorders>
            <w:shd w:val="clear"/>
            <w:noWrap/>
            <w:vAlign w:val="center"/>
          </w:tcPr>
          <w:p w14:paraId="25419F58">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96.1</w:t>
            </w:r>
          </w:p>
        </w:tc>
        <w:tc>
          <w:tcPr>
            <w:tcW w:w="666" w:type="pct"/>
            <w:tcBorders>
              <w:top w:val="nil"/>
              <w:left w:val="nil"/>
              <w:bottom w:val="single" w:color="auto" w:sz="4" w:space="0"/>
              <w:right w:val="single" w:color="auto" w:sz="4" w:space="0"/>
            </w:tcBorders>
            <w:shd w:val="clear"/>
            <w:noWrap/>
            <w:vAlign w:val="center"/>
          </w:tcPr>
          <w:p w14:paraId="70AD800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97.7</w:t>
            </w:r>
          </w:p>
        </w:tc>
        <w:tc>
          <w:tcPr>
            <w:tcW w:w="554" w:type="pct"/>
            <w:tcBorders>
              <w:top w:val="nil"/>
              <w:left w:val="nil"/>
              <w:bottom w:val="single" w:color="auto" w:sz="4" w:space="0"/>
              <w:right w:val="single" w:color="auto" w:sz="8" w:space="0"/>
            </w:tcBorders>
            <w:shd w:val="clear" w:color="auto" w:fill="FF0000"/>
            <w:noWrap/>
            <w:vAlign w:val="center"/>
          </w:tcPr>
          <w:p w14:paraId="0993518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-1.6</w:t>
            </w:r>
          </w:p>
        </w:tc>
      </w:tr>
      <w:tr w14:paraId="7873BA56">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auto" w:fill="auto"/>
            <w:noWrap/>
            <w:vAlign w:val="center"/>
          </w:tcPr>
          <w:p w14:paraId="2F03D3F7">
            <w:pPr>
              <w:widowControl/>
              <w:jc w:val="center"/>
              <w:rPr>
                <w:rFonts w:eastAsia="等线"/>
                <w:color w:val="000000"/>
                <w:kern w:val="0"/>
                <w:sz w:val="24"/>
                <w:szCs w:val="24"/>
              </w:rPr>
            </w:pPr>
            <w:r>
              <w:rPr>
                <w:rFonts w:eastAsia="等线"/>
                <w:color w:val="000000"/>
                <w:kern w:val="0"/>
                <w:sz w:val="24"/>
                <w:szCs w:val="24"/>
              </w:rPr>
              <w:t>3</w:t>
            </w:r>
          </w:p>
        </w:tc>
        <w:tc>
          <w:tcPr>
            <w:tcW w:w="612" w:type="pct"/>
            <w:tcBorders>
              <w:top w:val="nil"/>
              <w:left w:val="nil"/>
              <w:bottom w:val="single" w:color="auto" w:sz="4" w:space="0"/>
              <w:right w:val="single" w:color="auto" w:sz="4" w:space="0"/>
            </w:tcBorders>
            <w:shd w:val="clear" w:color="auto" w:fill="auto"/>
            <w:noWrap/>
            <w:vAlign w:val="center"/>
          </w:tcPr>
          <w:p w14:paraId="4D9528C6">
            <w:pPr>
              <w:widowControl/>
              <w:jc w:val="center"/>
              <w:rPr>
                <w:rFonts w:eastAsia="等线"/>
                <w:color w:val="000000"/>
                <w:kern w:val="0"/>
                <w:sz w:val="24"/>
                <w:szCs w:val="24"/>
              </w:rPr>
            </w:pPr>
            <w:r>
              <w:rPr>
                <w:rFonts w:hint="eastAsia" w:ascii="宋体" w:hAnsi="宋体"/>
                <w:color w:val="000000"/>
                <w:kern w:val="0"/>
                <w:sz w:val="24"/>
                <w:szCs w:val="24"/>
              </w:rPr>
              <w:t>分宜县</w:t>
            </w:r>
          </w:p>
        </w:tc>
        <w:tc>
          <w:tcPr>
            <w:tcW w:w="783" w:type="pct"/>
            <w:tcBorders>
              <w:top w:val="nil"/>
              <w:left w:val="single" w:color="auto" w:sz="4" w:space="0"/>
              <w:bottom w:val="single" w:color="auto" w:sz="4" w:space="0"/>
              <w:right w:val="single" w:color="auto" w:sz="4" w:space="0"/>
            </w:tcBorders>
            <w:shd w:val="clear"/>
            <w:noWrap/>
            <w:vAlign w:val="center"/>
          </w:tcPr>
          <w:p w14:paraId="3277837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26</w:t>
            </w:r>
          </w:p>
        </w:tc>
        <w:tc>
          <w:tcPr>
            <w:tcW w:w="666" w:type="pct"/>
            <w:tcBorders>
              <w:top w:val="nil"/>
              <w:left w:val="nil"/>
              <w:bottom w:val="single" w:color="auto" w:sz="4" w:space="0"/>
              <w:right w:val="single" w:color="auto" w:sz="4" w:space="0"/>
            </w:tcBorders>
            <w:shd w:val="clear"/>
            <w:noWrap/>
            <w:vAlign w:val="center"/>
          </w:tcPr>
          <w:p w14:paraId="13E32DBF">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28</w:t>
            </w:r>
          </w:p>
        </w:tc>
        <w:tc>
          <w:tcPr>
            <w:tcW w:w="636" w:type="pct"/>
            <w:tcBorders>
              <w:top w:val="nil"/>
              <w:left w:val="single" w:color="auto" w:sz="4" w:space="0"/>
              <w:bottom w:val="single" w:color="auto" w:sz="4" w:space="0"/>
              <w:right w:val="single" w:color="auto" w:sz="4" w:space="0"/>
            </w:tcBorders>
            <w:shd w:val="clear" w:color="auto" w:fill="00B050"/>
            <w:noWrap/>
            <w:vAlign w:val="center"/>
          </w:tcPr>
          <w:p w14:paraId="156428F1">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-7.1</w:t>
            </w:r>
          </w:p>
        </w:tc>
        <w:tc>
          <w:tcPr>
            <w:tcW w:w="783" w:type="pct"/>
            <w:tcBorders>
              <w:top w:val="nil"/>
              <w:left w:val="single" w:color="auto" w:sz="4" w:space="0"/>
              <w:bottom w:val="single" w:color="auto" w:sz="4" w:space="0"/>
              <w:right w:val="single" w:color="auto" w:sz="4" w:space="0"/>
            </w:tcBorders>
            <w:shd w:val="clear"/>
            <w:noWrap/>
            <w:vAlign w:val="center"/>
          </w:tcPr>
          <w:p w14:paraId="18A55C01">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94.3</w:t>
            </w:r>
          </w:p>
        </w:tc>
        <w:tc>
          <w:tcPr>
            <w:tcW w:w="666" w:type="pct"/>
            <w:tcBorders>
              <w:top w:val="nil"/>
              <w:left w:val="nil"/>
              <w:bottom w:val="single" w:color="auto" w:sz="4" w:space="0"/>
              <w:right w:val="single" w:color="auto" w:sz="4" w:space="0"/>
            </w:tcBorders>
            <w:shd w:val="clear"/>
            <w:noWrap/>
            <w:vAlign w:val="center"/>
          </w:tcPr>
          <w:p w14:paraId="6E57B81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96.4</w:t>
            </w:r>
          </w:p>
        </w:tc>
        <w:tc>
          <w:tcPr>
            <w:tcW w:w="554" w:type="pct"/>
            <w:tcBorders>
              <w:top w:val="nil"/>
              <w:left w:val="nil"/>
              <w:bottom w:val="single" w:color="auto" w:sz="4" w:space="0"/>
              <w:right w:val="single" w:color="auto" w:sz="8" w:space="0"/>
            </w:tcBorders>
            <w:shd w:val="clear" w:color="auto" w:fill="FF0000"/>
            <w:noWrap/>
            <w:vAlign w:val="center"/>
          </w:tcPr>
          <w:p w14:paraId="15DB46E4">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-2.1 </w:t>
            </w:r>
          </w:p>
        </w:tc>
      </w:tr>
      <w:tr w14:paraId="1E5A0F6C">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000000" w:fill="auto"/>
            <w:noWrap/>
            <w:vAlign w:val="center"/>
          </w:tcPr>
          <w:p w14:paraId="0B369793">
            <w:pPr>
              <w:widowControl/>
              <w:jc w:val="center"/>
              <w:rPr>
                <w:rFonts w:eastAsia="等线"/>
                <w:color w:val="000000"/>
                <w:kern w:val="0"/>
                <w:sz w:val="24"/>
                <w:szCs w:val="24"/>
              </w:rPr>
            </w:pPr>
            <w:r>
              <w:rPr>
                <w:rFonts w:hint="eastAsia" w:eastAsia="等线"/>
                <w:color w:val="000000"/>
                <w:kern w:val="0"/>
                <w:sz w:val="24"/>
                <w:szCs w:val="24"/>
                <w:lang w:val="en-US" w:eastAsia="zh-CN"/>
              </w:rPr>
              <w:t>4</w:t>
            </w:r>
            <w:r>
              <w:rPr>
                <w:rFonts w:eastAsia="等线"/>
                <w:color w:val="000000"/>
                <w:kern w:val="0"/>
                <w:sz w:val="24"/>
                <w:szCs w:val="24"/>
              </w:rPr>
              <w:t>　</w:t>
            </w:r>
          </w:p>
        </w:tc>
        <w:tc>
          <w:tcPr>
            <w:tcW w:w="612" w:type="pct"/>
            <w:tcBorders>
              <w:top w:val="nil"/>
              <w:left w:val="nil"/>
              <w:bottom w:val="single" w:color="auto" w:sz="4" w:space="0"/>
              <w:right w:val="single" w:color="auto" w:sz="4" w:space="0"/>
            </w:tcBorders>
            <w:shd w:val="clear" w:color="000000" w:fill="auto"/>
            <w:noWrap/>
            <w:vAlign w:val="center"/>
          </w:tcPr>
          <w:p w14:paraId="37AEBB92">
            <w:pPr>
              <w:widowControl/>
              <w:jc w:val="center"/>
              <w:rPr>
                <w:rFonts w:eastAsia="等线"/>
                <w:color w:val="000000"/>
                <w:kern w:val="0"/>
                <w:sz w:val="24"/>
                <w:szCs w:val="24"/>
              </w:rPr>
            </w:pPr>
            <w:r>
              <w:rPr>
                <w:rFonts w:hint="eastAsia" w:ascii="宋体" w:hAnsi="宋体"/>
                <w:color w:val="000000"/>
                <w:kern w:val="0"/>
                <w:sz w:val="24"/>
                <w:szCs w:val="24"/>
              </w:rPr>
              <w:t>市均值</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585AB11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26</w:t>
            </w:r>
          </w:p>
        </w:tc>
        <w:tc>
          <w:tcPr>
            <w:tcW w:w="666" w:type="pct"/>
            <w:tcBorders>
              <w:top w:val="nil"/>
              <w:left w:val="nil"/>
              <w:bottom w:val="single" w:color="auto" w:sz="4" w:space="0"/>
              <w:right w:val="single" w:color="auto" w:sz="4" w:space="0"/>
            </w:tcBorders>
            <w:shd w:val="clear" w:color="auto" w:fill="auto"/>
            <w:noWrap/>
            <w:vAlign w:val="center"/>
          </w:tcPr>
          <w:p w14:paraId="44816FB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30</w:t>
            </w:r>
          </w:p>
        </w:tc>
        <w:tc>
          <w:tcPr>
            <w:tcW w:w="636" w:type="pct"/>
            <w:tcBorders>
              <w:top w:val="nil"/>
              <w:left w:val="single" w:color="auto" w:sz="4" w:space="0"/>
              <w:bottom w:val="single" w:color="auto" w:sz="4" w:space="0"/>
              <w:right w:val="single" w:color="auto" w:sz="4" w:space="0"/>
            </w:tcBorders>
            <w:shd w:val="clear" w:color="auto" w:fill="00B050"/>
            <w:noWrap/>
            <w:vAlign w:val="center"/>
          </w:tcPr>
          <w:p w14:paraId="7D2BE4E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-13.3</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4222ECF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96.7</w:t>
            </w:r>
          </w:p>
        </w:tc>
        <w:tc>
          <w:tcPr>
            <w:tcW w:w="666" w:type="pct"/>
            <w:tcBorders>
              <w:top w:val="nil"/>
              <w:left w:val="nil"/>
              <w:bottom w:val="single" w:color="auto" w:sz="4" w:space="0"/>
              <w:right w:val="single" w:color="auto" w:sz="4" w:space="0"/>
            </w:tcBorders>
            <w:shd w:val="clear" w:color="auto" w:fill="auto"/>
            <w:noWrap/>
            <w:vAlign w:val="center"/>
          </w:tcPr>
          <w:p w14:paraId="048EC9E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98.5</w:t>
            </w:r>
          </w:p>
        </w:tc>
        <w:tc>
          <w:tcPr>
            <w:tcW w:w="554" w:type="pct"/>
            <w:tcBorders>
              <w:top w:val="nil"/>
              <w:left w:val="nil"/>
              <w:bottom w:val="single" w:color="auto" w:sz="4" w:space="0"/>
              <w:right w:val="single" w:color="auto" w:sz="8" w:space="0"/>
            </w:tcBorders>
            <w:shd w:val="clear" w:color="auto" w:fill="FF0000"/>
            <w:noWrap/>
            <w:vAlign w:val="center"/>
          </w:tcPr>
          <w:p w14:paraId="5CBAAFDC">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-1.8</w:t>
            </w:r>
          </w:p>
        </w:tc>
      </w:tr>
      <w:tr w14:paraId="166B49E3">
        <w:tblPrEx>
          <w:tblCellMar>
            <w:top w:w="0" w:type="dxa"/>
            <w:left w:w="108" w:type="dxa"/>
            <w:bottom w:w="0" w:type="dxa"/>
            <w:right w:w="108" w:type="dxa"/>
          </w:tblCellMar>
        </w:tblPrEx>
        <w:trPr>
          <w:trHeight w:val="737" w:hRule="atLeast"/>
        </w:trPr>
        <w:tc>
          <w:tcPr>
            <w:tcW w:w="296" w:type="pct"/>
            <w:tcBorders>
              <w:top w:val="nil"/>
              <w:left w:val="single" w:color="auto" w:sz="8" w:space="0"/>
              <w:bottom w:val="single" w:color="auto" w:sz="4" w:space="0"/>
              <w:right w:val="single" w:color="auto" w:sz="4" w:space="0"/>
            </w:tcBorders>
            <w:shd w:val="clear" w:color="000000" w:fill="auto"/>
            <w:noWrap/>
            <w:vAlign w:val="center"/>
          </w:tcPr>
          <w:p w14:paraId="33C9AE85">
            <w:pPr>
              <w:widowControl/>
              <w:jc w:val="center"/>
              <w:rPr>
                <w:rFonts w:eastAsia="等线"/>
                <w:color w:val="000000"/>
                <w:kern w:val="0"/>
                <w:sz w:val="24"/>
                <w:szCs w:val="24"/>
              </w:rPr>
            </w:pPr>
            <w:r>
              <w:rPr>
                <w:rFonts w:hint="eastAsia" w:eastAsia="等线"/>
                <w:color w:val="000000"/>
                <w:kern w:val="0"/>
                <w:sz w:val="24"/>
                <w:szCs w:val="24"/>
                <w:lang w:val="en-US" w:eastAsia="zh-CN"/>
              </w:rPr>
              <w:t>5</w:t>
            </w:r>
            <w:r>
              <w:rPr>
                <w:rFonts w:eastAsia="等线"/>
                <w:color w:val="000000"/>
                <w:kern w:val="0"/>
                <w:sz w:val="24"/>
                <w:szCs w:val="24"/>
              </w:rPr>
              <w:t>　</w:t>
            </w:r>
          </w:p>
        </w:tc>
        <w:tc>
          <w:tcPr>
            <w:tcW w:w="612" w:type="pct"/>
            <w:tcBorders>
              <w:top w:val="nil"/>
              <w:left w:val="nil"/>
              <w:bottom w:val="single" w:color="auto" w:sz="4" w:space="0"/>
              <w:right w:val="single" w:color="auto" w:sz="4" w:space="0"/>
            </w:tcBorders>
            <w:shd w:val="clear" w:color="000000" w:fill="auto"/>
            <w:noWrap/>
            <w:vAlign w:val="center"/>
          </w:tcPr>
          <w:p w14:paraId="62D03EB3">
            <w:pPr>
              <w:widowControl/>
              <w:jc w:val="center"/>
              <w:rPr>
                <w:rFonts w:eastAsia="等线"/>
                <w:color w:val="000000"/>
                <w:kern w:val="0"/>
                <w:sz w:val="24"/>
                <w:szCs w:val="24"/>
              </w:rPr>
            </w:pPr>
            <w:r>
              <w:rPr>
                <w:rFonts w:hint="eastAsia" w:ascii="宋体" w:hAnsi="宋体"/>
                <w:color w:val="000000"/>
                <w:kern w:val="0"/>
                <w:sz w:val="24"/>
                <w:szCs w:val="24"/>
              </w:rPr>
              <w:t>省均值</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7B9A1709">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25</w:t>
            </w:r>
          </w:p>
        </w:tc>
        <w:tc>
          <w:tcPr>
            <w:tcW w:w="666" w:type="pct"/>
            <w:tcBorders>
              <w:top w:val="nil"/>
              <w:left w:val="nil"/>
              <w:bottom w:val="single" w:color="auto" w:sz="4" w:space="0"/>
              <w:right w:val="single" w:color="auto" w:sz="4" w:space="0"/>
            </w:tcBorders>
            <w:shd w:val="clear" w:color="auto" w:fill="auto"/>
            <w:noWrap/>
            <w:vAlign w:val="center"/>
          </w:tcPr>
          <w:p w14:paraId="01AB0FE3">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28</w:t>
            </w:r>
          </w:p>
        </w:tc>
        <w:tc>
          <w:tcPr>
            <w:tcW w:w="636" w:type="pct"/>
            <w:tcBorders>
              <w:top w:val="nil"/>
              <w:left w:val="single" w:color="auto" w:sz="4" w:space="0"/>
              <w:bottom w:val="single" w:color="auto" w:sz="4" w:space="0"/>
              <w:right w:val="single" w:color="auto" w:sz="4" w:space="0"/>
            </w:tcBorders>
            <w:shd w:val="clear" w:color="auto" w:fill="00B050"/>
            <w:noWrap/>
            <w:vAlign w:val="center"/>
          </w:tcPr>
          <w:p w14:paraId="447EA5A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-10.7</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121A3D4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96.0</w:t>
            </w:r>
          </w:p>
        </w:tc>
        <w:tc>
          <w:tcPr>
            <w:tcW w:w="666" w:type="pct"/>
            <w:tcBorders>
              <w:top w:val="nil"/>
              <w:left w:val="nil"/>
              <w:bottom w:val="single" w:color="auto" w:sz="4" w:space="0"/>
              <w:right w:val="single" w:color="auto" w:sz="4" w:space="0"/>
            </w:tcBorders>
            <w:shd w:val="clear" w:color="auto" w:fill="auto"/>
            <w:noWrap/>
            <w:vAlign w:val="center"/>
          </w:tcPr>
          <w:p w14:paraId="11CF664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97.0 </w:t>
            </w:r>
          </w:p>
        </w:tc>
        <w:tc>
          <w:tcPr>
            <w:tcW w:w="554" w:type="pct"/>
            <w:tcBorders>
              <w:top w:val="nil"/>
              <w:left w:val="nil"/>
              <w:bottom w:val="single" w:color="auto" w:sz="4" w:space="0"/>
              <w:right w:val="single" w:color="auto" w:sz="8" w:space="0"/>
            </w:tcBorders>
            <w:shd w:val="clear" w:color="auto" w:fill="FF0000"/>
            <w:noWrap/>
            <w:vAlign w:val="center"/>
          </w:tcPr>
          <w:p w14:paraId="54FFC293">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w:t>
            </w:r>
            <w:r>
              <w:rPr>
                <w:rFonts w:hint="eastAsia" w:eastAsia="等线" w:cs="Times New Roman"/>
                <w:i w:val="0"/>
                <w:iCs w:val="0"/>
                <w:color w:val="000000"/>
                <w:kern w:val="0"/>
                <w:sz w:val="24"/>
                <w:szCs w:val="24"/>
                <w:u w:val="none"/>
                <w:lang w:val="en-US" w:eastAsia="zh-CN" w:bidi="ar"/>
              </w:rPr>
              <w:t>.0</w:t>
            </w:r>
          </w:p>
        </w:tc>
      </w:tr>
    </w:tbl>
    <w:p w14:paraId="12929F06">
      <w:pPr>
        <w:spacing w:line="276" w:lineRule="auto"/>
        <w:rPr>
          <w:rFonts w:hint="eastAsia" w:ascii="仿宋_GB2312" w:hAnsi="方正小标宋简体" w:eastAsia="仿宋_GB2312" w:cs="方正小标宋简体"/>
          <w:sz w:val="24"/>
          <w:szCs w:val="24"/>
        </w:rPr>
      </w:pPr>
      <w:r>
        <w:rPr>
          <w:rFonts w:hint="eastAsia" w:ascii="仿宋_GB2312" w:hAnsi="方正小标宋简体" w:eastAsia="仿宋_GB2312" w:cs="方正小标宋简体"/>
          <w:sz w:val="24"/>
          <w:szCs w:val="24"/>
        </w:rPr>
        <w:t>注：1.红色底色标注为较202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年同期恶化，绿色底色标注为较202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年同期改善，白色底色标注为较202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年同期持平；</w:t>
      </w:r>
    </w:p>
    <w:p w14:paraId="53ABFAA3">
      <w:pPr>
        <w:spacing w:line="276" w:lineRule="auto"/>
        <w:ind w:firstLine="480" w:firstLineChars="200"/>
        <w:rPr>
          <w:rFonts w:eastAsia="黑体"/>
          <w:sz w:val="32"/>
          <w:szCs w:val="32"/>
        </w:rPr>
      </w:pPr>
      <w:r>
        <w:rPr>
          <w:rFonts w:hint="eastAsia" w:ascii="仿宋_GB2312" w:hAnsi="方正小标宋简体" w:eastAsia="仿宋_GB2312" w:cs="方正小标宋简体"/>
          <w:sz w:val="24"/>
          <w:szCs w:val="24"/>
        </w:rPr>
        <w:t>2.渝水区、高新区数据来源于国家空气质量联网监测管理平台的原始实况数据，分宜县数据来源于新余市空气质量联网监测管理平台的原始实况数据，非最终审核数据，仅供参考。市均值为渝水区和高新区的国控站点平均值（分宜县为省控站点不计入全市均值</w:t>
      </w:r>
      <w:r>
        <w:rPr>
          <w:rFonts w:hint="eastAsia" w:ascii="仿宋_GB2312" w:hAnsi="方正小标宋简体" w:eastAsia="仿宋_GB2312" w:cs="方正小标宋简体"/>
          <w:sz w:val="24"/>
          <w:szCs w:val="24"/>
          <w:lang w:eastAsia="zh-CN"/>
        </w:rPr>
        <w:t>。</w:t>
      </w:r>
    </w:p>
    <w:p w14:paraId="6425D00E">
      <w:pPr>
        <w:pStyle w:val="9"/>
        <w:rPr>
          <w:rFonts w:hint="eastAsia" w:ascii="仿宋_GB2312" w:hAnsi="方正小标宋简体" w:eastAsia="仿宋_GB2312" w:cs="方正小标宋简体"/>
          <w:sz w:val="24"/>
          <w:szCs w:val="24"/>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zNWY5ZjJiMDMyNThjMDRkNmQ1MmZkYzViY2YyZmMifQ=="/>
  </w:docVars>
  <w:rsids>
    <w:rsidRoot w:val="006B5FB6"/>
    <w:rsid w:val="00003361"/>
    <w:rsid w:val="00004E27"/>
    <w:rsid w:val="00012885"/>
    <w:rsid w:val="000132B9"/>
    <w:rsid w:val="00014C7E"/>
    <w:rsid w:val="00014C80"/>
    <w:rsid w:val="00016CF5"/>
    <w:rsid w:val="00017F04"/>
    <w:rsid w:val="00020A6A"/>
    <w:rsid w:val="000242C7"/>
    <w:rsid w:val="00027382"/>
    <w:rsid w:val="000308DA"/>
    <w:rsid w:val="00030AD2"/>
    <w:rsid w:val="00033B1D"/>
    <w:rsid w:val="000371C7"/>
    <w:rsid w:val="00037A54"/>
    <w:rsid w:val="00043019"/>
    <w:rsid w:val="000432F1"/>
    <w:rsid w:val="00045C10"/>
    <w:rsid w:val="0005187B"/>
    <w:rsid w:val="0005693E"/>
    <w:rsid w:val="0005706D"/>
    <w:rsid w:val="00066CD1"/>
    <w:rsid w:val="000714D4"/>
    <w:rsid w:val="00075A4E"/>
    <w:rsid w:val="00081EE7"/>
    <w:rsid w:val="00082834"/>
    <w:rsid w:val="00087270"/>
    <w:rsid w:val="00090F30"/>
    <w:rsid w:val="00092E8A"/>
    <w:rsid w:val="000958AC"/>
    <w:rsid w:val="00096359"/>
    <w:rsid w:val="00096EA8"/>
    <w:rsid w:val="000A1642"/>
    <w:rsid w:val="000A1E25"/>
    <w:rsid w:val="000A2891"/>
    <w:rsid w:val="000A2E84"/>
    <w:rsid w:val="000A2ECF"/>
    <w:rsid w:val="000A5935"/>
    <w:rsid w:val="000B1DD2"/>
    <w:rsid w:val="000B61A9"/>
    <w:rsid w:val="000B61BE"/>
    <w:rsid w:val="000B74A7"/>
    <w:rsid w:val="000C4871"/>
    <w:rsid w:val="000D237B"/>
    <w:rsid w:val="000D4C10"/>
    <w:rsid w:val="000D5269"/>
    <w:rsid w:val="000D60E0"/>
    <w:rsid w:val="000E2AA6"/>
    <w:rsid w:val="000E43DF"/>
    <w:rsid w:val="000E45A5"/>
    <w:rsid w:val="000E7DBB"/>
    <w:rsid w:val="000F2845"/>
    <w:rsid w:val="000F372D"/>
    <w:rsid w:val="000F73ED"/>
    <w:rsid w:val="00102C80"/>
    <w:rsid w:val="00111D16"/>
    <w:rsid w:val="0011402C"/>
    <w:rsid w:val="00114310"/>
    <w:rsid w:val="0011614F"/>
    <w:rsid w:val="00120D33"/>
    <w:rsid w:val="001254B4"/>
    <w:rsid w:val="001269B2"/>
    <w:rsid w:val="00133FD3"/>
    <w:rsid w:val="00137093"/>
    <w:rsid w:val="001408A0"/>
    <w:rsid w:val="00141040"/>
    <w:rsid w:val="00141CE5"/>
    <w:rsid w:val="00142B31"/>
    <w:rsid w:val="00154C57"/>
    <w:rsid w:val="001613B2"/>
    <w:rsid w:val="00162C1C"/>
    <w:rsid w:val="00162CF0"/>
    <w:rsid w:val="0016395D"/>
    <w:rsid w:val="0016799D"/>
    <w:rsid w:val="00170E8E"/>
    <w:rsid w:val="00176DD0"/>
    <w:rsid w:val="00181479"/>
    <w:rsid w:val="001852EE"/>
    <w:rsid w:val="0018691C"/>
    <w:rsid w:val="00190C24"/>
    <w:rsid w:val="00190E40"/>
    <w:rsid w:val="00191A09"/>
    <w:rsid w:val="00193FA6"/>
    <w:rsid w:val="001944E3"/>
    <w:rsid w:val="001A1AE2"/>
    <w:rsid w:val="001A7A4A"/>
    <w:rsid w:val="001B5478"/>
    <w:rsid w:val="001C3548"/>
    <w:rsid w:val="001C617E"/>
    <w:rsid w:val="001D0724"/>
    <w:rsid w:val="001D188F"/>
    <w:rsid w:val="001D4B7C"/>
    <w:rsid w:val="001E0149"/>
    <w:rsid w:val="001E0B4A"/>
    <w:rsid w:val="001F1E3C"/>
    <w:rsid w:val="001F26F1"/>
    <w:rsid w:val="001F4F95"/>
    <w:rsid w:val="001F6DA9"/>
    <w:rsid w:val="0020545F"/>
    <w:rsid w:val="00206D81"/>
    <w:rsid w:val="00214172"/>
    <w:rsid w:val="002152FB"/>
    <w:rsid w:val="00216D40"/>
    <w:rsid w:val="002173B1"/>
    <w:rsid w:val="00220009"/>
    <w:rsid w:val="00220C05"/>
    <w:rsid w:val="00221159"/>
    <w:rsid w:val="00221E79"/>
    <w:rsid w:val="0022573A"/>
    <w:rsid w:val="00232A64"/>
    <w:rsid w:val="0023345F"/>
    <w:rsid w:val="00243EE1"/>
    <w:rsid w:val="002467EE"/>
    <w:rsid w:val="00247862"/>
    <w:rsid w:val="00256858"/>
    <w:rsid w:val="00257AA9"/>
    <w:rsid w:val="00265473"/>
    <w:rsid w:val="00267ECD"/>
    <w:rsid w:val="00271AEA"/>
    <w:rsid w:val="00281F5A"/>
    <w:rsid w:val="00282381"/>
    <w:rsid w:val="00284C84"/>
    <w:rsid w:val="0029124D"/>
    <w:rsid w:val="00292C16"/>
    <w:rsid w:val="00296237"/>
    <w:rsid w:val="002965BF"/>
    <w:rsid w:val="002A01BD"/>
    <w:rsid w:val="002A7BD0"/>
    <w:rsid w:val="002B2A6C"/>
    <w:rsid w:val="002B6CCC"/>
    <w:rsid w:val="002C3297"/>
    <w:rsid w:val="002C687E"/>
    <w:rsid w:val="002C6BEB"/>
    <w:rsid w:val="002D1BA2"/>
    <w:rsid w:val="002D3A8C"/>
    <w:rsid w:val="002D45B1"/>
    <w:rsid w:val="002D651E"/>
    <w:rsid w:val="002E70FA"/>
    <w:rsid w:val="002F04D5"/>
    <w:rsid w:val="002F2656"/>
    <w:rsid w:val="002F29F5"/>
    <w:rsid w:val="002F4F1F"/>
    <w:rsid w:val="002F5D94"/>
    <w:rsid w:val="003001C7"/>
    <w:rsid w:val="00302272"/>
    <w:rsid w:val="003068AF"/>
    <w:rsid w:val="003069DA"/>
    <w:rsid w:val="00311763"/>
    <w:rsid w:val="00315792"/>
    <w:rsid w:val="00315D14"/>
    <w:rsid w:val="00316CC5"/>
    <w:rsid w:val="00317E60"/>
    <w:rsid w:val="0032182F"/>
    <w:rsid w:val="00324728"/>
    <w:rsid w:val="00326A16"/>
    <w:rsid w:val="003272E2"/>
    <w:rsid w:val="0033022B"/>
    <w:rsid w:val="00331836"/>
    <w:rsid w:val="00332A76"/>
    <w:rsid w:val="003376D6"/>
    <w:rsid w:val="0034071A"/>
    <w:rsid w:val="0034160B"/>
    <w:rsid w:val="00342327"/>
    <w:rsid w:val="00342D04"/>
    <w:rsid w:val="00343274"/>
    <w:rsid w:val="0034548A"/>
    <w:rsid w:val="00345B7B"/>
    <w:rsid w:val="00345EC8"/>
    <w:rsid w:val="0034708C"/>
    <w:rsid w:val="00347A28"/>
    <w:rsid w:val="00356208"/>
    <w:rsid w:val="0035723F"/>
    <w:rsid w:val="00357B19"/>
    <w:rsid w:val="00357E0D"/>
    <w:rsid w:val="00361C84"/>
    <w:rsid w:val="00364B48"/>
    <w:rsid w:val="003667C4"/>
    <w:rsid w:val="003736A2"/>
    <w:rsid w:val="0037569D"/>
    <w:rsid w:val="00377BEF"/>
    <w:rsid w:val="00380BC4"/>
    <w:rsid w:val="003814B3"/>
    <w:rsid w:val="00383C01"/>
    <w:rsid w:val="0038552C"/>
    <w:rsid w:val="00386502"/>
    <w:rsid w:val="00387EFC"/>
    <w:rsid w:val="00391625"/>
    <w:rsid w:val="0039182A"/>
    <w:rsid w:val="003A27C6"/>
    <w:rsid w:val="003A2AB8"/>
    <w:rsid w:val="003A2CBF"/>
    <w:rsid w:val="003B65C7"/>
    <w:rsid w:val="003C3211"/>
    <w:rsid w:val="003D4A99"/>
    <w:rsid w:val="003D4C6C"/>
    <w:rsid w:val="003E109D"/>
    <w:rsid w:val="003F1DAE"/>
    <w:rsid w:val="003F235D"/>
    <w:rsid w:val="003F3370"/>
    <w:rsid w:val="003F4263"/>
    <w:rsid w:val="003F45E4"/>
    <w:rsid w:val="003F4CFA"/>
    <w:rsid w:val="003F5B36"/>
    <w:rsid w:val="003F7E4D"/>
    <w:rsid w:val="00400E42"/>
    <w:rsid w:val="00402155"/>
    <w:rsid w:val="00402228"/>
    <w:rsid w:val="00406F83"/>
    <w:rsid w:val="00407310"/>
    <w:rsid w:val="0041324E"/>
    <w:rsid w:val="0041536A"/>
    <w:rsid w:val="00415852"/>
    <w:rsid w:val="00422625"/>
    <w:rsid w:val="004245AB"/>
    <w:rsid w:val="0042573B"/>
    <w:rsid w:val="004273E8"/>
    <w:rsid w:val="00435037"/>
    <w:rsid w:val="00437AFA"/>
    <w:rsid w:val="004404AB"/>
    <w:rsid w:val="0044057C"/>
    <w:rsid w:val="004423CA"/>
    <w:rsid w:val="00453A42"/>
    <w:rsid w:val="00454848"/>
    <w:rsid w:val="004554F9"/>
    <w:rsid w:val="00467E70"/>
    <w:rsid w:val="00473AAC"/>
    <w:rsid w:val="00477D7E"/>
    <w:rsid w:val="004838D0"/>
    <w:rsid w:val="00484B9A"/>
    <w:rsid w:val="004970BD"/>
    <w:rsid w:val="00497D8E"/>
    <w:rsid w:val="004A3779"/>
    <w:rsid w:val="004A3F7F"/>
    <w:rsid w:val="004A4BFD"/>
    <w:rsid w:val="004A72E2"/>
    <w:rsid w:val="004B0310"/>
    <w:rsid w:val="004B0868"/>
    <w:rsid w:val="004B2683"/>
    <w:rsid w:val="004B4CDF"/>
    <w:rsid w:val="004B5A25"/>
    <w:rsid w:val="004C6EDE"/>
    <w:rsid w:val="004C7156"/>
    <w:rsid w:val="004D3191"/>
    <w:rsid w:val="004D4166"/>
    <w:rsid w:val="004D4429"/>
    <w:rsid w:val="004E1282"/>
    <w:rsid w:val="004E12BA"/>
    <w:rsid w:val="004E301F"/>
    <w:rsid w:val="004E4765"/>
    <w:rsid w:val="004E53A8"/>
    <w:rsid w:val="004F0706"/>
    <w:rsid w:val="004F14B4"/>
    <w:rsid w:val="004F1701"/>
    <w:rsid w:val="004F1FCF"/>
    <w:rsid w:val="004F4B73"/>
    <w:rsid w:val="004F54DB"/>
    <w:rsid w:val="004F6738"/>
    <w:rsid w:val="00503E5C"/>
    <w:rsid w:val="005040F5"/>
    <w:rsid w:val="00507DD5"/>
    <w:rsid w:val="00512FB8"/>
    <w:rsid w:val="0052293F"/>
    <w:rsid w:val="0052467F"/>
    <w:rsid w:val="00524E1E"/>
    <w:rsid w:val="00525741"/>
    <w:rsid w:val="00527768"/>
    <w:rsid w:val="005314B8"/>
    <w:rsid w:val="00531D7A"/>
    <w:rsid w:val="00536372"/>
    <w:rsid w:val="005369A4"/>
    <w:rsid w:val="00536A79"/>
    <w:rsid w:val="00537655"/>
    <w:rsid w:val="00537C07"/>
    <w:rsid w:val="00543B1B"/>
    <w:rsid w:val="005453DF"/>
    <w:rsid w:val="00556CF3"/>
    <w:rsid w:val="00561DF3"/>
    <w:rsid w:val="00563BD5"/>
    <w:rsid w:val="005720BC"/>
    <w:rsid w:val="00577DF7"/>
    <w:rsid w:val="005816F7"/>
    <w:rsid w:val="00582279"/>
    <w:rsid w:val="005830DD"/>
    <w:rsid w:val="005855EC"/>
    <w:rsid w:val="0059107E"/>
    <w:rsid w:val="00593A52"/>
    <w:rsid w:val="0059542F"/>
    <w:rsid w:val="0059709A"/>
    <w:rsid w:val="005A05EB"/>
    <w:rsid w:val="005B0FE3"/>
    <w:rsid w:val="005B4692"/>
    <w:rsid w:val="005B55E1"/>
    <w:rsid w:val="005B7772"/>
    <w:rsid w:val="005B7DE5"/>
    <w:rsid w:val="005C1665"/>
    <w:rsid w:val="005C47D3"/>
    <w:rsid w:val="005C5DE8"/>
    <w:rsid w:val="005D1B85"/>
    <w:rsid w:val="005D2809"/>
    <w:rsid w:val="005D5AF1"/>
    <w:rsid w:val="005E0B43"/>
    <w:rsid w:val="005E13C2"/>
    <w:rsid w:val="005E57E8"/>
    <w:rsid w:val="005F00CC"/>
    <w:rsid w:val="005F4E9D"/>
    <w:rsid w:val="005F5C43"/>
    <w:rsid w:val="005F611A"/>
    <w:rsid w:val="00600D79"/>
    <w:rsid w:val="0060555B"/>
    <w:rsid w:val="006058A7"/>
    <w:rsid w:val="00605FB0"/>
    <w:rsid w:val="00607BFB"/>
    <w:rsid w:val="00607C0E"/>
    <w:rsid w:val="00610B99"/>
    <w:rsid w:val="00611C8C"/>
    <w:rsid w:val="00611F07"/>
    <w:rsid w:val="006149E5"/>
    <w:rsid w:val="0061613F"/>
    <w:rsid w:val="00620E93"/>
    <w:rsid w:val="00622DCC"/>
    <w:rsid w:val="0062776B"/>
    <w:rsid w:val="00632EAB"/>
    <w:rsid w:val="006334BC"/>
    <w:rsid w:val="006350A0"/>
    <w:rsid w:val="00635F2C"/>
    <w:rsid w:val="00640827"/>
    <w:rsid w:val="00645939"/>
    <w:rsid w:val="00645BD7"/>
    <w:rsid w:val="00645E27"/>
    <w:rsid w:val="0064604E"/>
    <w:rsid w:val="00647348"/>
    <w:rsid w:val="00653B85"/>
    <w:rsid w:val="00656382"/>
    <w:rsid w:val="00660645"/>
    <w:rsid w:val="00664355"/>
    <w:rsid w:val="00665E18"/>
    <w:rsid w:val="006676F0"/>
    <w:rsid w:val="0067064C"/>
    <w:rsid w:val="00671707"/>
    <w:rsid w:val="00672264"/>
    <w:rsid w:val="00672284"/>
    <w:rsid w:val="00677E8F"/>
    <w:rsid w:val="00684131"/>
    <w:rsid w:val="00686DF1"/>
    <w:rsid w:val="006871BB"/>
    <w:rsid w:val="00687F4D"/>
    <w:rsid w:val="006911D0"/>
    <w:rsid w:val="00695C8B"/>
    <w:rsid w:val="0069620F"/>
    <w:rsid w:val="0069664F"/>
    <w:rsid w:val="006A155E"/>
    <w:rsid w:val="006A34CF"/>
    <w:rsid w:val="006A4FF8"/>
    <w:rsid w:val="006A548E"/>
    <w:rsid w:val="006A59E8"/>
    <w:rsid w:val="006B22EE"/>
    <w:rsid w:val="006B2D6C"/>
    <w:rsid w:val="006B3ECC"/>
    <w:rsid w:val="006B5FB6"/>
    <w:rsid w:val="006B705D"/>
    <w:rsid w:val="006B716F"/>
    <w:rsid w:val="006B743F"/>
    <w:rsid w:val="006D3BED"/>
    <w:rsid w:val="006D7609"/>
    <w:rsid w:val="006E2071"/>
    <w:rsid w:val="006F2BFE"/>
    <w:rsid w:val="006F32EB"/>
    <w:rsid w:val="006F344E"/>
    <w:rsid w:val="006F3B6A"/>
    <w:rsid w:val="006F7EC8"/>
    <w:rsid w:val="0070097E"/>
    <w:rsid w:val="00701792"/>
    <w:rsid w:val="00703751"/>
    <w:rsid w:val="00705714"/>
    <w:rsid w:val="00713779"/>
    <w:rsid w:val="00715997"/>
    <w:rsid w:val="00715D47"/>
    <w:rsid w:val="00723BB2"/>
    <w:rsid w:val="0072487D"/>
    <w:rsid w:val="007257F8"/>
    <w:rsid w:val="00725994"/>
    <w:rsid w:val="00726DDD"/>
    <w:rsid w:val="007349F0"/>
    <w:rsid w:val="00737620"/>
    <w:rsid w:val="00740253"/>
    <w:rsid w:val="007419B1"/>
    <w:rsid w:val="00742718"/>
    <w:rsid w:val="007455F6"/>
    <w:rsid w:val="00746184"/>
    <w:rsid w:val="00750189"/>
    <w:rsid w:val="007535E5"/>
    <w:rsid w:val="00761449"/>
    <w:rsid w:val="00762806"/>
    <w:rsid w:val="007629B3"/>
    <w:rsid w:val="00766950"/>
    <w:rsid w:val="007724AD"/>
    <w:rsid w:val="00774A5C"/>
    <w:rsid w:val="00775528"/>
    <w:rsid w:val="0077712C"/>
    <w:rsid w:val="00782997"/>
    <w:rsid w:val="00786A54"/>
    <w:rsid w:val="00791210"/>
    <w:rsid w:val="007916F8"/>
    <w:rsid w:val="007A00D4"/>
    <w:rsid w:val="007A0FA1"/>
    <w:rsid w:val="007A2023"/>
    <w:rsid w:val="007A7F84"/>
    <w:rsid w:val="007B22E2"/>
    <w:rsid w:val="007B4421"/>
    <w:rsid w:val="007B4F82"/>
    <w:rsid w:val="007B5202"/>
    <w:rsid w:val="007C2C77"/>
    <w:rsid w:val="007C6252"/>
    <w:rsid w:val="007D126C"/>
    <w:rsid w:val="007D1BD0"/>
    <w:rsid w:val="007D2D8F"/>
    <w:rsid w:val="007D5DD3"/>
    <w:rsid w:val="007D77DE"/>
    <w:rsid w:val="007E17B5"/>
    <w:rsid w:val="007E3137"/>
    <w:rsid w:val="007F03AE"/>
    <w:rsid w:val="007F3D9A"/>
    <w:rsid w:val="007F418A"/>
    <w:rsid w:val="007F454B"/>
    <w:rsid w:val="007F47F7"/>
    <w:rsid w:val="007F48C7"/>
    <w:rsid w:val="007F6471"/>
    <w:rsid w:val="00801AA3"/>
    <w:rsid w:val="00803E01"/>
    <w:rsid w:val="00811064"/>
    <w:rsid w:val="00814477"/>
    <w:rsid w:val="0081484B"/>
    <w:rsid w:val="008166A2"/>
    <w:rsid w:val="008175E6"/>
    <w:rsid w:val="00817A95"/>
    <w:rsid w:val="00826C94"/>
    <w:rsid w:val="00830D9B"/>
    <w:rsid w:val="008319E7"/>
    <w:rsid w:val="00832719"/>
    <w:rsid w:val="00834D64"/>
    <w:rsid w:val="00840860"/>
    <w:rsid w:val="0084154A"/>
    <w:rsid w:val="00847F38"/>
    <w:rsid w:val="008508A1"/>
    <w:rsid w:val="00850E4B"/>
    <w:rsid w:val="00851F49"/>
    <w:rsid w:val="0085607A"/>
    <w:rsid w:val="00857288"/>
    <w:rsid w:val="0085744F"/>
    <w:rsid w:val="00867FBA"/>
    <w:rsid w:val="00871ED5"/>
    <w:rsid w:val="00872AAC"/>
    <w:rsid w:val="00874D46"/>
    <w:rsid w:val="00876F12"/>
    <w:rsid w:val="0088026E"/>
    <w:rsid w:val="0088199A"/>
    <w:rsid w:val="00881B2F"/>
    <w:rsid w:val="008863E0"/>
    <w:rsid w:val="00890B1B"/>
    <w:rsid w:val="00890FEB"/>
    <w:rsid w:val="00891CDD"/>
    <w:rsid w:val="008966F6"/>
    <w:rsid w:val="008A1227"/>
    <w:rsid w:val="008A3546"/>
    <w:rsid w:val="008A43CC"/>
    <w:rsid w:val="008A47CF"/>
    <w:rsid w:val="008A5630"/>
    <w:rsid w:val="008A68C9"/>
    <w:rsid w:val="008A6C2D"/>
    <w:rsid w:val="008B0C20"/>
    <w:rsid w:val="008B0C9E"/>
    <w:rsid w:val="008C6739"/>
    <w:rsid w:val="008C776E"/>
    <w:rsid w:val="008D1400"/>
    <w:rsid w:val="008D6FB0"/>
    <w:rsid w:val="008D7784"/>
    <w:rsid w:val="008E0278"/>
    <w:rsid w:val="008E09EC"/>
    <w:rsid w:val="008E1414"/>
    <w:rsid w:val="008E505C"/>
    <w:rsid w:val="008E5250"/>
    <w:rsid w:val="008E552D"/>
    <w:rsid w:val="008E5AAA"/>
    <w:rsid w:val="008F03CC"/>
    <w:rsid w:val="008F2122"/>
    <w:rsid w:val="008F4F22"/>
    <w:rsid w:val="008F5142"/>
    <w:rsid w:val="0090068B"/>
    <w:rsid w:val="009049C4"/>
    <w:rsid w:val="00906457"/>
    <w:rsid w:val="00912169"/>
    <w:rsid w:val="00912E7B"/>
    <w:rsid w:val="00915EBA"/>
    <w:rsid w:val="00916713"/>
    <w:rsid w:val="009217D9"/>
    <w:rsid w:val="00923B6D"/>
    <w:rsid w:val="00926868"/>
    <w:rsid w:val="00931215"/>
    <w:rsid w:val="00932AC1"/>
    <w:rsid w:val="00935BDE"/>
    <w:rsid w:val="00937791"/>
    <w:rsid w:val="00942608"/>
    <w:rsid w:val="00942A26"/>
    <w:rsid w:val="0094463B"/>
    <w:rsid w:val="00947F67"/>
    <w:rsid w:val="00951876"/>
    <w:rsid w:val="0095327C"/>
    <w:rsid w:val="009544F4"/>
    <w:rsid w:val="0096002B"/>
    <w:rsid w:val="0097035B"/>
    <w:rsid w:val="0097378B"/>
    <w:rsid w:val="00976A92"/>
    <w:rsid w:val="00976BD1"/>
    <w:rsid w:val="00982581"/>
    <w:rsid w:val="00984F88"/>
    <w:rsid w:val="009867D0"/>
    <w:rsid w:val="009909DB"/>
    <w:rsid w:val="00991340"/>
    <w:rsid w:val="00991414"/>
    <w:rsid w:val="00992272"/>
    <w:rsid w:val="0099713A"/>
    <w:rsid w:val="00997D84"/>
    <w:rsid w:val="009A6868"/>
    <w:rsid w:val="009A69CB"/>
    <w:rsid w:val="009B042B"/>
    <w:rsid w:val="009C018D"/>
    <w:rsid w:val="009C0742"/>
    <w:rsid w:val="009C13C8"/>
    <w:rsid w:val="009C1B2F"/>
    <w:rsid w:val="009C264D"/>
    <w:rsid w:val="009C485B"/>
    <w:rsid w:val="009C4C6F"/>
    <w:rsid w:val="009D177F"/>
    <w:rsid w:val="009D1E8F"/>
    <w:rsid w:val="009D41CA"/>
    <w:rsid w:val="009D433E"/>
    <w:rsid w:val="009D448C"/>
    <w:rsid w:val="009D601B"/>
    <w:rsid w:val="009D79FB"/>
    <w:rsid w:val="009E3504"/>
    <w:rsid w:val="009E366F"/>
    <w:rsid w:val="009E3B05"/>
    <w:rsid w:val="009E410E"/>
    <w:rsid w:val="009E54F1"/>
    <w:rsid w:val="009E6722"/>
    <w:rsid w:val="009E6794"/>
    <w:rsid w:val="009F3B89"/>
    <w:rsid w:val="009F5B65"/>
    <w:rsid w:val="009F7E51"/>
    <w:rsid w:val="00A01AC3"/>
    <w:rsid w:val="00A03659"/>
    <w:rsid w:val="00A0485C"/>
    <w:rsid w:val="00A0613E"/>
    <w:rsid w:val="00A0636D"/>
    <w:rsid w:val="00A109D7"/>
    <w:rsid w:val="00A112F5"/>
    <w:rsid w:val="00A20020"/>
    <w:rsid w:val="00A21CAE"/>
    <w:rsid w:val="00A21E39"/>
    <w:rsid w:val="00A235FC"/>
    <w:rsid w:val="00A333DA"/>
    <w:rsid w:val="00A3561A"/>
    <w:rsid w:val="00A43915"/>
    <w:rsid w:val="00A477BF"/>
    <w:rsid w:val="00A50AD0"/>
    <w:rsid w:val="00A524B9"/>
    <w:rsid w:val="00A527A5"/>
    <w:rsid w:val="00A54BDD"/>
    <w:rsid w:val="00A570D9"/>
    <w:rsid w:val="00A610ED"/>
    <w:rsid w:val="00A70EFF"/>
    <w:rsid w:val="00A71527"/>
    <w:rsid w:val="00A74F86"/>
    <w:rsid w:val="00A75D46"/>
    <w:rsid w:val="00A772C6"/>
    <w:rsid w:val="00A81D95"/>
    <w:rsid w:val="00A8473D"/>
    <w:rsid w:val="00A85509"/>
    <w:rsid w:val="00A85FE5"/>
    <w:rsid w:val="00A90543"/>
    <w:rsid w:val="00A91A24"/>
    <w:rsid w:val="00A9464B"/>
    <w:rsid w:val="00AA0EC4"/>
    <w:rsid w:val="00AA2FC2"/>
    <w:rsid w:val="00AA7667"/>
    <w:rsid w:val="00AB0951"/>
    <w:rsid w:val="00AC0E38"/>
    <w:rsid w:val="00AC5073"/>
    <w:rsid w:val="00AD2814"/>
    <w:rsid w:val="00AD6E9B"/>
    <w:rsid w:val="00AD6FEF"/>
    <w:rsid w:val="00AD70CC"/>
    <w:rsid w:val="00AE4C26"/>
    <w:rsid w:val="00AF0003"/>
    <w:rsid w:val="00AF2987"/>
    <w:rsid w:val="00AF2C93"/>
    <w:rsid w:val="00AF7D33"/>
    <w:rsid w:val="00B037D7"/>
    <w:rsid w:val="00B1487C"/>
    <w:rsid w:val="00B14ED7"/>
    <w:rsid w:val="00B15F4F"/>
    <w:rsid w:val="00B20955"/>
    <w:rsid w:val="00B25583"/>
    <w:rsid w:val="00B275A2"/>
    <w:rsid w:val="00B3357C"/>
    <w:rsid w:val="00B33DE3"/>
    <w:rsid w:val="00B3671A"/>
    <w:rsid w:val="00B40A13"/>
    <w:rsid w:val="00B4130E"/>
    <w:rsid w:val="00B46918"/>
    <w:rsid w:val="00B52801"/>
    <w:rsid w:val="00B53CA3"/>
    <w:rsid w:val="00B551BE"/>
    <w:rsid w:val="00B567A5"/>
    <w:rsid w:val="00B568B7"/>
    <w:rsid w:val="00B66337"/>
    <w:rsid w:val="00B66F88"/>
    <w:rsid w:val="00B72418"/>
    <w:rsid w:val="00B772D8"/>
    <w:rsid w:val="00B80839"/>
    <w:rsid w:val="00B85545"/>
    <w:rsid w:val="00B85877"/>
    <w:rsid w:val="00B90F1C"/>
    <w:rsid w:val="00B94E98"/>
    <w:rsid w:val="00B956E8"/>
    <w:rsid w:val="00B97414"/>
    <w:rsid w:val="00BB4A1C"/>
    <w:rsid w:val="00BC20C7"/>
    <w:rsid w:val="00BC216F"/>
    <w:rsid w:val="00BC26F3"/>
    <w:rsid w:val="00BC3304"/>
    <w:rsid w:val="00BC3420"/>
    <w:rsid w:val="00BE1B5B"/>
    <w:rsid w:val="00BE5FDD"/>
    <w:rsid w:val="00BE7C2B"/>
    <w:rsid w:val="00BF12B2"/>
    <w:rsid w:val="00BF306D"/>
    <w:rsid w:val="00BF4F33"/>
    <w:rsid w:val="00C0291E"/>
    <w:rsid w:val="00C0451D"/>
    <w:rsid w:val="00C048DC"/>
    <w:rsid w:val="00C069C3"/>
    <w:rsid w:val="00C07375"/>
    <w:rsid w:val="00C111F7"/>
    <w:rsid w:val="00C12E1B"/>
    <w:rsid w:val="00C13C32"/>
    <w:rsid w:val="00C17073"/>
    <w:rsid w:val="00C20FA4"/>
    <w:rsid w:val="00C26D22"/>
    <w:rsid w:val="00C2737A"/>
    <w:rsid w:val="00C32C7A"/>
    <w:rsid w:val="00C3396E"/>
    <w:rsid w:val="00C36D08"/>
    <w:rsid w:val="00C428B3"/>
    <w:rsid w:val="00C515DB"/>
    <w:rsid w:val="00C51CFE"/>
    <w:rsid w:val="00C6393F"/>
    <w:rsid w:val="00C63B78"/>
    <w:rsid w:val="00C65398"/>
    <w:rsid w:val="00C67E71"/>
    <w:rsid w:val="00C712B7"/>
    <w:rsid w:val="00C719BC"/>
    <w:rsid w:val="00C7349E"/>
    <w:rsid w:val="00C736BB"/>
    <w:rsid w:val="00C73A58"/>
    <w:rsid w:val="00C81A78"/>
    <w:rsid w:val="00C81C0A"/>
    <w:rsid w:val="00C825A0"/>
    <w:rsid w:val="00C859D8"/>
    <w:rsid w:val="00C93D7D"/>
    <w:rsid w:val="00CA1935"/>
    <w:rsid w:val="00CA4E90"/>
    <w:rsid w:val="00CA65A7"/>
    <w:rsid w:val="00CA7A0C"/>
    <w:rsid w:val="00CC084B"/>
    <w:rsid w:val="00CC1DFA"/>
    <w:rsid w:val="00CC483B"/>
    <w:rsid w:val="00CC58F0"/>
    <w:rsid w:val="00CC70B0"/>
    <w:rsid w:val="00CD3C49"/>
    <w:rsid w:val="00CD5BE4"/>
    <w:rsid w:val="00CD76BC"/>
    <w:rsid w:val="00CE1DEB"/>
    <w:rsid w:val="00CE3809"/>
    <w:rsid w:val="00CE58E4"/>
    <w:rsid w:val="00CE7F3F"/>
    <w:rsid w:val="00CF2039"/>
    <w:rsid w:val="00CF5F66"/>
    <w:rsid w:val="00D003D8"/>
    <w:rsid w:val="00D0105D"/>
    <w:rsid w:val="00D01D10"/>
    <w:rsid w:val="00D03A18"/>
    <w:rsid w:val="00D03E5E"/>
    <w:rsid w:val="00D04EA5"/>
    <w:rsid w:val="00D07B8B"/>
    <w:rsid w:val="00D108E2"/>
    <w:rsid w:val="00D11C2C"/>
    <w:rsid w:val="00D11E61"/>
    <w:rsid w:val="00D145F4"/>
    <w:rsid w:val="00D226B3"/>
    <w:rsid w:val="00D233EB"/>
    <w:rsid w:val="00D242C3"/>
    <w:rsid w:val="00D24DD9"/>
    <w:rsid w:val="00D253DA"/>
    <w:rsid w:val="00D26342"/>
    <w:rsid w:val="00D274A3"/>
    <w:rsid w:val="00D27B96"/>
    <w:rsid w:val="00D30501"/>
    <w:rsid w:val="00D30DDB"/>
    <w:rsid w:val="00D31D90"/>
    <w:rsid w:val="00D326D0"/>
    <w:rsid w:val="00D36595"/>
    <w:rsid w:val="00D406CB"/>
    <w:rsid w:val="00D425EB"/>
    <w:rsid w:val="00D43330"/>
    <w:rsid w:val="00D45959"/>
    <w:rsid w:val="00D52B89"/>
    <w:rsid w:val="00D534DA"/>
    <w:rsid w:val="00D5354D"/>
    <w:rsid w:val="00D56BF3"/>
    <w:rsid w:val="00D603AB"/>
    <w:rsid w:val="00D60659"/>
    <w:rsid w:val="00D62798"/>
    <w:rsid w:val="00D63CAB"/>
    <w:rsid w:val="00D65748"/>
    <w:rsid w:val="00D72A19"/>
    <w:rsid w:val="00D74A23"/>
    <w:rsid w:val="00D803BF"/>
    <w:rsid w:val="00D91340"/>
    <w:rsid w:val="00D9201D"/>
    <w:rsid w:val="00D92E6B"/>
    <w:rsid w:val="00D93F0E"/>
    <w:rsid w:val="00D94347"/>
    <w:rsid w:val="00D972CF"/>
    <w:rsid w:val="00DA3DDE"/>
    <w:rsid w:val="00DA60F4"/>
    <w:rsid w:val="00DA6387"/>
    <w:rsid w:val="00DA6A93"/>
    <w:rsid w:val="00DA6F68"/>
    <w:rsid w:val="00DB1285"/>
    <w:rsid w:val="00DB2E45"/>
    <w:rsid w:val="00DB5AF9"/>
    <w:rsid w:val="00DC22E4"/>
    <w:rsid w:val="00DC4D66"/>
    <w:rsid w:val="00DD4C39"/>
    <w:rsid w:val="00DD4E28"/>
    <w:rsid w:val="00DD5F70"/>
    <w:rsid w:val="00DD72A8"/>
    <w:rsid w:val="00DE00F6"/>
    <w:rsid w:val="00DE0B70"/>
    <w:rsid w:val="00DE35D7"/>
    <w:rsid w:val="00DE556C"/>
    <w:rsid w:val="00DF2D26"/>
    <w:rsid w:val="00DF4472"/>
    <w:rsid w:val="00E00560"/>
    <w:rsid w:val="00E027A5"/>
    <w:rsid w:val="00E02F28"/>
    <w:rsid w:val="00E04351"/>
    <w:rsid w:val="00E04AF3"/>
    <w:rsid w:val="00E060AD"/>
    <w:rsid w:val="00E10685"/>
    <w:rsid w:val="00E129B6"/>
    <w:rsid w:val="00E12CC5"/>
    <w:rsid w:val="00E13823"/>
    <w:rsid w:val="00E14C6F"/>
    <w:rsid w:val="00E17633"/>
    <w:rsid w:val="00E2077A"/>
    <w:rsid w:val="00E21A33"/>
    <w:rsid w:val="00E25121"/>
    <w:rsid w:val="00E26790"/>
    <w:rsid w:val="00E26C1D"/>
    <w:rsid w:val="00E27AFE"/>
    <w:rsid w:val="00E30AC2"/>
    <w:rsid w:val="00E32DB5"/>
    <w:rsid w:val="00E331FA"/>
    <w:rsid w:val="00E35D5E"/>
    <w:rsid w:val="00E421B6"/>
    <w:rsid w:val="00E440D9"/>
    <w:rsid w:val="00E501C0"/>
    <w:rsid w:val="00E505C0"/>
    <w:rsid w:val="00E538FD"/>
    <w:rsid w:val="00E5710D"/>
    <w:rsid w:val="00E61642"/>
    <w:rsid w:val="00E672C0"/>
    <w:rsid w:val="00E6746C"/>
    <w:rsid w:val="00E6759C"/>
    <w:rsid w:val="00E70678"/>
    <w:rsid w:val="00E7169D"/>
    <w:rsid w:val="00E736D6"/>
    <w:rsid w:val="00E75417"/>
    <w:rsid w:val="00E772D5"/>
    <w:rsid w:val="00E81416"/>
    <w:rsid w:val="00E8459D"/>
    <w:rsid w:val="00E875DB"/>
    <w:rsid w:val="00E91A7C"/>
    <w:rsid w:val="00E95B93"/>
    <w:rsid w:val="00E95DD2"/>
    <w:rsid w:val="00E96C58"/>
    <w:rsid w:val="00EA6388"/>
    <w:rsid w:val="00EA7F3B"/>
    <w:rsid w:val="00EB365E"/>
    <w:rsid w:val="00EB75BA"/>
    <w:rsid w:val="00EB7858"/>
    <w:rsid w:val="00EC02E4"/>
    <w:rsid w:val="00EC4852"/>
    <w:rsid w:val="00ED08C0"/>
    <w:rsid w:val="00ED17A8"/>
    <w:rsid w:val="00ED2F84"/>
    <w:rsid w:val="00ED6DE0"/>
    <w:rsid w:val="00EE0C74"/>
    <w:rsid w:val="00EE260B"/>
    <w:rsid w:val="00EE458F"/>
    <w:rsid w:val="00EE4AAC"/>
    <w:rsid w:val="00EE5B64"/>
    <w:rsid w:val="00EE77FE"/>
    <w:rsid w:val="00EE7BD7"/>
    <w:rsid w:val="00EF2388"/>
    <w:rsid w:val="00F04D1A"/>
    <w:rsid w:val="00F076B7"/>
    <w:rsid w:val="00F07DEE"/>
    <w:rsid w:val="00F109BD"/>
    <w:rsid w:val="00F118C7"/>
    <w:rsid w:val="00F1334A"/>
    <w:rsid w:val="00F17CBA"/>
    <w:rsid w:val="00F250D9"/>
    <w:rsid w:val="00F32F73"/>
    <w:rsid w:val="00F4189A"/>
    <w:rsid w:val="00F42E36"/>
    <w:rsid w:val="00F43583"/>
    <w:rsid w:val="00F4370C"/>
    <w:rsid w:val="00F56DEA"/>
    <w:rsid w:val="00F57B77"/>
    <w:rsid w:val="00F64979"/>
    <w:rsid w:val="00F6576C"/>
    <w:rsid w:val="00F65E69"/>
    <w:rsid w:val="00F661C6"/>
    <w:rsid w:val="00F7232F"/>
    <w:rsid w:val="00F73984"/>
    <w:rsid w:val="00F75C5D"/>
    <w:rsid w:val="00F806CE"/>
    <w:rsid w:val="00F80CBD"/>
    <w:rsid w:val="00F828BE"/>
    <w:rsid w:val="00F85F5A"/>
    <w:rsid w:val="00F94DA0"/>
    <w:rsid w:val="00F95066"/>
    <w:rsid w:val="00F9798E"/>
    <w:rsid w:val="00FA0069"/>
    <w:rsid w:val="00FA5564"/>
    <w:rsid w:val="00FB23B2"/>
    <w:rsid w:val="00FB2752"/>
    <w:rsid w:val="00FB45C3"/>
    <w:rsid w:val="00FB54D8"/>
    <w:rsid w:val="00FB67D6"/>
    <w:rsid w:val="00FC4C91"/>
    <w:rsid w:val="00FC63B9"/>
    <w:rsid w:val="00FC798D"/>
    <w:rsid w:val="00FD585A"/>
    <w:rsid w:val="00FD75A3"/>
    <w:rsid w:val="00FD7705"/>
    <w:rsid w:val="00FE1470"/>
    <w:rsid w:val="00FE16E2"/>
    <w:rsid w:val="00FE23DC"/>
    <w:rsid w:val="00FE24AB"/>
    <w:rsid w:val="00FE666B"/>
    <w:rsid w:val="00FF0043"/>
    <w:rsid w:val="00FF2E89"/>
    <w:rsid w:val="00FF4B8C"/>
    <w:rsid w:val="00FF712B"/>
    <w:rsid w:val="05FA6691"/>
    <w:rsid w:val="06A32925"/>
    <w:rsid w:val="07C80EFB"/>
    <w:rsid w:val="0E96765D"/>
    <w:rsid w:val="126D155A"/>
    <w:rsid w:val="144A6DBA"/>
    <w:rsid w:val="166F31BA"/>
    <w:rsid w:val="177E7D17"/>
    <w:rsid w:val="1E171E3D"/>
    <w:rsid w:val="1F6410B2"/>
    <w:rsid w:val="1FB16C5D"/>
    <w:rsid w:val="1FD20711"/>
    <w:rsid w:val="20F756A2"/>
    <w:rsid w:val="21B67931"/>
    <w:rsid w:val="2426102C"/>
    <w:rsid w:val="24D45F61"/>
    <w:rsid w:val="28C30787"/>
    <w:rsid w:val="29514455"/>
    <w:rsid w:val="29A65894"/>
    <w:rsid w:val="2B2F2CE2"/>
    <w:rsid w:val="2F1A2C4C"/>
    <w:rsid w:val="2F8E1614"/>
    <w:rsid w:val="2FC03B8D"/>
    <w:rsid w:val="2FC111A2"/>
    <w:rsid w:val="2FF344B8"/>
    <w:rsid w:val="313666F5"/>
    <w:rsid w:val="33BC7989"/>
    <w:rsid w:val="38C74734"/>
    <w:rsid w:val="3CE41577"/>
    <w:rsid w:val="3E612F34"/>
    <w:rsid w:val="40234013"/>
    <w:rsid w:val="41DD42A4"/>
    <w:rsid w:val="444A488A"/>
    <w:rsid w:val="458F0387"/>
    <w:rsid w:val="46033EED"/>
    <w:rsid w:val="47C54534"/>
    <w:rsid w:val="48F33BAE"/>
    <w:rsid w:val="48F561A8"/>
    <w:rsid w:val="4A654669"/>
    <w:rsid w:val="4CC0469C"/>
    <w:rsid w:val="4D07727A"/>
    <w:rsid w:val="4D0E4287"/>
    <w:rsid w:val="4D640C56"/>
    <w:rsid w:val="4F237D56"/>
    <w:rsid w:val="54436DC8"/>
    <w:rsid w:val="54660D84"/>
    <w:rsid w:val="572735F6"/>
    <w:rsid w:val="5A1D3D5C"/>
    <w:rsid w:val="5A6E1622"/>
    <w:rsid w:val="5B793647"/>
    <w:rsid w:val="5CA97B29"/>
    <w:rsid w:val="5E116BCE"/>
    <w:rsid w:val="5FF66080"/>
    <w:rsid w:val="622B7232"/>
    <w:rsid w:val="6864512B"/>
    <w:rsid w:val="694639CB"/>
    <w:rsid w:val="69B5782E"/>
    <w:rsid w:val="6AFC0331"/>
    <w:rsid w:val="6CFB294F"/>
    <w:rsid w:val="6EDA692F"/>
    <w:rsid w:val="6F3B4F58"/>
    <w:rsid w:val="6FD74555"/>
    <w:rsid w:val="70820965"/>
    <w:rsid w:val="71FC5894"/>
    <w:rsid w:val="754F4441"/>
    <w:rsid w:val="76AC1A77"/>
    <w:rsid w:val="77336CCF"/>
    <w:rsid w:val="778E5E41"/>
    <w:rsid w:val="77CD754F"/>
    <w:rsid w:val="7819395D"/>
    <w:rsid w:val="78643B16"/>
    <w:rsid w:val="7C490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3"/>
    <w:basedOn w:val="1"/>
    <w:next w:val="1"/>
    <w:link w:val="24"/>
    <w:autoRedefine/>
    <w:unhideWhenUsed/>
    <w:qFormat/>
    <w:uiPriority w:val="0"/>
    <w:pPr>
      <w:keepNext/>
      <w:keepLines/>
      <w:adjustRightInd w:val="0"/>
      <w:outlineLvl w:val="2"/>
    </w:pPr>
    <w:rPr>
      <w:rFonts w:eastAsia="楷体_GB2312"/>
      <w:b/>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spacing w:line="360" w:lineRule="auto"/>
      <w:ind w:firstLine="420" w:firstLineChars="200"/>
    </w:pPr>
    <w:rPr>
      <w:rFonts w:eastAsia="黑体" w:asciiTheme="minorHAnsi" w:hAnsiTheme="minorHAnsi" w:cstheme="minorBidi"/>
      <w:sz w:val="24"/>
    </w:rPr>
  </w:style>
  <w:style w:type="paragraph" w:styleId="4">
    <w:name w:val="annotation text"/>
    <w:basedOn w:val="1"/>
    <w:link w:val="25"/>
    <w:autoRedefine/>
    <w:semiHidden/>
    <w:unhideWhenUsed/>
    <w:qFormat/>
    <w:uiPriority w:val="99"/>
    <w:pPr>
      <w:jc w:val="left"/>
    </w:pPr>
  </w:style>
  <w:style w:type="paragraph" w:styleId="5">
    <w:name w:val="Body Text"/>
    <w:basedOn w:val="1"/>
    <w:next w:val="6"/>
    <w:link w:val="23"/>
    <w:autoRedefine/>
    <w:unhideWhenUsed/>
    <w:qFormat/>
    <w:uiPriority w:val="99"/>
    <w:pPr>
      <w:spacing w:after="120"/>
    </w:pPr>
    <w:rPr>
      <w:rFonts w:asciiTheme="minorHAnsi" w:hAnsiTheme="minorHAnsi" w:eastAsiaTheme="minorEastAsia" w:cstheme="minorBidi"/>
    </w:rPr>
  </w:style>
  <w:style w:type="paragraph" w:styleId="6">
    <w:name w:val="Body Text First Indent"/>
    <w:basedOn w:val="5"/>
    <w:next w:val="7"/>
    <w:autoRedefine/>
    <w:qFormat/>
    <w:uiPriority w:val="0"/>
    <w:pPr>
      <w:ind w:firstLine="420" w:firstLineChars="100"/>
    </w:pPr>
  </w:style>
  <w:style w:type="paragraph" w:styleId="7">
    <w:name w:val="Body Text Indent 2"/>
    <w:basedOn w:val="1"/>
    <w:next w:val="8"/>
    <w:autoRedefine/>
    <w:qFormat/>
    <w:uiPriority w:val="0"/>
    <w:pPr>
      <w:spacing w:after="120" w:line="480" w:lineRule="auto"/>
      <w:ind w:left="420" w:leftChars="200"/>
    </w:pPr>
    <w:rPr>
      <w:rFonts w:ascii="Calibri" w:hAnsi="Calibri"/>
      <w:szCs w:val="24"/>
    </w:rPr>
  </w:style>
  <w:style w:type="paragraph" w:customStyle="1" w:styleId="8">
    <w:name w:val="z正文"/>
    <w:basedOn w:val="9"/>
    <w:autoRedefine/>
    <w:qFormat/>
    <w:uiPriority w:val="0"/>
    <w:pPr>
      <w:tabs>
        <w:tab w:val="left" w:pos="525"/>
      </w:tabs>
      <w:snapToGrid w:val="0"/>
      <w:spacing w:line="360" w:lineRule="auto"/>
    </w:pPr>
    <w:rPr>
      <w:rFonts w:hAnsi="宋体"/>
      <w:sz w:val="24"/>
    </w:rPr>
  </w:style>
  <w:style w:type="paragraph" w:styleId="9">
    <w:name w:val="Plain Text"/>
    <w:basedOn w:val="1"/>
    <w:link w:val="21"/>
    <w:autoRedefine/>
    <w:unhideWhenUsed/>
    <w:qFormat/>
    <w:uiPriority w:val="99"/>
    <w:rPr>
      <w:rFonts w:hAnsi="Courier New" w:cs="Courier New" w:asciiTheme="minorEastAsia" w:eastAsiaTheme="minorEastAsia"/>
    </w:rPr>
  </w:style>
  <w:style w:type="paragraph" w:styleId="10">
    <w:name w:val="Date"/>
    <w:basedOn w:val="1"/>
    <w:next w:val="1"/>
    <w:link w:val="22"/>
    <w:autoRedefine/>
    <w:unhideWhenUsed/>
    <w:qFormat/>
    <w:uiPriority w:val="99"/>
    <w:pPr>
      <w:ind w:left="100" w:leftChars="2500"/>
    </w:pPr>
  </w:style>
  <w:style w:type="paragraph" w:styleId="11">
    <w:name w:val="footer"/>
    <w:basedOn w:val="1"/>
    <w:link w:val="20"/>
    <w:autoRedefine/>
    <w:unhideWhenUsed/>
    <w:qFormat/>
    <w:uiPriority w:val="99"/>
    <w:pPr>
      <w:tabs>
        <w:tab w:val="center" w:pos="4153"/>
        <w:tab w:val="right" w:pos="8306"/>
      </w:tabs>
      <w:snapToGrid w:val="0"/>
      <w:jc w:val="left"/>
    </w:pPr>
    <w:rPr>
      <w:sz w:val="18"/>
      <w:szCs w:val="18"/>
    </w:rPr>
  </w:style>
  <w:style w:type="paragraph" w:styleId="12">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spacing w:before="100" w:beforeAutospacing="1" w:after="100" w:afterAutospacing="1"/>
      <w:jc w:val="left"/>
    </w:pPr>
    <w:rPr>
      <w:kern w:val="0"/>
      <w:sz w:val="24"/>
      <w:szCs w:val="24"/>
    </w:rPr>
  </w:style>
  <w:style w:type="paragraph" w:styleId="14">
    <w:name w:val="annotation subject"/>
    <w:basedOn w:val="4"/>
    <w:next w:val="4"/>
    <w:link w:val="26"/>
    <w:autoRedefine/>
    <w:semiHidden/>
    <w:unhideWhenUsed/>
    <w:qFormat/>
    <w:uiPriority w:val="99"/>
    <w:rPr>
      <w:b/>
      <w:bCs/>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autoRedefine/>
    <w:semiHidden/>
    <w:unhideWhenUsed/>
    <w:qFormat/>
    <w:uiPriority w:val="99"/>
    <w:rPr>
      <w:sz w:val="21"/>
      <w:szCs w:val="21"/>
    </w:rPr>
  </w:style>
  <w:style w:type="character" w:customStyle="1" w:styleId="19">
    <w:name w:val="页眉 字符"/>
    <w:basedOn w:val="17"/>
    <w:link w:val="12"/>
    <w:autoRedefine/>
    <w:qFormat/>
    <w:uiPriority w:val="99"/>
    <w:rPr>
      <w:sz w:val="18"/>
      <w:szCs w:val="18"/>
    </w:rPr>
  </w:style>
  <w:style w:type="character" w:customStyle="1" w:styleId="20">
    <w:name w:val="页脚 字符"/>
    <w:basedOn w:val="17"/>
    <w:link w:val="11"/>
    <w:autoRedefine/>
    <w:qFormat/>
    <w:uiPriority w:val="99"/>
    <w:rPr>
      <w:sz w:val="18"/>
      <w:szCs w:val="18"/>
    </w:rPr>
  </w:style>
  <w:style w:type="character" w:customStyle="1" w:styleId="21">
    <w:name w:val="纯文本 字符"/>
    <w:basedOn w:val="17"/>
    <w:link w:val="9"/>
    <w:autoRedefine/>
    <w:qFormat/>
    <w:uiPriority w:val="99"/>
    <w:rPr>
      <w:rFonts w:hAnsi="Courier New" w:cs="Courier New" w:asciiTheme="minorEastAsia"/>
    </w:rPr>
  </w:style>
  <w:style w:type="character" w:customStyle="1" w:styleId="22">
    <w:name w:val="日期 字符"/>
    <w:basedOn w:val="17"/>
    <w:link w:val="10"/>
    <w:autoRedefine/>
    <w:qFormat/>
    <w:uiPriority w:val="99"/>
    <w:rPr>
      <w:rFonts w:ascii="Times New Roman" w:hAnsi="Times New Roman" w:eastAsia="宋体" w:cs="Times New Roman"/>
    </w:rPr>
  </w:style>
  <w:style w:type="character" w:customStyle="1" w:styleId="23">
    <w:name w:val="正文文本 字符"/>
    <w:basedOn w:val="17"/>
    <w:link w:val="5"/>
    <w:autoRedefine/>
    <w:semiHidden/>
    <w:qFormat/>
    <w:uiPriority w:val="99"/>
    <w:rPr>
      <w:kern w:val="2"/>
      <w:sz w:val="21"/>
      <w:szCs w:val="22"/>
    </w:rPr>
  </w:style>
  <w:style w:type="character" w:customStyle="1" w:styleId="24">
    <w:name w:val="标题 3 字符"/>
    <w:link w:val="3"/>
    <w:autoRedefine/>
    <w:qFormat/>
    <w:uiPriority w:val="0"/>
    <w:rPr>
      <w:rFonts w:eastAsia="楷体_GB2312"/>
      <w:b/>
    </w:rPr>
  </w:style>
  <w:style w:type="character" w:customStyle="1" w:styleId="25">
    <w:name w:val="批注文字 字符"/>
    <w:basedOn w:val="17"/>
    <w:link w:val="4"/>
    <w:autoRedefine/>
    <w:semiHidden/>
    <w:qFormat/>
    <w:uiPriority w:val="99"/>
    <w:rPr>
      <w:kern w:val="2"/>
      <w:sz w:val="21"/>
      <w:szCs w:val="22"/>
    </w:rPr>
  </w:style>
  <w:style w:type="character" w:customStyle="1" w:styleId="26">
    <w:name w:val="批注主题 字符"/>
    <w:basedOn w:val="25"/>
    <w:link w:val="14"/>
    <w:autoRedefine/>
    <w:semiHidden/>
    <w:qFormat/>
    <w:uiPriority w:val="99"/>
    <w:rPr>
      <w:b/>
      <w:bCs/>
      <w:kern w:val="2"/>
      <w:sz w:val="21"/>
      <w:szCs w:val="22"/>
    </w:rPr>
  </w:style>
  <w:style w:type="paragraph" w:customStyle="1" w:styleId="27">
    <w:name w:val="_Style 1"/>
    <w:basedOn w:val="1"/>
    <w:autoRedefine/>
    <w:qFormat/>
    <w:uiPriority w:val="0"/>
    <w:rPr>
      <w:szCs w:val="21"/>
    </w:rPr>
  </w:style>
  <w:style w:type="character" w:customStyle="1" w:styleId="28">
    <w:name w:val="font41"/>
    <w:basedOn w:val="17"/>
    <w:autoRedefine/>
    <w:qFormat/>
    <w:uiPriority w:val="0"/>
    <w:rPr>
      <w:rFonts w:hint="eastAsia" w:ascii="楷体" w:hAnsi="楷体" w:eastAsia="楷体" w:cs="楷体"/>
      <w:color w:val="000000"/>
      <w:sz w:val="22"/>
      <w:szCs w:val="22"/>
      <w:u w:val="none"/>
    </w:rPr>
  </w:style>
  <w:style w:type="character" w:customStyle="1" w:styleId="29">
    <w:name w:val="font31"/>
    <w:basedOn w:val="17"/>
    <w:autoRedefine/>
    <w:qFormat/>
    <w:uiPriority w:val="0"/>
    <w:rPr>
      <w:rFonts w:hint="default" w:ascii="Times New Roman" w:hAnsi="Times New Roman" w:cs="Times New Roman"/>
      <w:color w:val="000000"/>
      <w:sz w:val="22"/>
      <w:szCs w:val="22"/>
      <w:u w:val="none"/>
    </w:rPr>
  </w:style>
  <w:style w:type="character" w:customStyle="1" w:styleId="30">
    <w:name w:val="font51"/>
    <w:basedOn w:val="17"/>
    <w:autoRedefine/>
    <w:qFormat/>
    <w:uiPriority w:val="0"/>
    <w:rPr>
      <w:rFonts w:hint="eastAsia" w:ascii="楷体" w:hAnsi="楷体" w:eastAsia="楷体" w:cs="楷体"/>
      <w:color w:val="000000"/>
      <w:sz w:val="22"/>
      <w:szCs w:val="22"/>
      <w:u w:val="none"/>
    </w:rPr>
  </w:style>
  <w:style w:type="character" w:customStyle="1" w:styleId="31">
    <w:name w:val="font11"/>
    <w:basedOn w:val="17"/>
    <w:autoRedefine/>
    <w:qFormat/>
    <w:uiPriority w:val="0"/>
    <w:rPr>
      <w:rFonts w:hint="default" w:ascii="Times New Roman" w:hAnsi="Times New Roman" w:cs="Times New Roman"/>
      <w:color w:val="000000"/>
      <w:sz w:val="22"/>
      <w:szCs w:val="22"/>
      <w:u w:val="none"/>
    </w:rPr>
  </w:style>
  <w:style w:type="character" w:customStyle="1" w:styleId="32">
    <w:name w:val="font71"/>
    <w:basedOn w:val="17"/>
    <w:autoRedefine/>
    <w:qFormat/>
    <w:uiPriority w:val="0"/>
    <w:rPr>
      <w:rFonts w:ascii="仿宋_GB2312" w:eastAsia="仿宋_GB2312" w:cs="仿宋_GB2312"/>
      <w:b/>
      <w:bCs/>
      <w:color w:val="000000"/>
      <w:sz w:val="22"/>
      <w:szCs w:val="22"/>
      <w:u w:val="none"/>
    </w:rPr>
  </w:style>
  <w:style w:type="character" w:customStyle="1" w:styleId="33">
    <w:name w:val="font61"/>
    <w:basedOn w:val="17"/>
    <w:autoRedefine/>
    <w:qFormat/>
    <w:uiPriority w:val="0"/>
    <w:rPr>
      <w:rFonts w:hint="eastAsia" w:ascii="仿宋_GB2312" w:eastAsia="仿宋_GB2312" w:cs="仿宋_GB2312"/>
      <w:color w:val="FF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907</Words>
  <Characters>1268</Characters>
  <Lines>34</Lines>
  <Paragraphs>9</Paragraphs>
  <TotalTime>3</TotalTime>
  <ScaleCrop>false</ScaleCrop>
  <LinksUpToDate>false</LinksUpToDate>
  <CharactersWithSpaces>1279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2024-08-09T08:02:00Z</dcterms:created>
  <dc:creator>PYX</dc:creator>
  <cp:lastModifiedBy>星芒。</cp:lastModifiedBy>
  <dcterms:modified xsi:type="dcterms:W3CDTF">2024-12-03T09:55:52Z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7EDCA4DE3611435AB256EB485171E6FA_13</vt:lpwstr>
  </property>
</Properties>
</file>