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FAE9EF">
      <w:pPr>
        <w:wordWrap w:val="0"/>
        <w:jc w:val="center"/>
        <w:rPr>
          <w:rFonts w:hint="eastAsia" w:ascii="黑体" w:hAnsi="宋体" w:eastAsia="黑体" w:cs="宋体"/>
          <w:color w:val="auto"/>
          <w:sz w:val="44"/>
          <w:szCs w:val="44"/>
          <w:lang w:eastAsia="zh-CN" w:bidi="ar-SA"/>
        </w:rPr>
      </w:pPr>
    </w:p>
    <w:p w14:paraId="78ED3A75">
      <w:pPr>
        <w:wordWrap w:val="0"/>
        <w:spacing w:line="480" w:lineRule="auto"/>
        <w:jc w:val="center"/>
        <w:rPr>
          <w:rFonts w:hint="eastAsia" w:ascii="黑体" w:hAnsi="宋体" w:eastAsia="黑体" w:cs="宋体"/>
          <w:color w:val="auto"/>
          <w:sz w:val="44"/>
          <w:szCs w:val="44"/>
          <w:lang w:eastAsia="zh-CN" w:bidi="ar-SA"/>
        </w:rPr>
      </w:pPr>
      <w:r>
        <w:rPr>
          <w:rFonts w:hint="eastAsia" w:ascii="黑体" w:hAnsi="宋体" w:eastAsia="黑体" w:cs="宋体"/>
          <w:color w:val="auto"/>
          <w:sz w:val="44"/>
          <w:szCs w:val="44"/>
          <w:lang w:eastAsia="zh-CN" w:bidi="ar-SA"/>
        </w:rPr>
        <w:t>中国·江西</w:t>
      </w:r>
    </w:p>
    <w:p w14:paraId="14D0D069">
      <w:pPr>
        <w:wordWrap w:val="0"/>
        <w:spacing w:before="120" w:beforeLines="50" w:line="360" w:lineRule="auto"/>
        <w:jc w:val="center"/>
        <w:rPr>
          <w:rFonts w:hint="eastAsia" w:ascii="黑体" w:hAnsi="黑体" w:eastAsia="黑体" w:cs="宋体"/>
          <w:color w:val="auto"/>
          <w:spacing w:val="-6"/>
          <w:sz w:val="44"/>
          <w:szCs w:val="48"/>
          <w:lang w:eastAsia="zh-CN" w:bidi="ar-SA"/>
        </w:rPr>
      </w:pPr>
      <w:bookmarkStart w:id="0" w:name="_Hlk38805465"/>
      <w:r>
        <w:rPr>
          <w:rFonts w:hint="eastAsia" w:ascii="黑体" w:hAnsi="宋体" w:eastAsia="黑体" w:cs="宋体"/>
          <w:color w:val="auto"/>
          <w:spacing w:val="-30"/>
          <w:sz w:val="40"/>
          <w:szCs w:val="44"/>
          <w:lang w:eastAsia="zh-CN" w:bidi="ar-SA"/>
        </w:rPr>
        <w:t>新余市港口水运基础设施建设项目-袁河航道提升工程新余段库区工程第二标段监理招标</w:t>
      </w:r>
      <w:bookmarkEnd w:id="0"/>
    </w:p>
    <w:p w14:paraId="29D812F4">
      <w:pPr>
        <w:spacing w:line="360" w:lineRule="auto"/>
        <w:jc w:val="both"/>
        <w:rPr>
          <w:rFonts w:eastAsia="宋体" w:cs="宋体"/>
          <w:color w:val="auto"/>
          <w:sz w:val="28"/>
          <w:szCs w:val="28"/>
          <w:u w:val="single"/>
          <w:lang w:eastAsia="zh-CN" w:bidi="ar-SA"/>
        </w:rPr>
      </w:pPr>
    </w:p>
    <w:p w14:paraId="615BE711">
      <w:pPr>
        <w:spacing w:line="360" w:lineRule="auto"/>
        <w:jc w:val="center"/>
        <w:rPr>
          <w:rFonts w:eastAsia="宋体" w:cs="宋体"/>
          <w:color w:val="auto"/>
          <w:sz w:val="28"/>
          <w:szCs w:val="28"/>
          <w:u w:val="single"/>
          <w:lang w:eastAsia="zh-CN" w:bidi="ar-SA"/>
        </w:rPr>
      </w:pPr>
    </w:p>
    <w:p w14:paraId="1DBC5B82">
      <w:pPr>
        <w:spacing w:line="360" w:lineRule="auto"/>
        <w:jc w:val="center"/>
        <w:rPr>
          <w:rFonts w:eastAsia="宋体" w:cs="宋体"/>
          <w:color w:val="auto"/>
          <w:sz w:val="28"/>
          <w:szCs w:val="28"/>
          <w:u w:val="single"/>
          <w:lang w:eastAsia="zh-CN" w:bidi="ar-SA"/>
        </w:rPr>
      </w:pPr>
    </w:p>
    <w:p w14:paraId="5E0F4605">
      <w:pPr>
        <w:spacing w:line="360" w:lineRule="auto"/>
        <w:jc w:val="both"/>
        <w:rPr>
          <w:rFonts w:eastAsia="宋体" w:cs="宋体"/>
          <w:color w:val="auto"/>
          <w:lang w:eastAsia="zh-CN" w:bidi="ar-SA"/>
        </w:rPr>
      </w:pPr>
    </w:p>
    <w:p w14:paraId="0AFE05B6">
      <w:pPr>
        <w:spacing w:line="360" w:lineRule="auto"/>
        <w:jc w:val="center"/>
        <w:rPr>
          <w:rFonts w:hint="eastAsia" w:ascii="黑体" w:hAnsi="黑体" w:eastAsia="黑体" w:cs="宋体"/>
          <w:color w:val="auto"/>
          <w:sz w:val="80"/>
          <w:szCs w:val="80"/>
          <w:lang w:eastAsia="zh-CN" w:bidi="ar-SA"/>
        </w:rPr>
      </w:pPr>
      <w:r>
        <w:rPr>
          <w:rFonts w:ascii="黑体" w:hAnsi="黑体" w:eastAsia="黑体" w:cs="宋体"/>
          <w:color w:val="auto"/>
          <w:sz w:val="80"/>
          <w:szCs w:val="80"/>
          <w:lang w:eastAsia="zh-CN" w:bidi="ar-SA"/>
        </w:rPr>
        <w:t>招 标 文</w:t>
      </w:r>
      <w:r>
        <w:rPr>
          <w:rFonts w:hint="eastAsia" w:ascii="黑体" w:hAnsi="黑体" w:eastAsia="黑体" w:cs="宋体"/>
          <w:color w:val="auto"/>
          <w:spacing w:val="-76"/>
          <w:sz w:val="80"/>
          <w:szCs w:val="80"/>
          <w:lang w:eastAsia="zh-CN" w:bidi="ar-SA"/>
        </w:rPr>
        <w:t xml:space="preserve"> </w:t>
      </w:r>
      <w:r>
        <w:rPr>
          <w:rFonts w:ascii="黑体" w:hAnsi="黑体" w:eastAsia="黑体" w:cs="宋体"/>
          <w:color w:val="auto"/>
          <w:sz w:val="80"/>
          <w:szCs w:val="80"/>
          <w:lang w:eastAsia="zh-CN" w:bidi="ar-SA"/>
        </w:rPr>
        <w:t>件</w:t>
      </w:r>
    </w:p>
    <w:p w14:paraId="4E2DCD11">
      <w:pPr>
        <w:spacing w:line="360" w:lineRule="auto"/>
        <w:jc w:val="both"/>
        <w:rPr>
          <w:rFonts w:eastAsia="宋体" w:cs="宋体"/>
          <w:color w:val="auto"/>
          <w:lang w:eastAsia="zh-CN" w:bidi="ar-SA"/>
        </w:rPr>
      </w:pPr>
    </w:p>
    <w:p w14:paraId="4E20D69F">
      <w:pPr>
        <w:spacing w:line="360" w:lineRule="auto"/>
        <w:jc w:val="both"/>
        <w:rPr>
          <w:rFonts w:eastAsia="宋体" w:cs="宋体"/>
          <w:color w:val="auto"/>
          <w:lang w:eastAsia="zh-CN" w:bidi="ar-SA"/>
        </w:rPr>
      </w:pPr>
    </w:p>
    <w:p w14:paraId="5CD67C9C">
      <w:pPr>
        <w:spacing w:line="360" w:lineRule="auto"/>
        <w:jc w:val="both"/>
        <w:rPr>
          <w:rFonts w:eastAsia="宋体" w:cs="宋体"/>
          <w:color w:val="auto"/>
          <w:lang w:eastAsia="zh-CN" w:bidi="ar-SA"/>
        </w:rPr>
      </w:pPr>
    </w:p>
    <w:p w14:paraId="2B774743">
      <w:pPr>
        <w:spacing w:line="360" w:lineRule="auto"/>
        <w:jc w:val="both"/>
        <w:rPr>
          <w:rFonts w:eastAsia="宋体" w:cs="宋体"/>
          <w:color w:val="auto"/>
          <w:lang w:eastAsia="zh-CN" w:bidi="ar-SA"/>
        </w:rPr>
      </w:pPr>
    </w:p>
    <w:p w14:paraId="19F59FF9">
      <w:pPr>
        <w:spacing w:line="360" w:lineRule="auto"/>
        <w:jc w:val="both"/>
        <w:rPr>
          <w:rFonts w:eastAsia="宋体" w:cs="宋体"/>
          <w:color w:val="auto"/>
          <w:lang w:eastAsia="zh-CN" w:bidi="ar-SA"/>
        </w:rPr>
      </w:pPr>
    </w:p>
    <w:p w14:paraId="7F06C3A2">
      <w:pPr>
        <w:spacing w:line="360" w:lineRule="auto"/>
        <w:jc w:val="both"/>
        <w:rPr>
          <w:rFonts w:eastAsia="宋体" w:cs="宋体"/>
          <w:color w:val="auto"/>
          <w:lang w:eastAsia="zh-CN" w:bidi="ar-SA"/>
        </w:rPr>
      </w:pPr>
    </w:p>
    <w:p w14:paraId="418C1630">
      <w:pPr>
        <w:spacing w:line="360" w:lineRule="auto"/>
        <w:jc w:val="both"/>
        <w:rPr>
          <w:rFonts w:eastAsia="宋体" w:cs="宋体"/>
          <w:color w:val="auto"/>
          <w:lang w:eastAsia="zh-CN" w:bidi="ar-SA"/>
        </w:rPr>
      </w:pPr>
    </w:p>
    <w:p w14:paraId="363BFE7D">
      <w:pPr>
        <w:adjustRightInd w:val="0"/>
        <w:snapToGrid w:val="0"/>
        <w:spacing w:line="360" w:lineRule="auto"/>
        <w:jc w:val="center"/>
        <w:rPr>
          <w:rFonts w:hint="eastAsia" w:ascii="黑体" w:hAnsi="黑体" w:eastAsia="黑体"/>
          <w:bCs/>
          <w:color w:val="auto"/>
          <w:kern w:val="2"/>
          <w:sz w:val="30"/>
          <w:szCs w:val="30"/>
          <w:lang w:eastAsia="zh-CN" w:bidi="ar-SA"/>
        </w:rPr>
      </w:pPr>
      <w:r>
        <w:rPr>
          <w:rFonts w:hint="eastAsia" w:ascii="黑体" w:hAnsi="黑体" w:eastAsia="黑体"/>
          <w:bCs/>
          <w:color w:val="auto"/>
          <w:kern w:val="2"/>
          <w:sz w:val="30"/>
          <w:szCs w:val="30"/>
          <w:lang w:eastAsia="zh-CN" w:bidi="ar-SA"/>
        </w:rPr>
        <w:t xml:space="preserve"> </w:t>
      </w:r>
      <w:r>
        <w:rPr>
          <w:rFonts w:ascii="黑体" w:hAnsi="黑体" w:eastAsia="黑体"/>
          <w:bCs/>
          <w:color w:val="auto"/>
          <w:kern w:val="2"/>
          <w:sz w:val="30"/>
          <w:szCs w:val="30"/>
          <w:lang w:eastAsia="zh-CN" w:bidi="ar-SA"/>
        </w:rPr>
        <w:t xml:space="preserve"> </w:t>
      </w:r>
      <w:r>
        <w:rPr>
          <w:rFonts w:hint="eastAsia" w:ascii="黑体" w:hAnsi="黑体" w:eastAsia="黑体"/>
          <w:bCs/>
          <w:color w:val="auto"/>
          <w:kern w:val="2"/>
          <w:sz w:val="30"/>
          <w:szCs w:val="30"/>
          <w:lang w:eastAsia="zh-CN" w:bidi="ar-SA"/>
        </w:rPr>
        <w:t xml:space="preserve">招 </w:t>
      </w:r>
      <w:r>
        <w:rPr>
          <w:rFonts w:ascii="黑体" w:hAnsi="黑体" w:eastAsia="黑体"/>
          <w:bCs/>
          <w:color w:val="auto"/>
          <w:kern w:val="2"/>
          <w:sz w:val="30"/>
          <w:szCs w:val="30"/>
          <w:lang w:eastAsia="zh-CN" w:bidi="ar-SA"/>
        </w:rPr>
        <w:t xml:space="preserve"> </w:t>
      </w:r>
      <w:r>
        <w:rPr>
          <w:rFonts w:hint="eastAsia" w:ascii="黑体" w:hAnsi="黑体" w:eastAsia="黑体"/>
          <w:bCs/>
          <w:color w:val="auto"/>
          <w:kern w:val="2"/>
          <w:sz w:val="30"/>
          <w:szCs w:val="30"/>
          <w:lang w:eastAsia="zh-CN" w:bidi="ar-SA"/>
        </w:rPr>
        <w:t xml:space="preserve"> 标 </w:t>
      </w:r>
      <w:r>
        <w:rPr>
          <w:rFonts w:ascii="黑体" w:hAnsi="黑体" w:eastAsia="黑体"/>
          <w:bCs/>
          <w:color w:val="auto"/>
          <w:kern w:val="2"/>
          <w:sz w:val="30"/>
          <w:szCs w:val="30"/>
          <w:lang w:eastAsia="zh-CN" w:bidi="ar-SA"/>
        </w:rPr>
        <w:t xml:space="preserve">  </w:t>
      </w:r>
      <w:r>
        <w:rPr>
          <w:rFonts w:hint="eastAsia" w:ascii="黑体" w:hAnsi="黑体" w:eastAsia="黑体"/>
          <w:bCs/>
          <w:color w:val="auto"/>
          <w:kern w:val="2"/>
          <w:sz w:val="30"/>
          <w:szCs w:val="30"/>
          <w:lang w:eastAsia="zh-CN" w:bidi="ar-SA"/>
        </w:rPr>
        <w:t>人：新余市投资控股集团有限公司</w:t>
      </w:r>
    </w:p>
    <w:p w14:paraId="369ECD17">
      <w:pPr>
        <w:adjustRightInd w:val="0"/>
        <w:snapToGrid w:val="0"/>
        <w:spacing w:line="360" w:lineRule="auto"/>
        <w:jc w:val="center"/>
        <w:rPr>
          <w:rFonts w:hint="eastAsia" w:ascii="黑体" w:hAnsi="黑体" w:eastAsia="黑体"/>
          <w:bCs/>
          <w:color w:val="auto"/>
          <w:kern w:val="2"/>
          <w:sz w:val="30"/>
          <w:szCs w:val="30"/>
          <w:lang w:eastAsia="zh-CN" w:bidi="ar-SA"/>
        </w:rPr>
      </w:pPr>
      <w:r>
        <w:rPr>
          <w:rFonts w:hint="eastAsia" w:ascii="黑体" w:hAnsi="黑体" w:eastAsia="黑体"/>
          <w:bCs/>
          <w:color w:val="auto"/>
          <w:kern w:val="2"/>
          <w:sz w:val="30"/>
          <w:szCs w:val="30"/>
          <w:lang w:eastAsia="zh-CN" w:bidi="ar-SA"/>
        </w:rPr>
        <w:t>招标代理机构：江西省江咨投控工程咨询有限公司</w:t>
      </w:r>
    </w:p>
    <w:p w14:paraId="052EB05E">
      <w:pPr>
        <w:adjustRightInd w:val="0"/>
        <w:snapToGrid w:val="0"/>
        <w:spacing w:line="360" w:lineRule="auto"/>
        <w:jc w:val="center"/>
        <w:rPr>
          <w:rFonts w:hint="eastAsia" w:ascii="黑体" w:hAnsi="黑体" w:eastAsia="黑体"/>
          <w:bCs/>
          <w:color w:val="auto"/>
          <w:kern w:val="2"/>
          <w:sz w:val="30"/>
          <w:szCs w:val="30"/>
          <w:u w:val="single"/>
          <w:lang w:eastAsia="zh-CN" w:bidi="ar-SA"/>
        </w:rPr>
      </w:pPr>
      <w:r>
        <w:rPr>
          <w:rFonts w:ascii="黑体" w:hAnsi="黑体" w:eastAsia="黑体"/>
          <w:bCs/>
          <w:color w:val="auto"/>
          <w:kern w:val="2"/>
          <w:sz w:val="30"/>
          <w:szCs w:val="30"/>
          <w:lang w:eastAsia="zh-CN" w:bidi="ar-SA"/>
        </w:rPr>
        <w:t xml:space="preserve">    </w:t>
      </w:r>
      <w:r>
        <w:rPr>
          <w:rFonts w:hint="eastAsia" w:ascii="黑体" w:hAnsi="黑体" w:eastAsia="黑体"/>
          <w:bCs/>
          <w:color w:val="auto"/>
          <w:kern w:val="2"/>
          <w:sz w:val="30"/>
          <w:szCs w:val="30"/>
          <w:lang w:eastAsia="zh-CN" w:bidi="ar-SA"/>
        </w:rPr>
        <w:t>2025年10月</w:t>
      </w:r>
    </w:p>
    <w:p w14:paraId="223AAE28">
      <w:pPr>
        <w:wordWrap w:val="0"/>
        <w:spacing w:line="360" w:lineRule="auto"/>
        <w:ind w:firstLine="600" w:firstLineChars="200"/>
        <w:jc w:val="both"/>
        <w:rPr>
          <w:rFonts w:eastAsia="宋体" w:cs="宋体"/>
          <w:color w:val="auto"/>
          <w:sz w:val="30"/>
          <w:szCs w:val="30"/>
          <w:lang w:eastAsia="zh-CN" w:bidi="ar-SA"/>
        </w:rPr>
        <w:sectPr>
          <w:headerReference r:id="rId7" w:type="first"/>
          <w:footerReference r:id="rId10" w:type="first"/>
          <w:headerReference r:id="rId5" w:type="default"/>
          <w:footerReference r:id="rId8" w:type="default"/>
          <w:headerReference r:id="rId6" w:type="even"/>
          <w:footerReference r:id="rId9" w:type="even"/>
          <w:pgSz w:w="11906" w:h="16838"/>
          <w:pgMar w:top="1418" w:right="1588" w:bottom="1418" w:left="1588" w:header="680" w:footer="992" w:gutter="0"/>
          <w:cols w:space="720" w:num="1"/>
          <w:titlePg/>
          <w:docGrid w:linePitch="312" w:charSpace="0"/>
        </w:sectPr>
      </w:pPr>
    </w:p>
    <w:p w14:paraId="48FA4D87">
      <w:pPr>
        <w:widowControl/>
        <w:jc w:val="center"/>
        <w:rPr>
          <w:rFonts w:eastAsia="宋体" w:cs="宋体"/>
          <w:color w:val="auto"/>
          <w:lang w:eastAsia="zh-CN" w:bidi="ar-SA"/>
        </w:rPr>
      </w:pPr>
    </w:p>
    <w:p w14:paraId="350CE25F">
      <w:pPr>
        <w:widowControl/>
        <w:tabs>
          <w:tab w:val="left" w:pos="2760"/>
        </w:tabs>
        <w:rPr>
          <w:rFonts w:eastAsia="宋体" w:cs="宋体"/>
          <w:color w:val="auto"/>
          <w:lang w:eastAsia="zh-CN" w:bidi="ar-SA"/>
        </w:rPr>
        <w:sectPr>
          <w:headerReference r:id="rId11" w:type="default"/>
          <w:headerReference r:id="rId12" w:type="even"/>
          <w:footerReference r:id="rId13" w:type="even"/>
          <w:footnotePr>
            <w:numFmt w:val="decimalEnclosedCircleChinese"/>
            <w:numRestart w:val="eachPage"/>
          </w:footnotePr>
          <w:type w:val="continuous"/>
          <w:pgSz w:w="11906" w:h="16838"/>
          <w:pgMar w:top="1418" w:right="1588" w:bottom="1418" w:left="1588" w:header="680" w:footer="992" w:gutter="0"/>
          <w:pgNumType w:fmt="upperRoman"/>
          <w:cols w:space="720" w:num="1"/>
          <w:docGrid w:linePitch="326" w:charSpace="0"/>
        </w:sectPr>
      </w:pPr>
      <w:r>
        <w:rPr>
          <w:rFonts w:eastAsia="宋体" w:cs="宋体"/>
          <w:color w:val="auto"/>
          <w:lang w:eastAsia="zh-CN" w:bidi="ar-SA"/>
        </w:rPr>
        <w:tab/>
      </w:r>
    </w:p>
    <w:p w14:paraId="697369CE">
      <w:pPr>
        <w:widowControl/>
        <w:jc w:val="center"/>
        <w:rPr>
          <w:rFonts w:ascii="Calibri" w:hAnsi="Calibri" w:eastAsia="宋体" w:cs="宋体"/>
          <w:b/>
          <w:bCs/>
          <w:caps/>
          <w:color w:val="auto"/>
          <w:sz w:val="32"/>
          <w:szCs w:val="32"/>
          <w:lang w:eastAsia="zh-CN" w:bidi="ar-SA"/>
        </w:rPr>
      </w:pPr>
      <w:r>
        <w:rPr>
          <w:rFonts w:hint="eastAsia" w:ascii="Calibri" w:hAnsi="Calibri" w:eastAsia="宋体" w:cs="宋体"/>
          <w:b/>
          <w:bCs/>
          <w:caps/>
          <w:color w:val="auto"/>
          <w:sz w:val="32"/>
          <w:szCs w:val="32"/>
          <w:lang w:eastAsia="zh-CN" w:bidi="ar-SA"/>
        </w:rPr>
        <w:t>目    录</w:t>
      </w:r>
    </w:p>
    <w:p w14:paraId="0BAEFE33">
      <w:pPr>
        <w:widowControl/>
        <w:spacing w:line="360" w:lineRule="auto"/>
        <w:jc w:val="center"/>
        <w:rPr>
          <w:rFonts w:hint="eastAsia" w:ascii="宋体" w:hAnsi="宋体" w:eastAsia="宋体" w:cs="宋体"/>
          <w:caps/>
          <w:color w:val="auto"/>
          <w:sz w:val="32"/>
          <w:szCs w:val="32"/>
          <w:lang w:eastAsia="zh-CN" w:bidi="ar-SA"/>
        </w:rPr>
      </w:pPr>
    </w:p>
    <w:p w14:paraId="535A8F64">
      <w:pPr>
        <w:pStyle w:val="37"/>
        <w:tabs>
          <w:tab w:val="right" w:leader="dot" w:pos="8730"/>
        </w:tabs>
        <w:ind w:left="480"/>
        <w:rPr>
          <w:color w:val="auto"/>
        </w:rPr>
      </w:pPr>
      <w:r>
        <w:rPr>
          <w:rFonts w:ascii="宋体" w:hAnsi="宋体" w:eastAsia="宋体"/>
          <w:caps/>
          <w:color w:val="auto"/>
          <w:w w:val="107"/>
        </w:rPr>
        <w:fldChar w:fldCharType="begin"/>
      </w:r>
      <w:r>
        <w:rPr>
          <w:rFonts w:ascii="宋体" w:hAnsi="宋体" w:eastAsia="宋体"/>
          <w:caps/>
          <w:color w:val="auto"/>
          <w:w w:val="107"/>
        </w:rPr>
        <w:instrText xml:space="preserve"> TOC \o "1-3" \h \z \u </w:instrText>
      </w:r>
      <w:r>
        <w:rPr>
          <w:rFonts w:ascii="宋体" w:hAnsi="宋体" w:eastAsia="宋体"/>
          <w:caps/>
          <w:color w:val="auto"/>
          <w:w w:val="107"/>
        </w:rPr>
        <w:fldChar w:fldCharType="separate"/>
      </w:r>
      <w:r>
        <w:fldChar w:fldCharType="begin"/>
      </w:r>
      <w:r>
        <w:instrText xml:space="preserve"> HYPERLINK \l "_Toc29085" </w:instrText>
      </w:r>
      <w:r>
        <w:fldChar w:fldCharType="separate"/>
      </w:r>
      <w:r>
        <w:rPr>
          <w:rFonts w:eastAsia="黑体"/>
          <w:color w:val="auto"/>
          <w:kern w:val="28"/>
          <w:lang w:eastAsia="zh-CN" w:bidi="ar-SA"/>
        </w:rPr>
        <w:t>1.</w:t>
      </w:r>
      <w:r>
        <w:rPr>
          <w:rFonts w:hint="eastAsia" w:eastAsia="黑体"/>
          <w:color w:val="auto"/>
          <w:kern w:val="28"/>
          <w:lang w:eastAsia="zh-CN" w:bidi="ar-SA"/>
        </w:rPr>
        <w:t>招标条件</w:t>
      </w:r>
      <w:r>
        <w:rPr>
          <w:color w:val="auto"/>
        </w:rPr>
        <w:tab/>
      </w:r>
      <w:r>
        <w:rPr>
          <w:color w:val="auto"/>
        </w:rPr>
        <w:fldChar w:fldCharType="begin"/>
      </w:r>
      <w:r>
        <w:rPr>
          <w:color w:val="auto"/>
        </w:rPr>
        <w:instrText xml:space="preserve"> PAGEREF _Toc29085 \h </w:instrText>
      </w:r>
      <w:r>
        <w:rPr>
          <w:color w:val="auto"/>
        </w:rPr>
        <w:fldChar w:fldCharType="separate"/>
      </w:r>
      <w:r>
        <w:rPr>
          <w:color w:val="auto"/>
        </w:rPr>
        <w:t>8</w:t>
      </w:r>
      <w:r>
        <w:rPr>
          <w:color w:val="auto"/>
        </w:rPr>
        <w:fldChar w:fldCharType="end"/>
      </w:r>
      <w:r>
        <w:rPr>
          <w:color w:val="auto"/>
        </w:rPr>
        <w:fldChar w:fldCharType="end"/>
      </w:r>
    </w:p>
    <w:p w14:paraId="543BD741">
      <w:pPr>
        <w:pStyle w:val="37"/>
        <w:tabs>
          <w:tab w:val="right" w:leader="dot" w:pos="8730"/>
        </w:tabs>
        <w:ind w:left="480"/>
        <w:rPr>
          <w:color w:val="auto"/>
        </w:rPr>
      </w:pPr>
      <w:r>
        <w:fldChar w:fldCharType="begin"/>
      </w:r>
      <w:r>
        <w:instrText xml:space="preserve"> HYPERLINK \l "_Toc22698" </w:instrText>
      </w:r>
      <w:r>
        <w:fldChar w:fldCharType="separate"/>
      </w:r>
      <w:r>
        <w:rPr>
          <w:rFonts w:eastAsia="黑体"/>
          <w:color w:val="auto"/>
          <w:kern w:val="28"/>
          <w:lang w:eastAsia="zh-CN" w:bidi="ar-SA"/>
        </w:rPr>
        <w:t>2.</w:t>
      </w:r>
      <w:r>
        <w:rPr>
          <w:rFonts w:hint="eastAsia" w:eastAsia="黑体"/>
          <w:color w:val="auto"/>
          <w:kern w:val="28"/>
          <w:lang w:eastAsia="zh-CN" w:bidi="ar-SA"/>
        </w:rPr>
        <w:t>项目概况与招标范围</w:t>
      </w:r>
      <w:r>
        <w:rPr>
          <w:color w:val="auto"/>
        </w:rPr>
        <w:tab/>
      </w:r>
      <w:r>
        <w:rPr>
          <w:color w:val="auto"/>
        </w:rPr>
        <w:fldChar w:fldCharType="begin"/>
      </w:r>
      <w:r>
        <w:rPr>
          <w:color w:val="auto"/>
        </w:rPr>
        <w:instrText xml:space="preserve"> PAGEREF _Toc22698 \h </w:instrText>
      </w:r>
      <w:r>
        <w:rPr>
          <w:color w:val="auto"/>
        </w:rPr>
        <w:fldChar w:fldCharType="separate"/>
      </w:r>
      <w:r>
        <w:rPr>
          <w:color w:val="auto"/>
        </w:rPr>
        <w:t>8</w:t>
      </w:r>
      <w:r>
        <w:rPr>
          <w:color w:val="auto"/>
        </w:rPr>
        <w:fldChar w:fldCharType="end"/>
      </w:r>
      <w:r>
        <w:rPr>
          <w:color w:val="auto"/>
        </w:rPr>
        <w:fldChar w:fldCharType="end"/>
      </w:r>
    </w:p>
    <w:p w14:paraId="16BDAFFC">
      <w:pPr>
        <w:pStyle w:val="37"/>
        <w:tabs>
          <w:tab w:val="right" w:leader="dot" w:pos="8730"/>
        </w:tabs>
        <w:ind w:left="480"/>
        <w:rPr>
          <w:color w:val="auto"/>
        </w:rPr>
      </w:pPr>
      <w:r>
        <w:fldChar w:fldCharType="begin"/>
      </w:r>
      <w:r>
        <w:instrText xml:space="preserve"> HYPERLINK \l "_Toc2482" </w:instrText>
      </w:r>
      <w:r>
        <w:fldChar w:fldCharType="separate"/>
      </w:r>
      <w:r>
        <w:rPr>
          <w:rFonts w:hint="eastAsia" w:eastAsia="黑体"/>
          <w:color w:val="auto"/>
          <w:kern w:val="28"/>
          <w:lang w:eastAsia="zh-CN" w:bidi="ar-SA"/>
        </w:rPr>
        <w:t>3.投标人资格要求</w:t>
      </w:r>
      <w:r>
        <w:rPr>
          <w:color w:val="auto"/>
        </w:rPr>
        <w:tab/>
      </w:r>
      <w:r>
        <w:rPr>
          <w:color w:val="auto"/>
        </w:rPr>
        <w:fldChar w:fldCharType="begin"/>
      </w:r>
      <w:r>
        <w:rPr>
          <w:color w:val="auto"/>
        </w:rPr>
        <w:instrText xml:space="preserve"> PAGEREF _Toc2482 \h </w:instrText>
      </w:r>
      <w:r>
        <w:rPr>
          <w:color w:val="auto"/>
        </w:rPr>
        <w:fldChar w:fldCharType="separate"/>
      </w:r>
      <w:r>
        <w:rPr>
          <w:color w:val="auto"/>
        </w:rPr>
        <w:t>9</w:t>
      </w:r>
      <w:r>
        <w:rPr>
          <w:color w:val="auto"/>
        </w:rPr>
        <w:fldChar w:fldCharType="end"/>
      </w:r>
      <w:r>
        <w:rPr>
          <w:color w:val="auto"/>
        </w:rPr>
        <w:fldChar w:fldCharType="end"/>
      </w:r>
    </w:p>
    <w:p w14:paraId="06150216">
      <w:pPr>
        <w:pStyle w:val="37"/>
        <w:tabs>
          <w:tab w:val="right" w:leader="dot" w:pos="8730"/>
        </w:tabs>
        <w:ind w:left="480"/>
        <w:rPr>
          <w:color w:val="auto"/>
        </w:rPr>
      </w:pPr>
      <w:r>
        <w:fldChar w:fldCharType="begin"/>
      </w:r>
      <w:r>
        <w:instrText xml:space="preserve"> HYPERLINK \l "_Toc31104" </w:instrText>
      </w:r>
      <w:r>
        <w:fldChar w:fldCharType="separate"/>
      </w:r>
      <w:r>
        <w:rPr>
          <w:rFonts w:eastAsia="黑体"/>
          <w:color w:val="auto"/>
          <w:kern w:val="28"/>
          <w:lang w:eastAsia="zh-CN" w:bidi="ar-SA"/>
        </w:rPr>
        <w:t>4.招标文件的获取</w:t>
      </w:r>
      <w:r>
        <w:rPr>
          <w:color w:val="auto"/>
        </w:rPr>
        <w:tab/>
      </w:r>
      <w:r>
        <w:rPr>
          <w:color w:val="auto"/>
        </w:rPr>
        <w:fldChar w:fldCharType="begin"/>
      </w:r>
      <w:r>
        <w:rPr>
          <w:color w:val="auto"/>
        </w:rPr>
        <w:instrText xml:space="preserve"> PAGEREF _Toc31104 \h </w:instrText>
      </w:r>
      <w:r>
        <w:rPr>
          <w:color w:val="auto"/>
        </w:rPr>
        <w:fldChar w:fldCharType="separate"/>
      </w:r>
      <w:r>
        <w:rPr>
          <w:color w:val="auto"/>
        </w:rPr>
        <w:t>9</w:t>
      </w:r>
      <w:r>
        <w:rPr>
          <w:color w:val="auto"/>
        </w:rPr>
        <w:fldChar w:fldCharType="end"/>
      </w:r>
      <w:r>
        <w:rPr>
          <w:color w:val="auto"/>
        </w:rPr>
        <w:fldChar w:fldCharType="end"/>
      </w:r>
    </w:p>
    <w:p w14:paraId="6EFDA78F">
      <w:pPr>
        <w:pStyle w:val="37"/>
        <w:tabs>
          <w:tab w:val="right" w:leader="dot" w:pos="8730"/>
        </w:tabs>
        <w:ind w:left="480"/>
        <w:rPr>
          <w:color w:val="auto"/>
        </w:rPr>
      </w:pPr>
      <w:r>
        <w:fldChar w:fldCharType="begin"/>
      </w:r>
      <w:r>
        <w:instrText xml:space="preserve"> HYPERLINK \l "_Toc16664" </w:instrText>
      </w:r>
      <w:r>
        <w:fldChar w:fldCharType="separate"/>
      </w:r>
      <w:r>
        <w:rPr>
          <w:rFonts w:eastAsia="黑体"/>
          <w:color w:val="auto"/>
          <w:kern w:val="28"/>
          <w:lang w:eastAsia="zh-CN" w:bidi="ar-SA"/>
        </w:rPr>
        <w:t>5.投标文件的递交及相关事宜</w:t>
      </w:r>
      <w:r>
        <w:rPr>
          <w:color w:val="auto"/>
        </w:rPr>
        <w:tab/>
      </w:r>
      <w:r>
        <w:rPr>
          <w:color w:val="auto"/>
        </w:rPr>
        <w:fldChar w:fldCharType="begin"/>
      </w:r>
      <w:r>
        <w:rPr>
          <w:color w:val="auto"/>
        </w:rPr>
        <w:instrText xml:space="preserve"> PAGEREF _Toc16664 \h </w:instrText>
      </w:r>
      <w:r>
        <w:rPr>
          <w:color w:val="auto"/>
        </w:rPr>
        <w:fldChar w:fldCharType="separate"/>
      </w:r>
      <w:r>
        <w:rPr>
          <w:color w:val="auto"/>
        </w:rPr>
        <w:t>9</w:t>
      </w:r>
      <w:r>
        <w:rPr>
          <w:color w:val="auto"/>
        </w:rPr>
        <w:fldChar w:fldCharType="end"/>
      </w:r>
      <w:r>
        <w:rPr>
          <w:color w:val="auto"/>
        </w:rPr>
        <w:fldChar w:fldCharType="end"/>
      </w:r>
    </w:p>
    <w:p w14:paraId="1412012D">
      <w:pPr>
        <w:pStyle w:val="37"/>
        <w:tabs>
          <w:tab w:val="right" w:leader="dot" w:pos="8730"/>
        </w:tabs>
        <w:ind w:left="480"/>
        <w:rPr>
          <w:color w:val="auto"/>
        </w:rPr>
      </w:pPr>
      <w:r>
        <w:fldChar w:fldCharType="begin"/>
      </w:r>
      <w:r>
        <w:instrText xml:space="preserve"> HYPERLINK \l "_Toc1590" </w:instrText>
      </w:r>
      <w:r>
        <w:fldChar w:fldCharType="separate"/>
      </w:r>
      <w:r>
        <w:rPr>
          <w:rFonts w:eastAsia="黑体"/>
          <w:color w:val="auto"/>
          <w:kern w:val="28"/>
          <w:lang w:eastAsia="zh-CN" w:bidi="ar-SA"/>
        </w:rPr>
        <w:t>6.发布公告的媒介</w:t>
      </w:r>
      <w:r>
        <w:rPr>
          <w:color w:val="auto"/>
        </w:rPr>
        <w:tab/>
      </w:r>
      <w:r>
        <w:rPr>
          <w:color w:val="auto"/>
        </w:rPr>
        <w:fldChar w:fldCharType="begin"/>
      </w:r>
      <w:r>
        <w:rPr>
          <w:color w:val="auto"/>
        </w:rPr>
        <w:instrText xml:space="preserve"> PAGEREF _Toc1590 \h </w:instrText>
      </w:r>
      <w:r>
        <w:rPr>
          <w:color w:val="auto"/>
        </w:rPr>
        <w:fldChar w:fldCharType="separate"/>
      </w:r>
      <w:r>
        <w:rPr>
          <w:color w:val="auto"/>
        </w:rPr>
        <w:t>10</w:t>
      </w:r>
      <w:r>
        <w:rPr>
          <w:color w:val="auto"/>
        </w:rPr>
        <w:fldChar w:fldCharType="end"/>
      </w:r>
      <w:r>
        <w:rPr>
          <w:color w:val="auto"/>
        </w:rPr>
        <w:fldChar w:fldCharType="end"/>
      </w:r>
    </w:p>
    <w:p w14:paraId="11C3E84D">
      <w:pPr>
        <w:pStyle w:val="37"/>
        <w:tabs>
          <w:tab w:val="right" w:leader="dot" w:pos="8730"/>
        </w:tabs>
        <w:ind w:left="480"/>
        <w:rPr>
          <w:color w:val="auto"/>
        </w:rPr>
      </w:pPr>
      <w:r>
        <w:fldChar w:fldCharType="begin"/>
      </w:r>
      <w:r>
        <w:instrText xml:space="preserve"> HYPERLINK \l "_Toc91" </w:instrText>
      </w:r>
      <w:r>
        <w:fldChar w:fldCharType="separate"/>
      </w:r>
      <w:r>
        <w:rPr>
          <w:rFonts w:eastAsia="黑体"/>
          <w:color w:val="auto"/>
          <w:kern w:val="28"/>
          <w:lang w:eastAsia="zh-CN" w:bidi="ar-SA"/>
        </w:rPr>
        <w:t>7.</w:t>
      </w:r>
      <w:r>
        <w:rPr>
          <w:rFonts w:hint="eastAsia" w:eastAsia="黑体"/>
          <w:color w:val="auto"/>
          <w:kern w:val="28"/>
          <w:lang w:eastAsia="zh-CN" w:bidi="ar-SA"/>
        </w:rPr>
        <w:t>联系方式</w:t>
      </w:r>
      <w:r>
        <w:rPr>
          <w:color w:val="auto"/>
        </w:rPr>
        <w:tab/>
      </w:r>
      <w:r>
        <w:rPr>
          <w:color w:val="auto"/>
        </w:rPr>
        <w:fldChar w:fldCharType="begin"/>
      </w:r>
      <w:r>
        <w:rPr>
          <w:color w:val="auto"/>
        </w:rPr>
        <w:instrText xml:space="preserve"> PAGEREF _Toc91 \h </w:instrText>
      </w:r>
      <w:r>
        <w:rPr>
          <w:color w:val="auto"/>
        </w:rPr>
        <w:fldChar w:fldCharType="separate"/>
      </w:r>
      <w:r>
        <w:rPr>
          <w:color w:val="auto"/>
        </w:rPr>
        <w:t>10</w:t>
      </w:r>
      <w:r>
        <w:rPr>
          <w:color w:val="auto"/>
        </w:rPr>
        <w:fldChar w:fldCharType="end"/>
      </w:r>
      <w:r>
        <w:rPr>
          <w:color w:val="auto"/>
        </w:rPr>
        <w:fldChar w:fldCharType="end"/>
      </w:r>
    </w:p>
    <w:p w14:paraId="23B39A5B">
      <w:pPr>
        <w:pStyle w:val="37"/>
        <w:tabs>
          <w:tab w:val="right" w:leader="dot" w:pos="8730"/>
        </w:tabs>
        <w:ind w:left="480"/>
        <w:rPr>
          <w:color w:val="auto"/>
        </w:rPr>
      </w:pPr>
      <w:r>
        <w:fldChar w:fldCharType="begin"/>
      </w:r>
      <w:r>
        <w:instrText xml:space="preserve"> HYPERLINK \l "_Toc7647" </w:instrText>
      </w:r>
      <w:r>
        <w:fldChar w:fldCharType="separate"/>
      </w:r>
      <w:r>
        <w:rPr>
          <w:rFonts w:hint="eastAsia" w:ascii="宋体" w:hAnsi="宋体" w:eastAsia="宋体" w:cs="宋体"/>
          <w:color w:val="auto"/>
          <w:kern w:val="28"/>
          <w:szCs w:val="32"/>
          <w:lang w:eastAsia="zh-CN" w:bidi="ar-SA"/>
        </w:rPr>
        <w:t>附表1：合同划分一览表</w:t>
      </w:r>
      <w:r>
        <w:rPr>
          <w:color w:val="auto"/>
        </w:rPr>
        <w:tab/>
      </w:r>
      <w:r>
        <w:rPr>
          <w:color w:val="auto"/>
        </w:rPr>
        <w:fldChar w:fldCharType="begin"/>
      </w:r>
      <w:r>
        <w:rPr>
          <w:color w:val="auto"/>
        </w:rPr>
        <w:instrText xml:space="preserve"> PAGEREF _Toc7647 \h </w:instrText>
      </w:r>
      <w:r>
        <w:rPr>
          <w:color w:val="auto"/>
        </w:rPr>
        <w:fldChar w:fldCharType="separate"/>
      </w:r>
      <w:r>
        <w:rPr>
          <w:color w:val="auto"/>
        </w:rPr>
        <w:t>11</w:t>
      </w:r>
      <w:r>
        <w:rPr>
          <w:color w:val="auto"/>
        </w:rPr>
        <w:fldChar w:fldCharType="end"/>
      </w:r>
      <w:r>
        <w:rPr>
          <w:color w:val="auto"/>
        </w:rPr>
        <w:fldChar w:fldCharType="end"/>
      </w:r>
    </w:p>
    <w:p w14:paraId="3C355A5E">
      <w:pPr>
        <w:pStyle w:val="37"/>
        <w:tabs>
          <w:tab w:val="right" w:leader="dot" w:pos="8730"/>
        </w:tabs>
        <w:ind w:left="480"/>
        <w:rPr>
          <w:color w:val="auto"/>
        </w:rPr>
      </w:pPr>
      <w:r>
        <w:fldChar w:fldCharType="begin"/>
      </w:r>
      <w:r>
        <w:instrText xml:space="preserve"> HYPERLINK \l "_Toc10285" </w:instrText>
      </w:r>
      <w:r>
        <w:fldChar w:fldCharType="separate"/>
      </w:r>
      <w:r>
        <w:rPr>
          <w:rFonts w:ascii="宋体" w:hAnsi="宋体" w:eastAsia="宋体" w:cs="宋体"/>
          <w:bCs/>
          <w:color w:val="auto"/>
          <w:kern w:val="28"/>
          <w:szCs w:val="32"/>
          <w:lang w:eastAsia="zh-CN" w:bidi="ar-SA"/>
        </w:rPr>
        <w:t>附</w:t>
      </w:r>
      <w:r>
        <w:rPr>
          <w:rFonts w:hint="eastAsia" w:ascii="宋体" w:hAnsi="宋体" w:eastAsia="宋体" w:cs="宋体"/>
          <w:bCs/>
          <w:color w:val="auto"/>
          <w:kern w:val="28"/>
          <w:szCs w:val="32"/>
          <w:lang w:eastAsia="zh-CN" w:bidi="ar-SA"/>
        </w:rPr>
        <w:t>录</w:t>
      </w:r>
      <w:r>
        <w:rPr>
          <w:rFonts w:ascii="宋体" w:hAnsi="宋体" w:eastAsia="宋体" w:cs="宋体"/>
          <w:bCs/>
          <w:color w:val="auto"/>
          <w:kern w:val="28"/>
          <w:szCs w:val="32"/>
          <w:lang w:eastAsia="zh-CN" w:bidi="ar-SA"/>
        </w:rPr>
        <w:t>1</w:t>
      </w:r>
      <w:r>
        <w:rPr>
          <w:rFonts w:hint="eastAsia" w:ascii="宋体" w:hAnsi="宋体" w:eastAsia="宋体" w:cs="宋体"/>
          <w:bCs/>
          <w:color w:val="auto"/>
          <w:kern w:val="28"/>
          <w:szCs w:val="32"/>
          <w:lang w:eastAsia="zh-CN" w:bidi="ar-SA"/>
        </w:rPr>
        <w:t>：</w:t>
      </w:r>
      <w:r>
        <w:rPr>
          <w:rFonts w:ascii="宋体" w:hAnsi="宋体" w:eastAsia="宋体" w:cs="宋体"/>
          <w:bCs/>
          <w:color w:val="auto"/>
          <w:kern w:val="28"/>
          <w:szCs w:val="32"/>
          <w:lang w:eastAsia="zh-CN" w:bidi="ar-SA"/>
        </w:rPr>
        <w:t>资格审</w:t>
      </w:r>
      <w:r>
        <w:rPr>
          <w:rFonts w:hint="eastAsia" w:ascii="宋体" w:hAnsi="宋体" w:eastAsia="宋体" w:cs="宋体"/>
          <w:bCs/>
          <w:color w:val="auto"/>
          <w:kern w:val="28"/>
          <w:szCs w:val="32"/>
          <w:lang w:eastAsia="zh-CN" w:bidi="ar-SA"/>
        </w:rPr>
        <w:t>查</w:t>
      </w:r>
      <w:r>
        <w:rPr>
          <w:rFonts w:ascii="宋体" w:hAnsi="宋体" w:eastAsia="宋体" w:cs="宋体"/>
          <w:bCs/>
          <w:color w:val="auto"/>
          <w:kern w:val="28"/>
          <w:szCs w:val="32"/>
          <w:lang w:eastAsia="zh-CN" w:bidi="ar-SA"/>
        </w:rPr>
        <w:t>条件</w:t>
      </w:r>
      <w:r>
        <w:rPr>
          <w:rFonts w:hint="eastAsia" w:ascii="宋体" w:hAnsi="宋体" w:eastAsia="宋体" w:cs="宋体"/>
          <w:bCs/>
          <w:color w:val="auto"/>
          <w:kern w:val="28"/>
          <w:szCs w:val="32"/>
          <w:lang w:eastAsia="zh-CN" w:bidi="ar-SA"/>
        </w:rPr>
        <w:t>（</w:t>
      </w:r>
      <w:r>
        <w:rPr>
          <w:rFonts w:ascii="宋体" w:hAnsi="宋体" w:eastAsia="宋体" w:cs="宋体"/>
          <w:bCs/>
          <w:color w:val="auto"/>
          <w:kern w:val="28"/>
          <w:szCs w:val="32"/>
          <w:lang w:eastAsia="zh-CN" w:bidi="ar-SA"/>
        </w:rPr>
        <w:t>资质最低</w:t>
      </w:r>
      <w:r>
        <w:rPr>
          <w:rFonts w:hint="eastAsia" w:ascii="宋体" w:hAnsi="宋体" w:eastAsia="宋体" w:cs="宋体"/>
          <w:bCs/>
          <w:color w:val="auto"/>
          <w:kern w:val="28"/>
          <w:szCs w:val="32"/>
          <w:lang w:eastAsia="zh-CN" w:bidi="ar-SA"/>
        </w:rPr>
        <w:t>条件</w:t>
      </w:r>
      <w:r>
        <w:rPr>
          <w:rFonts w:ascii="宋体" w:hAnsi="宋体" w:eastAsia="宋体" w:cs="宋体"/>
          <w:bCs/>
          <w:color w:val="auto"/>
          <w:kern w:val="28"/>
          <w:szCs w:val="32"/>
          <w:lang w:eastAsia="zh-CN" w:bidi="ar-SA"/>
        </w:rPr>
        <w:t>）</w:t>
      </w:r>
      <w:r>
        <w:rPr>
          <w:color w:val="auto"/>
        </w:rPr>
        <w:tab/>
      </w:r>
      <w:r>
        <w:rPr>
          <w:color w:val="auto"/>
        </w:rPr>
        <w:fldChar w:fldCharType="begin"/>
      </w:r>
      <w:r>
        <w:rPr>
          <w:color w:val="auto"/>
        </w:rPr>
        <w:instrText xml:space="preserve"> PAGEREF _Toc10285 \h </w:instrText>
      </w:r>
      <w:r>
        <w:rPr>
          <w:color w:val="auto"/>
        </w:rPr>
        <w:fldChar w:fldCharType="separate"/>
      </w:r>
      <w:r>
        <w:rPr>
          <w:color w:val="auto"/>
        </w:rPr>
        <w:t>12</w:t>
      </w:r>
      <w:r>
        <w:rPr>
          <w:color w:val="auto"/>
        </w:rPr>
        <w:fldChar w:fldCharType="end"/>
      </w:r>
      <w:r>
        <w:rPr>
          <w:color w:val="auto"/>
        </w:rPr>
        <w:fldChar w:fldCharType="end"/>
      </w:r>
    </w:p>
    <w:p w14:paraId="65D8A2A9">
      <w:pPr>
        <w:pStyle w:val="37"/>
        <w:tabs>
          <w:tab w:val="right" w:leader="dot" w:pos="8730"/>
        </w:tabs>
        <w:ind w:left="480"/>
        <w:rPr>
          <w:color w:val="auto"/>
        </w:rPr>
      </w:pPr>
      <w:r>
        <w:fldChar w:fldCharType="begin"/>
      </w:r>
      <w:r>
        <w:instrText xml:space="preserve"> HYPERLINK \l "_Toc3236" </w:instrText>
      </w:r>
      <w:r>
        <w:fldChar w:fldCharType="separate"/>
      </w:r>
      <w:r>
        <w:rPr>
          <w:rFonts w:ascii="宋体" w:hAnsi="宋体" w:eastAsia="宋体" w:cs="宋体"/>
          <w:bCs/>
          <w:color w:val="auto"/>
          <w:kern w:val="28"/>
          <w:szCs w:val="32"/>
          <w:lang w:eastAsia="zh-CN" w:bidi="ar-SA"/>
        </w:rPr>
        <w:t>附</w:t>
      </w:r>
      <w:r>
        <w:rPr>
          <w:rFonts w:hint="eastAsia" w:ascii="宋体" w:hAnsi="宋体" w:eastAsia="宋体" w:cs="宋体"/>
          <w:bCs/>
          <w:color w:val="auto"/>
          <w:kern w:val="28"/>
          <w:szCs w:val="32"/>
          <w:lang w:eastAsia="zh-CN" w:bidi="ar-SA"/>
        </w:rPr>
        <w:t>录</w:t>
      </w:r>
      <w:r>
        <w:rPr>
          <w:rFonts w:ascii="宋体" w:hAnsi="宋体" w:eastAsia="宋体" w:cs="宋体"/>
          <w:bCs/>
          <w:color w:val="auto"/>
          <w:kern w:val="28"/>
          <w:szCs w:val="32"/>
          <w:lang w:eastAsia="zh-CN" w:bidi="ar-SA"/>
        </w:rPr>
        <w:t>2</w:t>
      </w:r>
      <w:r>
        <w:rPr>
          <w:rFonts w:hint="eastAsia" w:ascii="宋体" w:hAnsi="宋体" w:eastAsia="宋体" w:cs="宋体"/>
          <w:bCs/>
          <w:color w:val="auto"/>
          <w:kern w:val="28"/>
          <w:szCs w:val="32"/>
          <w:lang w:eastAsia="zh-CN" w:bidi="ar-SA"/>
        </w:rPr>
        <w:t>：</w:t>
      </w:r>
      <w:r>
        <w:rPr>
          <w:rFonts w:ascii="宋体" w:hAnsi="宋体" w:eastAsia="宋体" w:cs="宋体"/>
          <w:bCs/>
          <w:color w:val="auto"/>
          <w:kern w:val="28"/>
          <w:szCs w:val="32"/>
          <w:lang w:eastAsia="zh-CN" w:bidi="ar-SA"/>
        </w:rPr>
        <w:t>资格审查条件</w:t>
      </w:r>
      <w:r>
        <w:rPr>
          <w:rFonts w:hint="eastAsia" w:ascii="宋体" w:hAnsi="宋体" w:eastAsia="宋体" w:cs="宋体"/>
          <w:bCs/>
          <w:color w:val="auto"/>
          <w:kern w:val="28"/>
          <w:szCs w:val="32"/>
          <w:lang w:eastAsia="zh-CN" w:bidi="ar-SA"/>
        </w:rPr>
        <w:t>（财务</w:t>
      </w:r>
      <w:r>
        <w:rPr>
          <w:rFonts w:ascii="宋体" w:hAnsi="宋体" w:eastAsia="宋体" w:cs="宋体"/>
          <w:bCs/>
          <w:color w:val="auto"/>
          <w:kern w:val="28"/>
          <w:szCs w:val="32"/>
          <w:lang w:eastAsia="zh-CN" w:bidi="ar-SA"/>
        </w:rPr>
        <w:t>要求</w:t>
      </w:r>
      <w:r>
        <w:rPr>
          <w:rFonts w:hint="eastAsia" w:ascii="宋体" w:hAnsi="宋体" w:eastAsia="宋体" w:cs="宋体"/>
          <w:bCs/>
          <w:color w:val="auto"/>
          <w:kern w:val="28"/>
          <w:szCs w:val="32"/>
          <w:lang w:eastAsia="zh-CN" w:bidi="ar-SA"/>
        </w:rPr>
        <w:t>）</w:t>
      </w:r>
      <w:r>
        <w:rPr>
          <w:color w:val="auto"/>
        </w:rPr>
        <w:tab/>
      </w:r>
      <w:r>
        <w:rPr>
          <w:color w:val="auto"/>
        </w:rPr>
        <w:fldChar w:fldCharType="begin"/>
      </w:r>
      <w:r>
        <w:rPr>
          <w:color w:val="auto"/>
        </w:rPr>
        <w:instrText xml:space="preserve"> PAGEREF _Toc3236 \h </w:instrText>
      </w:r>
      <w:r>
        <w:rPr>
          <w:color w:val="auto"/>
        </w:rPr>
        <w:fldChar w:fldCharType="separate"/>
      </w:r>
      <w:r>
        <w:rPr>
          <w:color w:val="auto"/>
        </w:rPr>
        <w:t>12</w:t>
      </w:r>
      <w:r>
        <w:rPr>
          <w:color w:val="auto"/>
        </w:rPr>
        <w:fldChar w:fldCharType="end"/>
      </w:r>
      <w:r>
        <w:rPr>
          <w:color w:val="auto"/>
        </w:rPr>
        <w:fldChar w:fldCharType="end"/>
      </w:r>
    </w:p>
    <w:p w14:paraId="42E5176B">
      <w:pPr>
        <w:pStyle w:val="37"/>
        <w:tabs>
          <w:tab w:val="right" w:leader="dot" w:pos="8730"/>
        </w:tabs>
        <w:ind w:left="480"/>
        <w:rPr>
          <w:color w:val="auto"/>
        </w:rPr>
      </w:pPr>
      <w:r>
        <w:fldChar w:fldCharType="begin"/>
      </w:r>
      <w:r>
        <w:instrText xml:space="preserve"> HYPERLINK \l "_Toc4426" </w:instrText>
      </w:r>
      <w:r>
        <w:fldChar w:fldCharType="separate"/>
      </w:r>
      <w:r>
        <w:rPr>
          <w:rFonts w:ascii="宋体" w:hAnsi="宋体" w:eastAsia="宋体" w:cs="宋体"/>
          <w:bCs/>
          <w:color w:val="auto"/>
          <w:kern w:val="28"/>
          <w:szCs w:val="32"/>
          <w:lang w:eastAsia="zh-CN" w:bidi="ar-SA"/>
        </w:rPr>
        <w:t>附</w:t>
      </w:r>
      <w:r>
        <w:rPr>
          <w:rFonts w:hint="eastAsia" w:ascii="宋体" w:hAnsi="宋体" w:eastAsia="宋体" w:cs="宋体"/>
          <w:bCs/>
          <w:color w:val="auto"/>
          <w:kern w:val="28"/>
          <w:szCs w:val="32"/>
          <w:lang w:eastAsia="zh-CN" w:bidi="ar-SA"/>
        </w:rPr>
        <w:t>录</w:t>
      </w:r>
      <w:r>
        <w:rPr>
          <w:rFonts w:ascii="宋体" w:hAnsi="宋体" w:eastAsia="宋体" w:cs="宋体"/>
          <w:bCs/>
          <w:color w:val="auto"/>
          <w:kern w:val="28"/>
          <w:szCs w:val="32"/>
          <w:lang w:eastAsia="zh-CN" w:bidi="ar-SA"/>
        </w:rPr>
        <w:t>3</w:t>
      </w:r>
      <w:r>
        <w:rPr>
          <w:rFonts w:hint="eastAsia" w:ascii="宋体" w:hAnsi="宋体" w:eastAsia="宋体" w:cs="宋体"/>
          <w:bCs/>
          <w:color w:val="auto"/>
          <w:kern w:val="28"/>
          <w:szCs w:val="32"/>
          <w:lang w:eastAsia="zh-CN" w:bidi="ar-SA"/>
        </w:rPr>
        <w:t>：</w:t>
      </w:r>
      <w:r>
        <w:rPr>
          <w:rFonts w:ascii="宋体" w:hAnsi="宋体" w:eastAsia="宋体" w:cs="宋体"/>
          <w:bCs/>
          <w:color w:val="auto"/>
          <w:kern w:val="28"/>
          <w:szCs w:val="32"/>
          <w:lang w:eastAsia="zh-CN" w:bidi="ar-SA"/>
        </w:rPr>
        <w:t>资格审查条件</w:t>
      </w:r>
      <w:r>
        <w:rPr>
          <w:rFonts w:hint="eastAsia" w:ascii="宋体" w:hAnsi="宋体" w:eastAsia="宋体" w:cs="宋体"/>
          <w:bCs/>
          <w:color w:val="auto"/>
          <w:kern w:val="28"/>
          <w:szCs w:val="32"/>
          <w:lang w:eastAsia="zh-CN" w:bidi="ar-SA"/>
        </w:rPr>
        <w:t>（</w:t>
      </w:r>
      <w:r>
        <w:rPr>
          <w:rFonts w:ascii="宋体" w:hAnsi="宋体" w:eastAsia="宋体" w:cs="宋体"/>
          <w:bCs/>
          <w:color w:val="auto"/>
          <w:kern w:val="28"/>
          <w:szCs w:val="32"/>
          <w:lang w:eastAsia="zh-CN" w:bidi="ar-SA"/>
        </w:rPr>
        <w:t>业绩最低要求</w:t>
      </w:r>
      <w:r>
        <w:rPr>
          <w:rFonts w:hint="eastAsia" w:ascii="宋体" w:hAnsi="宋体" w:eastAsia="宋体" w:cs="宋体"/>
          <w:bCs/>
          <w:color w:val="auto"/>
          <w:kern w:val="28"/>
          <w:szCs w:val="32"/>
          <w:lang w:eastAsia="zh-CN" w:bidi="ar-SA"/>
        </w:rPr>
        <w:t>）</w:t>
      </w:r>
      <w:r>
        <w:rPr>
          <w:color w:val="auto"/>
        </w:rPr>
        <w:tab/>
      </w:r>
      <w:r>
        <w:rPr>
          <w:color w:val="auto"/>
        </w:rPr>
        <w:fldChar w:fldCharType="begin"/>
      </w:r>
      <w:r>
        <w:rPr>
          <w:color w:val="auto"/>
        </w:rPr>
        <w:instrText xml:space="preserve"> PAGEREF _Toc4426 \h </w:instrText>
      </w:r>
      <w:r>
        <w:rPr>
          <w:color w:val="auto"/>
        </w:rPr>
        <w:fldChar w:fldCharType="separate"/>
      </w:r>
      <w:r>
        <w:rPr>
          <w:color w:val="auto"/>
        </w:rPr>
        <w:t>12</w:t>
      </w:r>
      <w:r>
        <w:rPr>
          <w:color w:val="auto"/>
        </w:rPr>
        <w:fldChar w:fldCharType="end"/>
      </w:r>
      <w:r>
        <w:rPr>
          <w:color w:val="auto"/>
        </w:rPr>
        <w:fldChar w:fldCharType="end"/>
      </w:r>
    </w:p>
    <w:p w14:paraId="69C03E88">
      <w:pPr>
        <w:pStyle w:val="37"/>
        <w:tabs>
          <w:tab w:val="right" w:leader="dot" w:pos="8730"/>
        </w:tabs>
        <w:ind w:left="480"/>
        <w:rPr>
          <w:color w:val="auto"/>
        </w:rPr>
      </w:pPr>
      <w:r>
        <w:fldChar w:fldCharType="begin"/>
      </w:r>
      <w:r>
        <w:instrText xml:space="preserve"> HYPERLINK \l "_Toc30885" </w:instrText>
      </w:r>
      <w:r>
        <w:fldChar w:fldCharType="separate"/>
      </w:r>
      <w:r>
        <w:rPr>
          <w:rFonts w:ascii="宋体" w:hAnsi="宋体" w:eastAsia="宋体" w:cs="宋体"/>
          <w:bCs/>
          <w:color w:val="auto"/>
          <w:kern w:val="28"/>
          <w:szCs w:val="32"/>
          <w:lang w:eastAsia="zh-CN" w:bidi="ar-SA"/>
        </w:rPr>
        <w:t>附</w:t>
      </w:r>
      <w:r>
        <w:rPr>
          <w:rFonts w:hint="eastAsia" w:ascii="宋体" w:hAnsi="宋体" w:eastAsia="宋体" w:cs="宋体"/>
          <w:bCs/>
          <w:color w:val="auto"/>
          <w:kern w:val="28"/>
          <w:szCs w:val="32"/>
          <w:lang w:eastAsia="zh-CN" w:bidi="ar-SA"/>
        </w:rPr>
        <w:t>录</w:t>
      </w:r>
      <w:r>
        <w:rPr>
          <w:rFonts w:ascii="宋体" w:hAnsi="宋体" w:eastAsia="宋体" w:cs="宋体"/>
          <w:bCs/>
          <w:color w:val="auto"/>
          <w:kern w:val="28"/>
          <w:szCs w:val="32"/>
          <w:lang w:eastAsia="zh-CN" w:bidi="ar-SA"/>
        </w:rPr>
        <w:t>4</w:t>
      </w:r>
      <w:r>
        <w:rPr>
          <w:rFonts w:hint="eastAsia" w:ascii="宋体" w:hAnsi="宋体" w:eastAsia="宋体" w:cs="宋体"/>
          <w:bCs/>
          <w:color w:val="auto"/>
          <w:kern w:val="28"/>
          <w:szCs w:val="32"/>
          <w:lang w:eastAsia="zh-CN" w:bidi="ar-SA"/>
        </w:rPr>
        <w:t>：</w:t>
      </w:r>
      <w:r>
        <w:rPr>
          <w:rFonts w:ascii="宋体" w:hAnsi="宋体" w:eastAsia="宋体" w:cs="宋体"/>
          <w:bCs/>
          <w:color w:val="auto"/>
          <w:kern w:val="28"/>
          <w:szCs w:val="32"/>
          <w:lang w:eastAsia="zh-CN" w:bidi="ar-SA"/>
        </w:rPr>
        <w:t>资格审查条件</w:t>
      </w:r>
      <w:r>
        <w:rPr>
          <w:rFonts w:hint="eastAsia" w:ascii="宋体" w:hAnsi="宋体" w:eastAsia="宋体" w:cs="宋体"/>
          <w:bCs/>
          <w:color w:val="auto"/>
          <w:kern w:val="28"/>
          <w:szCs w:val="32"/>
          <w:lang w:eastAsia="zh-CN" w:bidi="ar-SA"/>
        </w:rPr>
        <w:t>（</w:t>
      </w:r>
      <w:r>
        <w:rPr>
          <w:rFonts w:ascii="宋体" w:hAnsi="宋体" w:eastAsia="宋体" w:cs="宋体"/>
          <w:bCs/>
          <w:color w:val="auto"/>
          <w:kern w:val="28"/>
          <w:szCs w:val="32"/>
          <w:lang w:eastAsia="zh-CN" w:bidi="ar-SA"/>
        </w:rPr>
        <w:t>信誉最低要求</w:t>
      </w:r>
      <w:r>
        <w:rPr>
          <w:rFonts w:hint="eastAsia" w:ascii="宋体" w:hAnsi="宋体" w:eastAsia="宋体" w:cs="宋体"/>
          <w:bCs/>
          <w:color w:val="auto"/>
          <w:kern w:val="28"/>
          <w:szCs w:val="32"/>
          <w:lang w:eastAsia="zh-CN" w:bidi="ar-SA"/>
        </w:rPr>
        <w:t>）</w:t>
      </w:r>
      <w:r>
        <w:rPr>
          <w:color w:val="auto"/>
        </w:rPr>
        <w:tab/>
      </w:r>
      <w:r>
        <w:rPr>
          <w:color w:val="auto"/>
        </w:rPr>
        <w:fldChar w:fldCharType="begin"/>
      </w:r>
      <w:r>
        <w:rPr>
          <w:color w:val="auto"/>
        </w:rPr>
        <w:instrText xml:space="preserve"> PAGEREF _Toc30885 \h </w:instrText>
      </w:r>
      <w:r>
        <w:rPr>
          <w:color w:val="auto"/>
        </w:rPr>
        <w:fldChar w:fldCharType="separate"/>
      </w:r>
      <w:r>
        <w:rPr>
          <w:color w:val="auto"/>
        </w:rPr>
        <w:t>13</w:t>
      </w:r>
      <w:r>
        <w:rPr>
          <w:color w:val="auto"/>
        </w:rPr>
        <w:fldChar w:fldCharType="end"/>
      </w:r>
      <w:r>
        <w:rPr>
          <w:color w:val="auto"/>
        </w:rPr>
        <w:fldChar w:fldCharType="end"/>
      </w:r>
    </w:p>
    <w:p w14:paraId="0F2BDF5F">
      <w:pPr>
        <w:pStyle w:val="37"/>
        <w:tabs>
          <w:tab w:val="right" w:leader="dot" w:pos="8730"/>
        </w:tabs>
        <w:ind w:left="480"/>
        <w:rPr>
          <w:color w:val="auto"/>
        </w:rPr>
      </w:pPr>
      <w:r>
        <w:fldChar w:fldCharType="begin"/>
      </w:r>
      <w:r>
        <w:instrText xml:space="preserve"> HYPERLINK \l "_Toc98" </w:instrText>
      </w:r>
      <w:r>
        <w:fldChar w:fldCharType="separate"/>
      </w:r>
      <w:r>
        <w:rPr>
          <w:rFonts w:ascii="宋体" w:hAnsi="宋体" w:eastAsia="宋体" w:cs="宋体"/>
          <w:bCs/>
          <w:color w:val="auto"/>
          <w:kern w:val="28"/>
          <w:szCs w:val="32"/>
          <w:lang w:eastAsia="zh-CN" w:bidi="ar-SA"/>
        </w:rPr>
        <w:t>附</w:t>
      </w:r>
      <w:r>
        <w:rPr>
          <w:rFonts w:hint="eastAsia" w:ascii="宋体" w:hAnsi="宋体" w:eastAsia="宋体" w:cs="宋体"/>
          <w:bCs/>
          <w:color w:val="auto"/>
          <w:kern w:val="28"/>
          <w:szCs w:val="32"/>
          <w:lang w:eastAsia="zh-CN" w:bidi="ar-SA"/>
        </w:rPr>
        <w:t>录</w:t>
      </w:r>
      <w:r>
        <w:rPr>
          <w:rFonts w:ascii="宋体" w:hAnsi="宋体" w:eastAsia="宋体" w:cs="宋体"/>
          <w:bCs/>
          <w:color w:val="auto"/>
          <w:kern w:val="28"/>
          <w:szCs w:val="32"/>
          <w:lang w:eastAsia="zh-CN" w:bidi="ar-SA"/>
        </w:rPr>
        <w:t>5</w:t>
      </w:r>
      <w:r>
        <w:rPr>
          <w:rFonts w:hint="eastAsia" w:ascii="宋体" w:hAnsi="宋体" w:eastAsia="宋体" w:cs="宋体"/>
          <w:bCs/>
          <w:color w:val="auto"/>
          <w:kern w:val="28"/>
          <w:szCs w:val="32"/>
          <w:lang w:eastAsia="zh-CN" w:bidi="ar-SA"/>
        </w:rPr>
        <w:t>：</w:t>
      </w:r>
      <w:r>
        <w:rPr>
          <w:rFonts w:ascii="宋体" w:hAnsi="宋体" w:eastAsia="宋体" w:cs="宋体"/>
          <w:bCs/>
          <w:color w:val="auto"/>
          <w:kern w:val="28"/>
          <w:szCs w:val="32"/>
          <w:lang w:eastAsia="zh-CN" w:bidi="ar-SA"/>
        </w:rPr>
        <w:t>资格审查条件</w:t>
      </w:r>
      <w:r>
        <w:rPr>
          <w:rFonts w:hint="eastAsia" w:ascii="宋体" w:hAnsi="宋体" w:eastAsia="宋体" w:cs="宋体"/>
          <w:bCs/>
          <w:color w:val="auto"/>
          <w:kern w:val="28"/>
          <w:szCs w:val="32"/>
          <w:lang w:eastAsia="zh-CN" w:bidi="ar-SA"/>
        </w:rPr>
        <w:t>（总监理工程师</w:t>
      </w:r>
      <w:r>
        <w:rPr>
          <w:rFonts w:ascii="宋体" w:hAnsi="宋体" w:eastAsia="宋体" w:cs="宋体"/>
          <w:bCs/>
          <w:color w:val="auto"/>
          <w:kern w:val="28"/>
          <w:szCs w:val="32"/>
          <w:lang w:eastAsia="zh-CN" w:bidi="ar-SA"/>
        </w:rPr>
        <w:t>资格</w:t>
      </w:r>
      <w:r>
        <w:rPr>
          <w:rFonts w:hint="eastAsia" w:ascii="宋体" w:hAnsi="宋体" w:eastAsia="宋体" w:cs="宋体"/>
          <w:bCs/>
          <w:color w:val="auto"/>
          <w:kern w:val="28"/>
          <w:szCs w:val="32"/>
          <w:lang w:eastAsia="zh-CN" w:bidi="ar-SA"/>
        </w:rPr>
        <w:t>最低要求）</w:t>
      </w:r>
      <w:r>
        <w:rPr>
          <w:color w:val="auto"/>
        </w:rPr>
        <w:tab/>
      </w:r>
      <w:r>
        <w:rPr>
          <w:color w:val="auto"/>
        </w:rPr>
        <w:fldChar w:fldCharType="begin"/>
      </w:r>
      <w:r>
        <w:rPr>
          <w:color w:val="auto"/>
        </w:rPr>
        <w:instrText xml:space="preserve"> PAGEREF _Toc98 \h </w:instrText>
      </w:r>
      <w:r>
        <w:rPr>
          <w:color w:val="auto"/>
        </w:rPr>
        <w:fldChar w:fldCharType="separate"/>
      </w:r>
      <w:r>
        <w:rPr>
          <w:color w:val="auto"/>
        </w:rPr>
        <w:t>14</w:t>
      </w:r>
      <w:r>
        <w:rPr>
          <w:color w:val="auto"/>
        </w:rPr>
        <w:fldChar w:fldCharType="end"/>
      </w:r>
      <w:r>
        <w:rPr>
          <w:color w:val="auto"/>
        </w:rPr>
        <w:fldChar w:fldCharType="end"/>
      </w:r>
    </w:p>
    <w:p w14:paraId="2124EB92">
      <w:pPr>
        <w:pStyle w:val="37"/>
        <w:tabs>
          <w:tab w:val="right" w:leader="dot" w:pos="8730"/>
        </w:tabs>
        <w:ind w:left="480"/>
        <w:rPr>
          <w:color w:val="auto"/>
        </w:rPr>
      </w:pPr>
      <w:r>
        <w:fldChar w:fldCharType="begin"/>
      </w:r>
      <w:r>
        <w:instrText xml:space="preserve"> HYPERLINK \l "_Toc5812" </w:instrText>
      </w:r>
      <w:r>
        <w:fldChar w:fldCharType="separate"/>
      </w:r>
      <w:r>
        <w:rPr>
          <w:rFonts w:ascii="宋体" w:hAnsi="宋体" w:eastAsia="宋体" w:cs="宋体"/>
          <w:bCs/>
          <w:color w:val="auto"/>
          <w:kern w:val="28"/>
          <w:szCs w:val="32"/>
          <w:lang w:eastAsia="zh-CN" w:bidi="ar-SA"/>
        </w:rPr>
        <w:t>附</w:t>
      </w:r>
      <w:r>
        <w:rPr>
          <w:rFonts w:hint="eastAsia" w:ascii="宋体" w:hAnsi="宋体" w:eastAsia="宋体" w:cs="宋体"/>
          <w:bCs/>
          <w:color w:val="auto"/>
          <w:kern w:val="28"/>
          <w:szCs w:val="32"/>
          <w:lang w:eastAsia="zh-CN" w:bidi="ar-SA"/>
        </w:rPr>
        <w:t>录</w:t>
      </w:r>
      <w:r>
        <w:rPr>
          <w:rFonts w:ascii="宋体" w:hAnsi="宋体" w:eastAsia="宋体" w:cs="宋体"/>
          <w:bCs/>
          <w:color w:val="auto"/>
          <w:kern w:val="28"/>
          <w:szCs w:val="32"/>
          <w:lang w:eastAsia="zh-CN" w:bidi="ar-SA"/>
        </w:rPr>
        <w:t>6</w:t>
      </w:r>
      <w:r>
        <w:rPr>
          <w:rFonts w:hint="eastAsia" w:ascii="宋体" w:hAnsi="宋体" w:eastAsia="宋体" w:cs="宋体"/>
          <w:bCs/>
          <w:color w:val="auto"/>
          <w:kern w:val="28"/>
          <w:szCs w:val="32"/>
          <w:lang w:eastAsia="zh-CN" w:bidi="ar-SA"/>
        </w:rPr>
        <w:t>：其他主要人员要求</w:t>
      </w:r>
      <w:r>
        <w:rPr>
          <w:color w:val="auto"/>
        </w:rPr>
        <w:tab/>
      </w:r>
      <w:r>
        <w:rPr>
          <w:color w:val="auto"/>
        </w:rPr>
        <w:fldChar w:fldCharType="begin"/>
      </w:r>
      <w:r>
        <w:rPr>
          <w:color w:val="auto"/>
        </w:rPr>
        <w:instrText xml:space="preserve"> PAGEREF _Toc5812 \h </w:instrText>
      </w:r>
      <w:r>
        <w:rPr>
          <w:color w:val="auto"/>
        </w:rPr>
        <w:fldChar w:fldCharType="separate"/>
      </w:r>
      <w:r>
        <w:rPr>
          <w:color w:val="auto"/>
        </w:rPr>
        <w:t>15</w:t>
      </w:r>
      <w:r>
        <w:rPr>
          <w:color w:val="auto"/>
        </w:rPr>
        <w:fldChar w:fldCharType="end"/>
      </w:r>
      <w:r>
        <w:rPr>
          <w:color w:val="auto"/>
        </w:rPr>
        <w:fldChar w:fldCharType="end"/>
      </w:r>
    </w:p>
    <w:p w14:paraId="206E1263">
      <w:pPr>
        <w:pStyle w:val="37"/>
        <w:tabs>
          <w:tab w:val="right" w:leader="dot" w:pos="8730"/>
        </w:tabs>
        <w:ind w:left="480"/>
        <w:rPr>
          <w:color w:val="auto"/>
        </w:rPr>
      </w:pPr>
      <w:r>
        <w:fldChar w:fldCharType="begin"/>
      </w:r>
      <w:r>
        <w:instrText xml:space="preserve"> HYPERLINK \l "_Toc22097" </w:instrText>
      </w:r>
      <w:r>
        <w:fldChar w:fldCharType="separate"/>
      </w:r>
      <w:r>
        <w:rPr>
          <w:rFonts w:hint="eastAsia" w:eastAsia="宋体"/>
          <w:color w:val="auto"/>
          <w:spacing w:val="-10"/>
          <w:szCs w:val="28"/>
          <w:lang w:eastAsia="zh-CN" w:bidi="ar-SA"/>
        </w:rPr>
        <w:t>投标人须知前附表</w:t>
      </w:r>
      <w:r>
        <w:rPr>
          <w:color w:val="auto"/>
        </w:rPr>
        <w:tab/>
      </w:r>
      <w:r>
        <w:rPr>
          <w:color w:val="auto"/>
        </w:rPr>
        <w:fldChar w:fldCharType="begin"/>
      </w:r>
      <w:r>
        <w:rPr>
          <w:color w:val="auto"/>
        </w:rPr>
        <w:instrText xml:space="preserve"> PAGEREF _Toc22097 \h </w:instrText>
      </w:r>
      <w:r>
        <w:rPr>
          <w:color w:val="auto"/>
        </w:rPr>
        <w:fldChar w:fldCharType="separate"/>
      </w:r>
      <w:r>
        <w:rPr>
          <w:color w:val="auto"/>
        </w:rPr>
        <w:t>17</w:t>
      </w:r>
      <w:r>
        <w:rPr>
          <w:color w:val="auto"/>
        </w:rPr>
        <w:fldChar w:fldCharType="end"/>
      </w:r>
      <w:r>
        <w:rPr>
          <w:color w:val="auto"/>
        </w:rPr>
        <w:fldChar w:fldCharType="end"/>
      </w:r>
    </w:p>
    <w:p w14:paraId="39C42B58">
      <w:pPr>
        <w:pStyle w:val="37"/>
        <w:tabs>
          <w:tab w:val="right" w:leader="dot" w:pos="8730"/>
        </w:tabs>
        <w:ind w:left="480"/>
        <w:rPr>
          <w:color w:val="auto"/>
        </w:rPr>
      </w:pPr>
      <w:r>
        <w:fldChar w:fldCharType="begin"/>
      </w:r>
      <w:r>
        <w:instrText xml:space="preserve"> HYPERLINK \l "_Toc11819" </w:instrText>
      </w:r>
      <w:r>
        <w:fldChar w:fldCharType="separate"/>
      </w:r>
      <w:r>
        <w:rPr>
          <w:rFonts w:eastAsia="黑体"/>
          <w:color w:val="auto"/>
          <w:kern w:val="2"/>
          <w:szCs w:val="20"/>
          <w:lang w:eastAsia="zh-CN" w:bidi="ar-SA"/>
        </w:rPr>
        <w:t>1. 总则</w:t>
      </w:r>
      <w:r>
        <w:rPr>
          <w:color w:val="auto"/>
        </w:rPr>
        <w:tab/>
      </w:r>
      <w:r>
        <w:rPr>
          <w:color w:val="auto"/>
        </w:rPr>
        <w:fldChar w:fldCharType="begin"/>
      </w:r>
      <w:r>
        <w:rPr>
          <w:color w:val="auto"/>
        </w:rPr>
        <w:instrText xml:space="preserve"> PAGEREF _Toc11819 \h </w:instrText>
      </w:r>
      <w:r>
        <w:rPr>
          <w:color w:val="auto"/>
        </w:rPr>
        <w:fldChar w:fldCharType="separate"/>
      </w:r>
      <w:r>
        <w:rPr>
          <w:color w:val="auto"/>
        </w:rPr>
        <w:t>30</w:t>
      </w:r>
      <w:r>
        <w:rPr>
          <w:color w:val="auto"/>
        </w:rPr>
        <w:fldChar w:fldCharType="end"/>
      </w:r>
      <w:r>
        <w:rPr>
          <w:color w:val="auto"/>
        </w:rPr>
        <w:fldChar w:fldCharType="end"/>
      </w:r>
    </w:p>
    <w:p w14:paraId="35BF9E78">
      <w:pPr>
        <w:pStyle w:val="22"/>
        <w:tabs>
          <w:tab w:val="right" w:leader="dot" w:pos="8730"/>
        </w:tabs>
        <w:ind w:left="960"/>
        <w:rPr>
          <w:color w:val="auto"/>
        </w:rPr>
      </w:pPr>
      <w:r>
        <w:fldChar w:fldCharType="begin"/>
      </w:r>
      <w:r>
        <w:instrText xml:space="preserve"> HYPERLINK \l "_Toc18234" </w:instrText>
      </w:r>
      <w:r>
        <w:fldChar w:fldCharType="separate"/>
      </w:r>
      <w:r>
        <w:rPr>
          <w:rFonts w:eastAsia="黑体"/>
          <w:color w:val="auto"/>
          <w:kern w:val="2"/>
          <w:szCs w:val="20"/>
          <w:lang w:eastAsia="zh-CN" w:bidi="ar-SA"/>
        </w:rPr>
        <w:t>1.1 招标项目概况</w:t>
      </w:r>
      <w:r>
        <w:rPr>
          <w:color w:val="auto"/>
        </w:rPr>
        <w:tab/>
      </w:r>
      <w:r>
        <w:rPr>
          <w:color w:val="auto"/>
        </w:rPr>
        <w:fldChar w:fldCharType="begin"/>
      </w:r>
      <w:r>
        <w:rPr>
          <w:color w:val="auto"/>
        </w:rPr>
        <w:instrText xml:space="preserve"> PAGEREF _Toc18234 \h </w:instrText>
      </w:r>
      <w:r>
        <w:rPr>
          <w:color w:val="auto"/>
        </w:rPr>
        <w:fldChar w:fldCharType="separate"/>
      </w:r>
      <w:r>
        <w:rPr>
          <w:color w:val="auto"/>
        </w:rPr>
        <w:t>30</w:t>
      </w:r>
      <w:r>
        <w:rPr>
          <w:color w:val="auto"/>
        </w:rPr>
        <w:fldChar w:fldCharType="end"/>
      </w:r>
      <w:r>
        <w:rPr>
          <w:color w:val="auto"/>
        </w:rPr>
        <w:fldChar w:fldCharType="end"/>
      </w:r>
    </w:p>
    <w:p w14:paraId="132F30B9">
      <w:pPr>
        <w:pStyle w:val="22"/>
        <w:tabs>
          <w:tab w:val="right" w:leader="dot" w:pos="8730"/>
        </w:tabs>
        <w:ind w:left="960"/>
        <w:rPr>
          <w:color w:val="auto"/>
        </w:rPr>
      </w:pPr>
      <w:r>
        <w:fldChar w:fldCharType="begin"/>
      </w:r>
      <w:r>
        <w:instrText xml:space="preserve"> HYPERLINK \l "_Toc11306" </w:instrText>
      </w:r>
      <w:r>
        <w:fldChar w:fldCharType="separate"/>
      </w:r>
      <w:r>
        <w:rPr>
          <w:rFonts w:eastAsia="黑体"/>
          <w:color w:val="auto"/>
          <w:kern w:val="2"/>
          <w:szCs w:val="20"/>
          <w:lang w:eastAsia="zh-CN" w:bidi="ar-SA"/>
        </w:rPr>
        <w:t>1.2 招标项目的资金来源和落实情况</w:t>
      </w:r>
      <w:r>
        <w:rPr>
          <w:color w:val="auto"/>
        </w:rPr>
        <w:tab/>
      </w:r>
      <w:r>
        <w:rPr>
          <w:color w:val="auto"/>
        </w:rPr>
        <w:fldChar w:fldCharType="begin"/>
      </w:r>
      <w:r>
        <w:rPr>
          <w:color w:val="auto"/>
        </w:rPr>
        <w:instrText xml:space="preserve"> PAGEREF _Toc11306 \h </w:instrText>
      </w:r>
      <w:r>
        <w:rPr>
          <w:color w:val="auto"/>
        </w:rPr>
        <w:fldChar w:fldCharType="separate"/>
      </w:r>
      <w:r>
        <w:rPr>
          <w:color w:val="auto"/>
        </w:rPr>
        <w:t>30</w:t>
      </w:r>
      <w:r>
        <w:rPr>
          <w:color w:val="auto"/>
        </w:rPr>
        <w:fldChar w:fldCharType="end"/>
      </w:r>
      <w:r>
        <w:rPr>
          <w:color w:val="auto"/>
        </w:rPr>
        <w:fldChar w:fldCharType="end"/>
      </w:r>
    </w:p>
    <w:p w14:paraId="146CD57E">
      <w:pPr>
        <w:pStyle w:val="22"/>
        <w:tabs>
          <w:tab w:val="right" w:leader="dot" w:pos="8730"/>
        </w:tabs>
        <w:ind w:left="960"/>
        <w:rPr>
          <w:color w:val="auto"/>
        </w:rPr>
      </w:pPr>
      <w:r>
        <w:fldChar w:fldCharType="begin"/>
      </w:r>
      <w:r>
        <w:instrText xml:space="preserve"> HYPERLINK \l "_Toc30515" </w:instrText>
      </w:r>
      <w:r>
        <w:fldChar w:fldCharType="separate"/>
      </w:r>
      <w:r>
        <w:rPr>
          <w:rFonts w:eastAsia="黑体"/>
          <w:color w:val="auto"/>
          <w:kern w:val="2"/>
          <w:szCs w:val="20"/>
          <w:lang w:eastAsia="zh-CN" w:bidi="ar-SA"/>
        </w:rPr>
        <w:t>1.3招标范围、监理服务期限和质量标准</w:t>
      </w:r>
      <w:r>
        <w:rPr>
          <w:color w:val="auto"/>
        </w:rPr>
        <w:tab/>
      </w:r>
      <w:r>
        <w:rPr>
          <w:color w:val="auto"/>
        </w:rPr>
        <w:fldChar w:fldCharType="begin"/>
      </w:r>
      <w:r>
        <w:rPr>
          <w:color w:val="auto"/>
        </w:rPr>
        <w:instrText xml:space="preserve"> PAGEREF _Toc30515 \h </w:instrText>
      </w:r>
      <w:r>
        <w:rPr>
          <w:color w:val="auto"/>
        </w:rPr>
        <w:fldChar w:fldCharType="separate"/>
      </w:r>
      <w:r>
        <w:rPr>
          <w:color w:val="auto"/>
        </w:rPr>
        <w:t>30</w:t>
      </w:r>
      <w:r>
        <w:rPr>
          <w:color w:val="auto"/>
        </w:rPr>
        <w:fldChar w:fldCharType="end"/>
      </w:r>
      <w:r>
        <w:rPr>
          <w:color w:val="auto"/>
        </w:rPr>
        <w:fldChar w:fldCharType="end"/>
      </w:r>
    </w:p>
    <w:p w14:paraId="2E4703AA">
      <w:pPr>
        <w:pStyle w:val="22"/>
        <w:tabs>
          <w:tab w:val="right" w:leader="dot" w:pos="8730"/>
        </w:tabs>
        <w:ind w:left="960"/>
        <w:rPr>
          <w:color w:val="auto"/>
        </w:rPr>
      </w:pPr>
      <w:r>
        <w:fldChar w:fldCharType="begin"/>
      </w:r>
      <w:r>
        <w:instrText xml:space="preserve"> HYPERLINK \l "_Toc18938" </w:instrText>
      </w:r>
      <w:r>
        <w:fldChar w:fldCharType="separate"/>
      </w:r>
      <w:r>
        <w:rPr>
          <w:rFonts w:eastAsia="黑体"/>
          <w:color w:val="auto"/>
          <w:kern w:val="2"/>
          <w:szCs w:val="20"/>
          <w:lang w:eastAsia="zh-CN" w:bidi="ar-SA"/>
        </w:rPr>
        <w:t>1.4投标人资格要求</w:t>
      </w:r>
      <w:r>
        <w:rPr>
          <w:color w:val="auto"/>
        </w:rPr>
        <w:tab/>
      </w:r>
      <w:r>
        <w:rPr>
          <w:color w:val="auto"/>
        </w:rPr>
        <w:fldChar w:fldCharType="begin"/>
      </w:r>
      <w:r>
        <w:rPr>
          <w:color w:val="auto"/>
        </w:rPr>
        <w:instrText xml:space="preserve"> PAGEREF _Toc18938 \h </w:instrText>
      </w:r>
      <w:r>
        <w:rPr>
          <w:color w:val="auto"/>
        </w:rPr>
        <w:fldChar w:fldCharType="separate"/>
      </w:r>
      <w:r>
        <w:rPr>
          <w:color w:val="auto"/>
        </w:rPr>
        <w:t>30</w:t>
      </w:r>
      <w:r>
        <w:rPr>
          <w:color w:val="auto"/>
        </w:rPr>
        <w:fldChar w:fldCharType="end"/>
      </w:r>
      <w:r>
        <w:rPr>
          <w:color w:val="auto"/>
        </w:rPr>
        <w:fldChar w:fldCharType="end"/>
      </w:r>
    </w:p>
    <w:p w14:paraId="75644FC5">
      <w:pPr>
        <w:pStyle w:val="22"/>
        <w:tabs>
          <w:tab w:val="right" w:leader="dot" w:pos="8730"/>
        </w:tabs>
        <w:ind w:left="960"/>
        <w:rPr>
          <w:color w:val="auto"/>
        </w:rPr>
      </w:pPr>
      <w:r>
        <w:fldChar w:fldCharType="begin"/>
      </w:r>
      <w:r>
        <w:instrText xml:space="preserve"> HYPERLINK \l "_Toc4524" </w:instrText>
      </w:r>
      <w:r>
        <w:fldChar w:fldCharType="separate"/>
      </w:r>
      <w:r>
        <w:rPr>
          <w:rFonts w:eastAsia="黑体"/>
          <w:color w:val="auto"/>
          <w:kern w:val="2"/>
          <w:szCs w:val="20"/>
          <w:lang w:eastAsia="zh-CN" w:bidi="ar-SA"/>
        </w:rPr>
        <w:t xml:space="preserve">1.5 </w:t>
      </w:r>
      <w:r>
        <w:rPr>
          <w:rFonts w:hint="eastAsia" w:eastAsia="黑体"/>
          <w:color w:val="auto"/>
          <w:kern w:val="2"/>
          <w:szCs w:val="20"/>
          <w:lang w:eastAsia="zh-CN" w:bidi="ar-SA"/>
        </w:rPr>
        <w:t>费用承担</w:t>
      </w:r>
      <w:r>
        <w:rPr>
          <w:color w:val="auto"/>
        </w:rPr>
        <w:tab/>
      </w:r>
      <w:r>
        <w:rPr>
          <w:color w:val="auto"/>
        </w:rPr>
        <w:fldChar w:fldCharType="begin"/>
      </w:r>
      <w:r>
        <w:rPr>
          <w:color w:val="auto"/>
        </w:rPr>
        <w:instrText xml:space="preserve"> PAGEREF _Toc4524 \h </w:instrText>
      </w:r>
      <w:r>
        <w:rPr>
          <w:color w:val="auto"/>
        </w:rPr>
        <w:fldChar w:fldCharType="separate"/>
      </w:r>
      <w:r>
        <w:rPr>
          <w:color w:val="auto"/>
        </w:rPr>
        <w:t>31</w:t>
      </w:r>
      <w:r>
        <w:rPr>
          <w:color w:val="auto"/>
        </w:rPr>
        <w:fldChar w:fldCharType="end"/>
      </w:r>
      <w:r>
        <w:rPr>
          <w:color w:val="auto"/>
        </w:rPr>
        <w:fldChar w:fldCharType="end"/>
      </w:r>
    </w:p>
    <w:p w14:paraId="24552F8E">
      <w:pPr>
        <w:pStyle w:val="22"/>
        <w:tabs>
          <w:tab w:val="right" w:leader="dot" w:pos="8730"/>
        </w:tabs>
        <w:ind w:left="960"/>
        <w:rPr>
          <w:color w:val="auto"/>
        </w:rPr>
      </w:pPr>
      <w:r>
        <w:fldChar w:fldCharType="begin"/>
      </w:r>
      <w:r>
        <w:instrText xml:space="preserve"> HYPERLINK \l "_Toc10100" </w:instrText>
      </w:r>
      <w:r>
        <w:fldChar w:fldCharType="separate"/>
      </w:r>
      <w:r>
        <w:rPr>
          <w:rFonts w:eastAsia="黑体"/>
          <w:color w:val="auto"/>
          <w:kern w:val="2"/>
          <w:szCs w:val="20"/>
          <w:lang w:eastAsia="zh-CN" w:bidi="ar-SA"/>
        </w:rPr>
        <w:t>1.6</w:t>
      </w:r>
      <w:r>
        <w:rPr>
          <w:rFonts w:hint="eastAsia" w:eastAsia="黑体"/>
          <w:color w:val="auto"/>
          <w:kern w:val="2"/>
          <w:szCs w:val="20"/>
          <w:lang w:eastAsia="zh-CN" w:bidi="ar-SA"/>
        </w:rPr>
        <w:t>保密</w:t>
      </w:r>
      <w:r>
        <w:rPr>
          <w:color w:val="auto"/>
        </w:rPr>
        <w:tab/>
      </w:r>
      <w:r>
        <w:rPr>
          <w:color w:val="auto"/>
        </w:rPr>
        <w:fldChar w:fldCharType="begin"/>
      </w:r>
      <w:r>
        <w:rPr>
          <w:color w:val="auto"/>
        </w:rPr>
        <w:instrText xml:space="preserve"> PAGEREF _Toc10100 \h </w:instrText>
      </w:r>
      <w:r>
        <w:rPr>
          <w:color w:val="auto"/>
        </w:rPr>
        <w:fldChar w:fldCharType="separate"/>
      </w:r>
      <w:r>
        <w:rPr>
          <w:color w:val="auto"/>
        </w:rPr>
        <w:t>32</w:t>
      </w:r>
      <w:r>
        <w:rPr>
          <w:color w:val="auto"/>
        </w:rPr>
        <w:fldChar w:fldCharType="end"/>
      </w:r>
      <w:r>
        <w:rPr>
          <w:color w:val="auto"/>
        </w:rPr>
        <w:fldChar w:fldCharType="end"/>
      </w:r>
    </w:p>
    <w:p w14:paraId="730E1F24">
      <w:pPr>
        <w:pStyle w:val="22"/>
        <w:tabs>
          <w:tab w:val="right" w:leader="dot" w:pos="8730"/>
        </w:tabs>
        <w:ind w:left="960"/>
        <w:rPr>
          <w:color w:val="auto"/>
        </w:rPr>
      </w:pPr>
      <w:r>
        <w:fldChar w:fldCharType="begin"/>
      </w:r>
      <w:r>
        <w:instrText xml:space="preserve"> HYPERLINK \l "_Toc22711" </w:instrText>
      </w:r>
      <w:r>
        <w:fldChar w:fldCharType="separate"/>
      </w:r>
      <w:r>
        <w:rPr>
          <w:rFonts w:eastAsia="黑体"/>
          <w:color w:val="auto"/>
          <w:kern w:val="2"/>
          <w:szCs w:val="20"/>
          <w:lang w:eastAsia="zh-CN" w:bidi="ar-SA"/>
        </w:rPr>
        <w:t>1.7 语言文字</w:t>
      </w:r>
      <w:r>
        <w:rPr>
          <w:color w:val="auto"/>
        </w:rPr>
        <w:tab/>
      </w:r>
      <w:r>
        <w:rPr>
          <w:color w:val="auto"/>
        </w:rPr>
        <w:fldChar w:fldCharType="begin"/>
      </w:r>
      <w:r>
        <w:rPr>
          <w:color w:val="auto"/>
        </w:rPr>
        <w:instrText xml:space="preserve"> PAGEREF _Toc22711 \h </w:instrText>
      </w:r>
      <w:r>
        <w:rPr>
          <w:color w:val="auto"/>
        </w:rPr>
        <w:fldChar w:fldCharType="separate"/>
      </w:r>
      <w:r>
        <w:rPr>
          <w:color w:val="auto"/>
        </w:rPr>
        <w:t>32</w:t>
      </w:r>
      <w:r>
        <w:rPr>
          <w:color w:val="auto"/>
        </w:rPr>
        <w:fldChar w:fldCharType="end"/>
      </w:r>
      <w:r>
        <w:rPr>
          <w:color w:val="auto"/>
        </w:rPr>
        <w:fldChar w:fldCharType="end"/>
      </w:r>
    </w:p>
    <w:p w14:paraId="7FCDAFFF">
      <w:pPr>
        <w:pStyle w:val="22"/>
        <w:tabs>
          <w:tab w:val="right" w:leader="dot" w:pos="8730"/>
        </w:tabs>
        <w:ind w:left="960"/>
        <w:rPr>
          <w:color w:val="auto"/>
        </w:rPr>
      </w:pPr>
      <w:r>
        <w:fldChar w:fldCharType="begin"/>
      </w:r>
      <w:r>
        <w:instrText xml:space="preserve"> HYPERLINK \l "_Toc399" </w:instrText>
      </w:r>
      <w:r>
        <w:fldChar w:fldCharType="separate"/>
      </w:r>
      <w:r>
        <w:rPr>
          <w:rFonts w:eastAsia="黑体"/>
          <w:color w:val="auto"/>
          <w:kern w:val="2"/>
          <w:szCs w:val="20"/>
          <w:lang w:eastAsia="zh-CN" w:bidi="ar-SA"/>
        </w:rPr>
        <w:t>1.8计量单位</w:t>
      </w:r>
      <w:r>
        <w:rPr>
          <w:color w:val="auto"/>
        </w:rPr>
        <w:tab/>
      </w:r>
      <w:r>
        <w:rPr>
          <w:color w:val="auto"/>
        </w:rPr>
        <w:fldChar w:fldCharType="begin"/>
      </w:r>
      <w:r>
        <w:rPr>
          <w:color w:val="auto"/>
        </w:rPr>
        <w:instrText xml:space="preserve"> PAGEREF _Toc399 \h </w:instrText>
      </w:r>
      <w:r>
        <w:rPr>
          <w:color w:val="auto"/>
        </w:rPr>
        <w:fldChar w:fldCharType="separate"/>
      </w:r>
      <w:r>
        <w:rPr>
          <w:color w:val="auto"/>
        </w:rPr>
        <w:t>32</w:t>
      </w:r>
      <w:r>
        <w:rPr>
          <w:color w:val="auto"/>
        </w:rPr>
        <w:fldChar w:fldCharType="end"/>
      </w:r>
      <w:r>
        <w:rPr>
          <w:color w:val="auto"/>
        </w:rPr>
        <w:fldChar w:fldCharType="end"/>
      </w:r>
    </w:p>
    <w:p w14:paraId="10E5B6A9">
      <w:pPr>
        <w:pStyle w:val="22"/>
        <w:tabs>
          <w:tab w:val="right" w:leader="dot" w:pos="8730"/>
        </w:tabs>
        <w:ind w:left="960"/>
        <w:rPr>
          <w:color w:val="auto"/>
        </w:rPr>
      </w:pPr>
      <w:r>
        <w:fldChar w:fldCharType="begin"/>
      </w:r>
      <w:r>
        <w:instrText xml:space="preserve"> HYPERLINK \l "_Toc21460" </w:instrText>
      </w:r>
      <w:r>
        <w:fldChar w:fldCharType="separate"/>
      </w:r>
      <w:r>
        <w:rPr>
          <w:rFonts w:eastAsia="黑体"/>
          <w:color w:val="auto"/>
          <w:kern w:val="2"/>
          <w:szCs w:val="20"/>
          <w:lang w:eastAsia="zh-CN" w:bidi="ar-SA"/>
        </w:rPr>
        <w:t xml:space="preserve">1.9 </w:t>
      </w:r>
      <w:r>
        <w:rPr>
          <w:rFonts w:hint="eastAsia" w:eastAsia="黑体"/>
          <w:color w:val="auto"/>
          <w:kern w:val="2"/>
          <w:szCs w:val="20"/>
          <w:lang w:eastAsia="zh-CN" w:bidi="ar-SA"/>
        </w:rPr>
        <w:t>踏勘现场</w:t>
      </w:r>
      <w:r>
        <w:rPr>
          <w:color w:val="auto"/>
        </w:rPr>
        <w:tab/>
      </w:r>
      <w:r>
        <w:rPr>
          <w:color w:val="auto"/>
        </w:rPr>
        <w:fldChar w:fldCharType="begin"/>
      </w:r>
      <w:r>
        <w:rPr>
          <w:color w:val="auto"/>
        </w:rPr>
        <w:instrText xml:space="preserve"> PAGEREF _Toc21460 \h </w:instrText>
      </w:r>
      <w:r>
        <w:rPr>
          <w:color w:val="auto"/>
        </w:rPr>
        <w:fldChar w:fldCharType="separate"/>
      </w:r>
      <w:r>
        <w:rPr>
          <w:color w:val="auto"/>
        </w:rPr>
        <w:t>32</w:t>
      </w:r>
      <w:r>
        <w:rPr>
          <w:color w:val="auto"/>
        </w:rPr>
        <w:fldChar w:fldCharType="end"/>
      </w:r>
      <w:r>
        <w:rPr>
          <w:color w:val="auto"/>
        </w:rPr>
        <w:fldChar w:fldCharType="end"/>
      </w:r>
    </w:p>
    <w:p w14:paraId="579D2FF5">
      <w:pPr>
        <w:pStyle w:val="22"/>
        <w:tabs>
          <w:tab w:val="right" w:leader="dot" w:pos="8730"/>
        </w:tabs>
        <w:ind w:left="960"/>
        <w:rPr>
          <w:color w:val="auto"/>
        </w:rPr>
      </w:pPr>
      <w:r>
        <w:fldChar w:fldCharType="begin"/>
      </w:r>
      <w:r>
        <w:instrText xml:space="preserve"> HYPERLINK \l "_Toc11916" </w:instrText>
      </w:r>
      <w:r>
        <w:fldChar w:fldCharType="separate"/>
      </w:r>
      <w:r>
        <w:rPr>
          <w:rFonts w:eastAsia="黑体"/>
          <w:color w:val="auto"/>
          <w:kern w:val="2"/>
          <w:szCs w:val="20"/>
          <w:lang w:eastAsia="zh-CN" w:bidi="ar-SA"/>
        </w:rPr>
        <w:t>1.10投标预备会</w:t>
      </w:r>
      <w:r>
        <w:rPr>
          <w:color w:val="auto"/>
        </w:rPr>
        <w:tab/>
      </w:r>
      <w:r>
        <w:rPr>
          <w:color w:val="auto"/>
        </w:rPr>
        <w:fldChar w:fldCharType="begin"/>
      </w:r>
      <w:r>
        <w:rPr>
          <w:color w:val="auto"/>
        </w:rPr>
        <w:instrText xml:space="preserve"> PAGEREF _Toc11916 \h </w:instrText>
      </w:r>
      <w:r>
        <w:rPr>
          <w:color w:val="auto"/>
        </w:rPr>
        <w:fldChar w:fldCharType="separate"/>
      </w:r>
      <w:r>
        <w:rPr>
          <w:color w:val="auto"/>
        </w:rPr>
        <w:t>32</w:t>
      </w:r>
      <w:r>
        <w:rPr>
          <w:color w:val="auto"/>
        </w:rPr>
        <w:fldChar w:fldCharType="end"/>
      </w:r>
      <w:r>
        <w:rPr>
          <w:color w:val="auto"/>
        </w:rPr>
        <w:fldChar w:fldCharType="end"/>
      </w:r>
    </w:p>
    <w:p w14:paraId="4445BD8B">
      <w:pPr>
        <w:pStyle w:val="22"/>
        <w:tabs>
          <w:tab w:val="right" w:leader="dot" w:pos="8730"/>
        </w:tabs>
        <w:ind w:left="960"/>
        <w:rPr>
          <w:color w:val="auto"/>
        </w:rPr>
      </w:pPr>
      <w:r>
        <w:fldChar w:fldCharType="begin"/>
      </w:r>
      <w:r>
        <w:instrText xml:space="preserve"> HYPERLINK \l "_Toc16890" </w:instrText>
      </w:r>
      <w:r>
        <w:fldChar w:fldCharType="separate"/>
      </w:r>
      <w:r>
        <w:rPr>
          <w:rFonts w:eastAsia="黑体"/>
          <w:color w:val="auto"/>
          <w:kern w:val="2"/>
          <w:szCs w:val="20"/>
          <w:lang w:eastAsia="zh-CN" w:bidi="ar-SA"/>
        </w:rPr>
        <w:t>1.11 分包</w:t>
      </w:r>
      <w:r>
        <w:rPr>
          <w:color w:val="auto"/>
        </w:rPr>
        <w:tab/>
      </w:r>
      <w:r>
        <w:rPr>
          <w:color w:val="auto"/>
        </w:rPr>
        <w:fldChar w:fldCharType="begin"/>
      </w:r>
      <w:r>
        <w:rPr>
          <w:color w:val="auto"/>
        </w:rPr>
        <w:instrText xml:space="preserve"> PAGEREF _Toc16890 \h </w:instrText>
      </w:r>
      <w:r>
        <w:rPr>
          <w:color w:val="auto"/>
        </w:rPr>
        <w:fldChar w:fldCharType="separate"/>
      </w:r>
      <w:r>
        <w:rPr>
          <w:color w:val="auto"/>
        </w:rPr>
        <w:t>32</w:t>
      </w:r>
      <w:r>
        <w:rPr>
          <w:color w:val="auto"/>
        </w:rPr>
        <w:fldChar w:fldCharType="end"/>
      </w:r>
      <w:r>
        <w:rPr>
          <w:color w:val="auto"/>
        </w:rPr>
        <w:fldChar w:fldCharType="end"/>
      </w:r>
    </w:p>
    <w:p w14:paraId="42855AC8">
      <w:pPr>
        <w:pStyle w:val="22"/>
        <w:tabs>
          <w:tab w:val="right" w:leader="dot" w:pos="8730"/>
        </w:tabs>
        <w:ind w:left="960"/>
        <w:rPr>
          <w:color w:val="auto"/>
        </w:rPr>
      </w:pPr>
      <w:r>
        <w:fldChar w:fldCharType="begin"/>
      </w:r>
      <w:r>
        <w:instrText xml:space="preserve"> HYPERLINK \l "_Toc5211" </w:instrText>
      </w:r>
      <w:r>
        <w:fldChar w:fldCharType="separate"/>
      </w:r>
      <w:r>
        <w:rPr>
          <w:rFonts w:eastAsia="黑体"/>
          <w:color w:val="auto"/>
          <w:kern w:val="2"/>
          <w:szCs w:val="20"/>
          <w:lang w:eastAsia="zh-CN" w:bidi="ar-SA"/>
        </w:rPr>
        <w:t>1.12响应和偏差</w:t>
      </w:r>
      <w:r>
        <w:rPr>
          <w:color w:val="auto"/>
        </w:rPr>
        <w:tab/>
      </w:r>
      <w:r>
        <w:rPr>
          <w:color w:val="auto"/>
        </w:rPr>
        <w:fldChar w:fldCharType="begin"/>
      </w:r>
      <w:r>
        <w:rPr>
          <w:color w:val="auto"/>
        </w:rPr>
        <w:instrText xml:space="preserve"> PAGEREF _Toc5211 \h </w:instrText>
      </w:r>
      <w:r>
        <w:rPr>
          <w:color w:val="auto"/>
        </w:rPr>
        <w:fldChar w:fldCharType="separate"/>
      </w:r>
      <w:r>
        <w:rPr>
          <w:color w:val="auto"/>
        </w:rPr>
        <w:t>32</w:t>
      </w:r>
      <w:r>
        <w:rPr>
          <w:color w:val="auto"/>
        </w:rPr>
        <w:fldChar w:fldCharType="end"/>
      </w:r>
      <w:r>
        <w:rPr>
          <w:color w:val="auto"/>
        </w:rPr>
        <w:fldChar w:fldCharType="end"/>
      </w:r>
    </w:p>
    <w:p w14:paraId="10F889F8">
      <w:pPr>
        <w:pStyle w:val="37"/>
        <w:tabs>
          <w:tab w:val="right" w:leader="dot" w:pos="8730"/>
        </w:tabs>
        <w:ind w:left="480"/>
        <w:rPr>
          <w:color w:val="auto"/>
        </w:rPr>
      </w:pPr>
      <w:r>
        <w:fldChar w:fldCharType="begin"/>
      </w:r>
      <w:r>
        <w:instrText xml:space="preserve"> HYPERLINK \l "_Toc20713" </w:instrText>
      </w:r>
      <w:r>
        <w:fldChar w:fldCharType="separate"/>
      </w:r>
      <w:r>
        <w:rPr>
          <w:rFonts w:eastAsia="黑体"/>
          <w:color w:val="auto"/>
          <w:kern w:val="2"/>
          <w:szCs w:val="20"/>
          <w:lang w:eastAsia="zh-CN" w:bidi="ar-SA"/>
        </w:rPr>
        <w:t>2. 招标文件</w:t>
      </w:r>
      <w:r>
        <w:rPr>
          <w:color w:val="auto"/>
        </w:rPr>
        <w:tab/>
      </w:r>
      <w:r>
        <w:rPr>
          <w:color w:val="auto"/>
        </w:rPr>
        <w:fldChar w:fldCharType="begin"/>
      </w:r>
      <w:r>
        <w:rPr>
          <w:color w:val="auto"/>
        </w:rPr>
        <w:instrText xml:space="preserve"> PAGEREF _Toc20713 \h </w:instrText>
      </w:r>
      <w:r>
        <w:rPr>
          <w:color w:val="auto"/>
        </w:rPr>
        <w:fldChar w:fldCharType="separate"/>
      </w:r>
      <w:r>
        <w:rPr>
          <w:color w:val="auto"/>
        </w:rPr>
        <w:t>33</w:t>
      </w:r>
      <w:r>
        <w:rPr>
          <w:color w:val="auto"/>
        </w:rPr>
        <w:fldChar w:fldCharType="end"/>
      </w:r>
      <w:r>
        <w:rPr>
          <w:color w:val="auto"/>
        </w:rPr>
        <w:fldChar w:fldCharType="end"/>
      </w:r>
    </w:p>
    <w:p w14:paraId="29D1A45F">
      <w:pPr>
        <w:pStyle w:val="22"/>
        <w:tabs>
          <w:tab w:val="right" w:leader="dot" w:pos="8730"/>
        </w:tabs>
        <w:ind w:left="960"/>
        <w:rPr>
          <w:color w:val="auto"/>
        </w:rPr>
      </w:pPr>
      <w:r>
        <w:fldChar w:fldCharType="begin"/>
      </w:r>
      <w:r>
        <w:instrText xml:space="preserve"> HYPERLINK \l "_Toc13088" </w:instrText>
      </w:r>
      <w:r>
        <w:fldChar w:fldCharType="separate"/>
      </w:r>
      <w:r>
        <w:rPr>
          <w:rFonts w:eastAsia="黑体"/>
          <w:color w:val="auto"/>
          <w:kern w:val="2"/>
          <w:szCs w:val="20"/>
          <w:lang w:eastAsia="zh-CN" w:bidi="ar-SA"/>
        </w:rPr>
        <w:t>2.1 招标文件的组成</w:t>
      </w:r>
      <w:r>
        <w:rPr>
          <w:color w:val="auto"/>
        </w:rPr>
        <w:tab/>
      </w:r>
      <w:r>
        <w:rPr>
          <w:color w:val="auto"/>
        </w:rPr>
        <w:fldChar w:fldCharType="begin"/>
      </w:r>
      <w:r>
        <w:rPr>
          <w:color w:val="auto"/>
        </w:rPr>
        <w:instrText xml:space="preserve"> PAGEREF _Toc13088 \h </w:instrText>
      </w:r>
      <w:r>
        <w:rPr>
          <w:color w:val="auto"/>
        </w:rPr>
        <w:fldChar w:fldCharType="separate"/>
      </w:r>
      <w:r>
        <w:rPr>
          <w:color w:val="auto"/>
        </w:rPr>
        <w:t>33</w:t>
      </w:r>
      <w:r>
        <w:rPr>
          <w:color w:val="auto"/>
        </w:rPr>
        <w:fldChar w:fldCharType="end"/>
      </w:r>
      <w:r>
        <w:rPr>
          <w:color w:val="auto"/>
        </w:rPr>
        <w:fldChar w:fldCharType="end"/>
      </w:r>
    </w:p>
    <w:p w14:paraId="6A9B899B">
      <w:pPr>
        <w:pStyle w:val="22"/>
        <w:tabs>
          <w:tab w:val="right" w:leader="dot" w:pos="8730"/>
        </w:tabs>
        <w:ind w:left="960"/>
        <w:rPr>
          <w:color w:val="auto"/>
        </w:rPr>
      </w:pPr>
      <w:r>
        <w:fldChar w:fldCharType="begin"/>
      </w:r>
      <w:r>
        <w:instrText xml:space="preserve"> HYPERLINK \l "_Toc27657" </w:instrText>
      </w:r>
      <w:r>
        <w:fldChar w:fldCharType="separate"/>
      </w:r>
      <w:r>
        <w:rPr>
          <w:rFonts w:eastAsia="黑体"/>
          <w:color w:val="auto"/>
          <w:kern w:val="2"/>
          <w:szCs w:val="20"/>
          <w:lang w:eastAsia="zh-CN" w:bidi="ar-SA"/>
        </w:rPr>
        <w:t>2.2 招标文件的澄清</w:t>
      </w:r>
      <w:r>
        <w:rPr>
          <w:color w:val="auto"/>
        </w:rPr>
        <w:tab/>
      </w:r>
      <w:r>
        <w:rPr>
          <w:color w:val="auto"/>
        </w:rPr>
        <w:fldChar w:fldCharType="begin"/>
      </w:r>
      <w:r>
        <w:rPr>
          <w:color w:val="auto"/>
        </w:rPr>
        <w:instrText xml:space="preserve"> PAGEREF _Toc27657 \h </w:instrText>
      </w:r>
      <w:r>
        <w:rPr>
          <w:color w:val="auto"/>
        </w:rPr>
        <w:fldChar w:fldCharType="separate"/>
      </w:r>
      <w:r>
        <w:rPr>
          <w:color w:val="auto"/>
        </w:rPr>
        <w:t>33</w:t>
      </w:r>
      <w:r>
        <w:rPr>
          <w:color w:val="auto"/>
        </w:rPr>
        <w:fldChar w:fldCharType="end"/>
      </w:r>
      <w:r>
        <w:rPr>
          <w:color w:val="auto"/>
        </w:rPr>
        <w:fldChar w:fldCharType="end"/>
      </w:r>
    </w:p>
    <w:p w14:paraId="6BFAE8E1">
      <w:pPr>
        <w:pStyle w:val="22"/>
        <w:tabs>
          <w:tab w:val="right" w:leader="dot" w:pos="8730"/>
        </w:tabs>
        <w:ind w:left="960"/>
        <w:rPr>
          <w:color w:val="auto"/>
        </w:rPr>
      </w:pPr>
      <w:r>
        <w:fldChar w:fldCharType="begin"/>
      </w:r>
      <w:r>
        <w:instrText xml:space="preserve"> HYPERLINK \l "_Toc27918" </w:instrText>
      </w:r>
      <w:r>
        <w:fldChar w:fldCharType="separate"/>
      </w:r>
      <w:r>
        <w:rPr>
          <w:rFonts w:eastAsia="黑体"/>
          <w:color w:val="auto"/>
          <w:kern w:val="2"/>
          <w:szCs w:val="20"/>
          <w:lang w:eastAsia="zh-CN" w:bidi="ar-SA"/>
        </w:rPr>
        <w:t>2.3 招标文件的修改</w:t>
      </w:r>
      <w:r>
        <w:rPr>
          <w:color w:val="auto"/>
        </w:rPr>
        <w:tab/>
      </w:r>
      <w:r>
        <w:rPr>
          <w:color w:val="auto"/>
        </w:rPr>
        <w:fldChar w:fldCharType="begin"/>
      </w:r>
      <w:r>
        <w:rPr>
          <w:color w:val="auto"/>
        </w:rPr>
        <w:instrText xml:space="preserve"> PAGEREF _Toc27918 \h </w:instrText>
      </w:r>
      <w:r>
        <w:rPr>
          <w:color w:val="auto"/>
        </w:rPr>
        <w:fldChar w:fldCharType="separate"/>
      </w:r>
      <w:r>
        <w:rPr>
          <w:color w:val="auto"/>
        </w:rPr>
        <w:t>33</w:t>
      </w:r>
      <w:r>
        <w:rPr>
          <w:color w:val="auto"/>
        </w:rPr>
        <w:fldChar w:fldCharType="end"/>
      </w:r>
      <w:r>
        <w:rPr>
          <w:color w:val="auto"/>
        </w:rPr>
        <w:fldChar w:fldCharType="end"/>
      </w:r>
    </w:p>
    <w:p w14:paraId="13C4FD52">
      <w:pPr>
        <w:pStyle w:val="22"/>
        <w:tabs>
          <w:tab w:val="right" w:leader="dot" w:pos="8730"/>
        </w:tabs>
        <w:ind w:left="960"/>
        <w:rPr>
          <w:color w:val="auto"/>
        </w:rPr>
      </w:pPr>
      <w:r>
        <w:fldChar w:fldCharType="begin"/>
      </w:r>
      <w:r>
        <w:instrText xml:space="preserve"> HYPERLINK \l "_Toc18287" </w:instrText>
      </w:r>
      <w:r>
        <w:fldChar w:fldCharType="separate"/>
      </w:r>
      <w:r>
        <w:rPr>
          <w:rFonts w:eastAsia="黑体"/>
          <w:color w:val="auto"/>
          <w:kern w:val="2"/>
          <w:szCs w:val="20"/>
          <w:lang w:eastAsia="zh-CN" w:bidi="ar-SA"/>
        </w:rPr>
        <w:t>2.4 招标文件的异议</w:t>
      </w:r>
      <w:r>
        <w:rPr>
          <w:color w:val="auto"/>
        </w:rPr>
        <w:tab/>
      </w:r>
      <w:r>
        <w:rPr>
          <w:color w:val="auto"/>
        </w:rPr>
        <w:fldChar w:fldCharType="begin"/>
      </w:r>
      <w:r>
        <w:rPr>
          <w:color w:val="auto"/>
        </w:rPr>
        <w:instrText xml:space="preserve"> PAGEREF _Toc18287 \h </w:instrText>
      </w:r>
      <w:r>
        <w:rPr>
          <w:color w:val="auto"/>
        </w:rPr>
        <w:fldChar w:fldCharType="separate"/>
      </w:r>
      <w:r>
        <w:rPr>
          <w:color w:val="auto"/>
        </w:rPr>
        <w:t>34</w:t>
      </w:r>
      <w:r>
        <w:rPr>
          <w:color w:val="auto"/>
        </w:rPr>
        <w:fldChar w:fldCharType="end"/>
      </w:r>
      <w:r>
        <w:rPr>
          <w:color w:val="auto"/>
        </w:rPr>
        <w:fldChar w:fldCharType="end"/>
      </w:r>
    </w:p>
    <w:p w14:paraId="0736F6C1">
      <w:pPr>
        <w:pStyle w:val="37"/>
        <w:tabs>
          <w:tab w:val="right" w:leader="dot" w:pos="8730"/>
        </w:tabs>
        <w:ind w:left="480"/>
        <w:rPr>
          <w:color w:val="auto"/>
        </w:rPr>
      </w:pPr>
      <w:r>
        <w:fldChar w:fldCharType="begin"/>
      </w:r>
      <w:r>
        <w:instrText xml:space="preserve"> HYPERLINK \l "_Toc15857" </w:instrText>
      </w:r>
      <w:r>
        <w:fldChar w:fldCharType="separate"/>
      </w:r>
      <w:r>
        <w:rPr>
          <w:rFonts w:eastAsia="黑体"/>
          <w:color w:val="auto"/>
          <w:kern w:val="2"/>
          <w:szCs w:val="20"/>
          <w:lang w:eastAsia="zh-CN" w:bidi="ar-SA"/>
        </w:rPr>
        <w:t>3. 投标文件</w:t>
      </w:r>
      <w:r>
        <w:rPr>
          <w:color w:val="auto"/>
        </w:rPr>
        <w:tab/>
      </w:r>
      <w:r>
        <w:rPr>
          <w:color w:val="auto"/>
        </w:rPr>
        <w:fldChar w:fldCharType="begin"/>
      </w:r>
      <w:r>
        <w:rPr>
          <w:color w:val="auto"/>
        </w:rPr>
        <w:instrText xml:space="preserve"> PAGEREF _Toc15857 \h </w:instrText>
      </w:r>
      <w:r>
        <w:rPr>
          <w:color w:val="auto"/>
        </w:rPr>
        <w:fldChar w:fldCharType="separate"/>
      </w:r>
      <w:r>
        <w:rPr>
          <w:color w:val="auto"/>
        </w:rPr>
        <w:t>34</w:t>
      </w:r>
      <w:r>
        <w:rPr>
          <w:color w:val="auto"/>
        </w:rPr>
        <w:fldChar w:fldCharType="end"/>
      </w:r>
      <w:r>
        <w:rPr>
          <w:color w:val="auto"/>
        </w:rPr>
        <w:fldChar w:fldCharType="end"/>
      </w:r>
    </w:p>
    <w:p w14:paraId="62A4F3EC">
      <w:pPr>
        <w:pStyle w:val="22"/>
        <w:tabs>
          <w:tab w:val="right" w:leader="dot" w:pos="8730"/>
        </w:tabs>
        <w:ind w:left="960"/>
        <w:rPr>
          <w:color w:val="auto"/>
        </w:rPr>
      </w:pPr>
      <w:r>
        <w:fldChar w:fldCharType="begin"/>
      </w:r>
      <w:r>
        <w:instrText xml:space="preserve"> HYPERLINK \l "_Toc12207" </w:instrText>
      </w:r>
      <w:r>
        <w:fldChar w:fldCharType="separate"/>
      </w:r>
      <w:r>
        <w:rPr>
          <w:rFonts w:eastAsia="黑体"/>
          <w:color w:val="auto"/>
          <w:kern w:val="2"/>
          <w:szCs w:val="20"/>
          <w:lang w:eastAsia="zh-CN" w:bidi="ar-SA"/>
        </w:rPr>
        <w:t>3.1 投标文件的组成</w:t>
      </w:r>
      <w:r>
        <w:rPr>
          <w:color w:val="auto"/>
        </w:rPr>
        <w:tab/>
      </w:r>
      <w:r>
        <w:rPr>
          <w:color w:val="auto"/>
        </w:rPr>
        <w:fldChar w:fldCharType="begin"/>
      </w:r>
      <w:r>
        <w:rPr>
          <w:color w:val="auto"/>
        </w:rPr>
        <w:instrText xml:space="preserve"> PAGEREF _Toc12207 \h </w:instrText>
      </w:r>
      <w:r>
        <w:rPr>
          <w:color w:val="auto"/>
        </w:rPr>
        <w:fldChar w:fldCharType="separate"/>
      </w:r>
      <w:r>
        <w:rPr>
          <w:color w:val="auto"/>
        </w:rPr>
        <w:t>34</w:t>
      </w:r>
      <w:r>
        <w:rPr>
          <w:color w:val="auto"/>
        </w:rPr>
        <w:fldChar w:fldCharType="end"/>
      </w:r>
      <w:r>
        <w:rPr>
          <w:color w:val="auto"/>
        </w:rPr>
        <w:fldChar w:fldCharType="end"/>
      </w:r>
    </w:p>
    <w:p w14:paraId="6D2E8C35">
      <w:pPr>
        <w:pStyle w:val="22"/>
        <w:tabs>
          <w:tab w:val="right" w:leader="dot" w:pos="8730"/>
        </w:tabs>
        <w:ind w:left="960"/>
        <w:rPr>
          <w:color w:val="auto"/>
        </w:rPr>
      </w:pPr>
      <w:r>
        <w:fldChar w:fldCharType="begin"/>
      </w:r>
      <w:r>
        <w:instrText xml:space="preserve"> HYPERLINK \l "_Toc26645" </w:instrText>
      </w:r>
      <w:r>
        <w:fldChar w:fldCharType="separate"/>
      </w:r>
      <w:r>
        <w:rPr>
          <w:rFonts w:eastAsia="黑体"/>
          <w:color w:val="auto"/>
          <w:kern w:val="2"/>
          <w:szCs w:val="20"/>
          <w:lang w:eastAsia="zh-CN" w:bidi="ar-SA"/>
        </w:rPr>
        <w:t>3.2 投标报价</w:t>
      </w:r>
      <w:r>
        <w:rPr>
          <w:color w:val="auto"/>
        </w:rPr>
        <w:tab/>
      </w:r>
      <w:r>
        <w:rPr>
          <w:color w:val="auto"/>
        </w:rPr>
        <w:fldChar w:fldCharType="begin"/>
      </w:r>
      <w:r>
        <w:rPr>
          <w:color w:val="auto"/>
        </w:rPr>
        <w:instrText xml:space="preserve"> PAGEREF _Toc26645 \h </w:instrText>
      </w:r>
      <w:r>
        <w:rPr>
          <w:color w:val="auto"/>
        </w:rPr>
        <w:fldChar w:fldCharType="separate"/>
      </w:r>
      <w:r>
        <w:rPr>
          <w:color w:val="auto"/>
        </w:rPr>
        <w:t>34</w:t>
      </w:r>
      <w:r>
        <w:rPr>
          <w:color w:val="auto"/>
        </w:rPr>
        <w:fldChar w:fldCharType="end"/>
      </w:r>
      <w:r>
        <w:rPr>
          <w:color w:val="auto"/>
        </w:rPr>
        <w:fldChar w:fldCharType="end"/>
      </w:r>
    </w:p>
    <w:p w14:paraId="2DC5C78A">
      <w:pPr>
        <w:pStyle w:val="22"/>
        <w:tabs>
          <w:tab w:val="right" w:leader="dot" w:pos="8730"/>
        </w:tabs>
        <w:ind w:left="960"/>
        <w:rPr>
          <w:color w:val="auto"/>
        </w:rPr>
      </w:pPr>
      <w:r>
        <w:fldChar w:fldCharType="begin"/>
      </w:r>
      <w:r>
        <w:instrText xml:space="preserve"> HYPERLINK \l "_Toc11693" </w:instrText>
      </w:r>
      <w:r>
        <w:fldChar w:fldCharType="separate"/>
      </w:r>
      <w:r>
        <w:rPr>
          <w:rFonts w:eastAsia="黑体"/>
          <w:color w:val="auto"/>
          <w:kern w:val="2"/>
          <w:szCs w:val="20"/>
          <w:lang w:eastAsia="zh-CN" w:bidi="ar-SA"/>
        </w:rPr>
        <w:t>3.3 投标有效期</w:t>
      </w:r>
      <w:r>
        <w:rPr>
          <w:color w:val="auto"/>
        </w:rPr>
        <w:tab/>
      </w:r>
      <w:r>
        <w:rPr>
          <w:color w:val="auto"/>
        </w:rPr>
        <w:fldChar w:fldCharType="begin"/>
      </w:r>
      <w:r>
        <w:rPr>
          <w:color w:val="auto"/>
        </w:rPr>
        <w:instrText xml:space="preserve"> PAGEREF _Toc11693 \h </w:instrText>
      </w:r>
      <w:r>
        <w:rPr>
          <w:color w:val="auto"/>
        </w:rPr>
        <w:fldChar w:fldCharType="separate"/>
      </w:r>
      <w:r>
        <w:rPr>
          <w:color w:val="auto"/>
        </w:rPr>
        <w:t>35</w:t>
      </w:r>
      <w:r>
        <w:rPr>
          <w:color w:val="auto"/>
        </w:rPr>
        <w:fldChar w:fldCharType="end"/>
      </w:r>
      <w:r>
        <w:rPr>
          <w:color w:val="auto"/>
        </w:rPr>
        <w:fldChar w:fldCharType="end"/>
      </w:r>
    </w:p>
    <w:p w14:paraId="1784BD65">
      <w:pPr>
        <w:pStyle w:val="22"/>
        <w:tabs>
          <w:tab w:val="right" w:leader="dot" w:pos="8730"/>
        </w:tabs>
        <w:ind w:left="960"/>
        <w:rPr>
          <w:color w:val="auto"/>
        </w:rPr>
      </w:pPr>
      <w:r>
        <w:fldChar w:fldCharType="begin"/>
      </w:r>
      <w:r>
        <w:instrText xml:space="preserve"> HYPERLINK \l "_Toc2425" </w:instrText>
      </w:r>
      <w:r>
        <w:fldChar w:fldCharType="separate"/>
      </w:r>
      <w:r>
        <w:rPr>
          <w:rFonts w:eastAsia="黑体"/>
          <w:color w:val="auto"/>
          <w:kern w:val="2"/>
          <w:szCs w:val="20"/>
          <w:lang w:eastAsia="zh-CN" w:bidi="ar-SA"/>
        </w:rPr>
        <w:t>3.4 投标保证金</w:t>
      </w:r>
      <w:r>
        <w:rPr>
          <w:color w:val="auto"/>
        </w:rPr>
        <w:tab/>
      </w:r>
      <w:r>
        <w:rPr>
          <w:color w:val="auto"/>
        </w:rPr>
        <w:fldChar w:fldCharType="begin"/>
      </w:r>
      <w:r>
        <w:rPr>
          <w:color w:val="auto"/>
        </w:rPr>
        <w:instrText xml:space="preserve"> PAGEREF _Toc2425 \h </w:instrText>
      </w:r>
      <w:r>
        <w:rPr>
          <w:color w:val="auto"/>
        </w:rPr>
        <w:fldChar w:fldCharType="separate"/>
      </w:r>
      <w:r>
        <w:rPr>
          <w:color w:val="auto"/>
        </w:rPr>
        <w:t>35</w:t>
      </w:r>
      <w:r>
        <w:rPr>
          <w:color w:val="auto"/>
        </w:rPr>
        <w:fldChar w:fldCharType="end"/>
      </w:r>
      <w:r>
        <w:rPr>
          <w:color w:val="auto"/>
        </w:rPr>
        <w:fldChar w:fldCharType="end"/>
      </w:r>
    </w:p>
    <w:p w14:paraId="5A629160">
      <w:pPr>
        <w:pStyle w:val="22"/>
        <w:tabs>
          <w:tab w:val="right" w:leader="dot" w:pos="8730"/>
        </w:tabs>
        <w:ind w:left="960"/>
        <w:rPr>
          <w:color w:val="auto"/>
        </w:rPr>
      </w:pPr>
      <w:r>
        <w:fldChar w:fldCharType="begin"/>
      </w:r>
      <w:r>
        <w:instrText xml:space="preserve"> HYPERLINK \l "_Toc17804" </w:instrText>
      </w:r>
      <w:r>
        <w:fldChar w:fldCharType="separate"/>
      </w:r>
      <w:r>
        <w:rPr>
          <w:rFonts w:eastAsia="黑体"/>
          <w:color w:val="auto"/>
          <w:kern w:val="2"/>
          <w:szCs w:val="20"/>
          <w:lang w:eastAsia="zh-CN" w:bidi="ar-SA"/>
        </w:rPr>
        <w:t>3.5 资格审查资料（适用于已进行资格预审的）</w:t>
      </w:r>
      <w:r>
        <w:rPr>
          <w:color w:val="auto"/>
        </w:rPr>
        <w:tab/>
      </w:r>
      <w:r>
        <w:rPr>
          <w:color w:val="auto"/>
        </w:rPr>
        <w:fldChar w:fldCharType="begin"/>
      </w:r>
      <w:r>
        <w:rPr>
          <w:color w:val="auto"/>
        </w:rPr>
        <w:instrText xml:space="preserve"> PAGEREF _Toc17804 \h </w:instrText>
      </w:r>
      <w:r>
        <w:rPr>
          <w:color w:val="auto"/>
        </w:rPr>
        <w:fldChar w:fldCharType="separate"/>
      </w:r>
      <w:r>
        <w:rPr>
          <w:color w:val="auto"/>
        </w:rPr>
        <w:t>35</w:t>
      </w:r>
      <w:r>
        <w:rPr>
          <w:color w:val="auto"/>
        </w:rPr>
        <w:fldChar w:fldCharType="end"/>
      </w:r>
      <w:r>
        <w:rPr>
          <w:color w:val="auto"/>
        </w:rPr>
        <w:fldChar w:fldCharType="end"/>
      </w:r>
    </w:p>
    <w:p w14:paraId="126FE6DF">
      <w:pPr>
        <w:pStyle w:val="22"/>
        <w:tabs>
          <w:tab w:val="right" w:leader="dot" w:pos="8730"/>
        </w:tabs>
        <w:ind w:left="960"/>
        <w:rPr>
          <w:color w:val="auto"/>
        </w:rPr>
      </w:pPr>
      <w:r>
        <w:fldChar w:fldCharType="begin"/>
      </w:r>
      <w:r>
        <w:instrText xml:space="preserve"> HYPERLINK \l "_Toc25441" </w:instrText>
      </w:r>
      <w:r>
        <w:fldChar w:fldCharType="separate"/>
      </w:r>
      <w:r>
        <w:rPr>
          <w:rFonts w:eastAsia="黑体"/>
          <w:color w:val="auto"/>
          <w:kern w:val="2"/>
          <w:szCs w:val="20"/>
          <w:lang w:eastAsia="zh-CN" w:bidi="ar-SA"/>
        </w:rPr>
        <w:t>3.5 资格审查资料（适用于未进行资格预审的）</w:t>
      </w:r>
      <w:r>
        <w:rPr>
          <w:color w:val="auto"/>
        </w:rPr>
        <w:tab/>
      </w:r>
      <w:r>
        <w:rPr>
          <w:color w:val="auto"/>
        </w:rPr>
        <w:fldChar w:fldCharType="begin"/>
      </w:r>
      <w:r>
        <w:rPr>
          <w:color w:val="auto"/>
        </w:rPr>
        <w:instrText xml:space="preserve"> PAGEREF _Toc25441 \h </w:instrText>
      </w:r>
      <w:r>
        <w:rPr>
          <w:color w:val="auto"/>
        </w:rPr>
        <w:fldChar w:fldCharType="separate"/>
      </w:r>
      <w:r>
        <w:rPr>
          <w:color w:val="auto"/>
        </w:rPr>
        <w:t>36</w:t>
      </w:r>
      <w:r>
        <w:rPr>
          <w:color w:val="auto"/>
        </w:rPr>
        <w:fldChar w:fldCharType="end"/>
      </w:r>
      <w:r>
        <w:rPr>
          <w:color w:val="auto"/>
        </w:rPr>
        <w:fldChar w:fldCharType="end"/>
      </w:r>
    </w:p>
    <w:p w14:paraId="69F8A811">
      <w:pPr>
        <w:pStyle w:val="22"/>
        <w:tabs>
          <w:tab w:val="right" w:leader="dot" w:pos="8730"/>
        </w:tabs>
        <w:ind w:left="960"/>
        <w:rPr>
          <w:color w:val="auto"/>
        </w:rPr>
      </w:pPr>
      <w:r>
        <w:fldChar w:fldCharType="begin"/>
      </w:r>
      <w:r>
        <w:instrText xml:space="preserve"> HYPERLINK \l "_Toc4706" </w:instrText>
      </w:r>
      <w:r>
        <w:fldChar w:fldCharType="separate"/>
      </w:r>
      <w:r>
        <w:rPr>
          <w:rFonts w:eastAsia="黑体"/>
          <w:color w:val="auto"/>
          <w:kern w:val="2"/>
          <w:szCs w:val="20"/>
          <w:lang w:eastAsia="zh-CN" w:bidi="ar-SA"/>
        </w:rPr>
        <w:t>3.6 备选投标方案</w:t>
      </w:r>
      <w:r>
        <w:rPr>
          <w:color w:val="auto"/>
        </w:rPr>
        <w:tab/>
      </w:r>
      <w:r>
        <w:rPr>
          <w:color w:val="auto"/>
        </w:rPr>
        <w:fldChar w:fldCharType="begin"/>
      </w:r>
      <w:r>
        <w:rPr>
          <w:color w:val="auto"/>
        </w:rPr>
        <w:instrText xml:space="preserve"> PAGEREF _Toc4706 \h </w:instrText>
      </w:r>
      <w:r>
        <w:rPr>
          <w:color w:val="auto"/>
        </w:rPr>
        <w:fldChar w:fldCharType="separate"/>
      </w:r>
      <w:r>
        <w:rPr>
          <w:color w:val="auto"/>
        </w:rPr>
        <w:t>36</w:t>
      </w:r>
      <w:r>
        <w:rPr>
          <w:color w:val="auto"/>
        </w:rPr>
        <w:fldChar w:fldCharType="end"/>
      </w:r>
      <w:r>
        <w:rPr>
          <w:color w:val="auto"/>
        </w:rPr>
        <w:fldChar w:fldCharType="end"/>
      </w:r>
    </w:p>
    <w:p w14:paraId="035470B7">
      <w:pPr>
        <w:pStyle w:val="22"/>
        <w:tabs>
          <w:tab w:val="right" w:leader="dot" w:pos="8730"/>
        </w:tabs>
        <w:ind w:left="960"/>
        <w:rPr>
          <w:color w:val="auto"/>
        </w:rPr>
      </w:pPr>
      <w:r>
        <w:fldChar w:fldCharType="begin"/>
      </w:r>
      <w:r>
        <w:instrText xml:space="preserve"> HYPERLINK \l "_Toc12240" </w:instrText>
      </w:r>
      <w:r>
        <w:fldChar w:fldCharType="separate"/>
      </w:r>
      <w:r>
        <w:rPr>
          <w:rFonts w:eastAsia="黑体"/>
          <w:color w:val="auto"/>
          <w:kern w:val="2"/>
          <w:szCs w:val="20"/>
          <w:lang w:eastAsia="zh-CN" w:bidi="ar-SA"/>
        </w:rPr>
        <w:t>3.7 投标文件的编制</w:t>
      </w:r>
      <w:r>
        <w:rPr>
          <w:color w:val="auto"/>
        </w:rPr>
        <w:tab/>
      </w:r>
      <w:r>
        <w:rPr>
          <w:color w:val="auto"/>
        </w:rPr>
        <w:fldChar w:fldCharType="begin"/>
      </w:r>
      <w:r>
        <w:rPr>
          <w:color w:val="auto"/>
        </w:rPr>
        <w:instrText xml:space="preserve"> PAGEREF _Toc12240 \h </w:instrText>
      </w:r>
      <w:r>
        <w:rPr>
          <w:color w:val="auto"/>
        </w:rPr>
        <w:fldChar w:fldCharType="separate"/>
      </w:r>
      <w:r>
        <w:rPr>
          <w:color w:val="auto"/>
        </w:rPr>
        <w:t>37</w:t>
      </w:r>
      <w:r>
        <w:rPr>
          <w:color w:val="auto"/>
        </w:rPr>
        <w:fldChar w:fldCharType="end"/>
      </w:r>
      <w:r>
        <w:rPr>
          <w:color w:val="auto"/>
        </w:rPr>
        <w:fldChar w:fldCharType="end"/>
      </w:r>
    </w:p>
    <w:p w14:paraId="5974DC78">
      <w:pPr>
        <w:pStyle w:val="37"/>
        <w:tabs>
          <w:tab w:val="right" w:leader="dot" w:pos="8730"/>
        </w:tabs>
        <w:ind w:left="480"/>
        <w:rPr>
          <w:color w:val="auto"/>
        </w:rPr>
      </w:pPr>
      <w:r>
        <w:fldChar w:fldCharType="begin"/>
      </w:r>
      <w:r>
        <w:instrText xml:space="preserve"> HYPERLINK \l "_Toc19559" </w:instrText>
      </w:r>
      <w:r>
        <w:fldChar w:fldCharType="separate"/>
      </w:r>
      <w:r>
        <w:rPr>
          <w:rFonts w:eastAsia="黑体"/>
          <w:color w:val="auto"/>
          <w:kern w:val="2"/>
          <w:szCs w:val="20"/>
          <w:lang w:eastAsia="zh-CN" w:bidi="ar-SA"/>
        </w:rPr>
        <w:t>4. 投标</w:t>
      </w:r>
      <w:r>
        <w:rPr>
          <w:color w:val="auto"/>
        </w:rPr>
        <w:tab/>
      </w:r>
      <w:r>
        <w:rPr>
          <w:color w:val="auto"/>
        </w:rPr>
        <w:fldChar w:fldCharType="begin"/>
      </w:r>
      <w:r>
        <w:rPr>
          <w:color w:val="auto"/>
        </w:rPr>
        <w:instrText xml:space="preserve"> PAGEREF _Toc19559 \h </w:instrText>
      </w:r>
      <w:r>
        <w:rPr>
          <w:color w:val="auto"/>
        </w:rPr>
        <w:fldChar w:fldCharType="separate"/>
      </w:r>
      <w:r>
        <w:rPr>
          <w:color w:val="auto"/>
        </w:rPr>
        <w:t>37</w:t>
      </w:r>
      <w:r>
        <w:rPr>
          <w:color w:val="auto"/>
        </w:rPr>
        <w:fldChar w:fldCharType="end"/>
      </w:r>
      <w:r>
        <w:rPr>
          <w:color w:val="auto"/>
        </w:rPr>
        <w:fldChar w:fldCharType="end"/>
      </w:r>
    </w:p>
    <w:p w14:paraId="733AC614">
      <w:pPr>
        <w:pStyle w:val="22"/>
        <w:tabs>
          <w:tab w:val="right" w:leader="dot" w:pos="8730"/>
        </w:tabs>
        <w:ind w:left="960"/>
        <w:rPr>
          <w:color w:val="auto"/>
        </w:rPr>
      </w:pPr>
      <w:r>
        <w:fldChar w:fldCharType="begin"/>
      </w:r>
      <w:r>
        <w:instrText xml:space="preserve"> HYPERLINK \l "_Toc31595" </w:instrText>
      </w:r>
      <w:r>
        <w:fldChar w:fldCharType="separate"/>
      </w:r>
      <w:r>
        <w:rPr>
          <w:rFonts w:eastAsia="黑体"/>
          <w:color w:val="auto"/>
          <w:kern w:val="2"/>
          <w:szCs w:val="20"/>
          <w:lang w:eastAsia="zh-CN" w:bidi="ar-SA"/>
        </w:rPr>
        <w:t>4.1 投标文件的密封和标记</w:t>
      </w:r>
      <w:r>
        <w:rPr>
          <w:color w:val="auto"/>
        </w:rPr>
        <w:tab/>
      </w:r>
      <w:r>
        <w:rPr>
          <w:color w:val="auto"/>
        </w:rPr>
        <w:fldChar w:fldCharType="begin"/>
      </w:r>
      <w:r>
        <w:rPr>
          <w:color w:val="auto"/>
        </w:rPr>
        <w:instrText xml:space="preserve"> PAGEREF _Toc31595 \h </w:instrText>
      </w:r>
      <w:r>
        <w:rPr>
          <w:color w:val="auto"/>
        </w:rPr>
        <w:fldChar w:fldCharType="separate"/>
      </w:r>
      <w:r>
        <w:rPr>
          <w:color w:val="auto"/>
        </w:rPr>
        <w:t>37</w:t>
      </w:r>
      <w:r>
        <w:rPr>
          <w:color w:val="auto"/>
        </w:rPr>
        <w:fldChar w:fldCharType="end"/>
      </w:r>
      <w:r>
        <w:rPr>
          <w:color w:val="auto"/>
        </w:rPr>
        <w:fldChar w:fldCharType="end"/>
      </w:r>
    </w:p>
    <w:p w14:paraId="30CDDFFB">
      <w:pPr>
        <w:pStyle w:val="22"/>
        <w:tabs>
          <w:tab w:val="right" w:leader="dot" w:pos="8730"/>
        </w:tabs>
        <w:ind w:left="960"/>
        <w:rPr>
          <w:color w:val="auto"/>
        </w:rPr>
      </w:pPr>
      <w:r>
        <w:fldChar w:fldCharType="begin"/>
      </w:r>
      <w:r>
        <w:instrText xml:space="preserve"> HYPERLINK \l "_Toc30132" </w:instrText>
      </w:r>
      <w:r>
        <w:fldChar w:fldCharType="separate"/>
      </w:r>
      <w:r>
        <w:rPr>
          <w:rFonts w:eastAsia="黑体"/>
          <w:color w:val="auto"/>
          <w:kern w:val="2"/>
          <w:szCs w:val="20"/>
          <w:lang w:eastAsia="zh-CN" w:bidi="ar-SA"/>
        </w:rPr>
        <w:t>4.2 投标文件的递交</w:t>
      </w:r>
      <w:r>
        <w:rPr>
          <w:color w:val="auto"/>
        </w:rPr>
        <w:tab/>
      </w:r>
      <w:r>
        <w:rPr>
          <w:color w:val="auto"/>
        </w:rPr>
        <w:fldChar w:fldCharType="begin"/>
      </w:r>
      <w:r>
        <w:rPr>
          <w:color w:val="auto"/>
        </w:rPr>
        <w:instrText xml:space="preserve"> PAGEREF _Toc30132 \h </w:instrText>
      </w:r>
      <w:r>
        <w:rPr>
          <w:color w:val="auto"/>
        </w:rPr>
        <w:fldChar w:fldCharType="separate"/>
      </w:r>
      <w:r>
        <w:rPr>
          <w:color w:val="auto"/>
        </w:rPr>
        <w:t>37</w:t>
      </w:r>
      <w:r>
        <w:rPr>
          <w:color w:val="auto"/>
        </w:rPr>
        <w:fldChar w:fldCharType="end"/>
      </w:r>
      <w:r>
        <w:rPr>
          <w:color w:val="auto"/>
        </w:rPr>
        <w:fldChar w:fldCharType="end"/>
      </w:r>
    </w:p>
    <w:p w14:paraId="65167D9E">
      <w:pPr>
        <w:pStyle w:val="22"/>
        <w:tabs>
          <w:tab w:val="right" w:leader="dot" w:pos="8730"/>
        </w:tabs>
        <w:ind w:left="960"/>
        <w:rPr>
          <w:color w:val="auto"/>
        </w:rPr>
      </w:pPr>
      <w:r>
        <w:fldChar w:fldCharType="begin"/>
      </w:r>
      <w:r>
        <w:instrText xml:space="preserve"> HYPERLINK \l "_Toc28624" </w:instrText>
      </w:r>
      <w:r>
        <w:fldChar w:fldCharType="separate"/>
      </w:r>
      <w:r>
        <w:rPr>
          <w:rFonts w:eastAsia="黑体"/>
          <w:color w:val="auto"/>
          <w:kern w:val="2"/>
          <w:szCs w:val="20"/>
          <w:lang w:eastAsia="zh-CN" w:bidi="ar-SA"/>
        </w:rPr>
        <w:t>4.3 投标文件的修改与撤回</w:t>
      </w:r>
      <w:r>
        <w:rPr>
          <w:color w:val="auto"/>
        </w:rPr>
        <w:tab/>
      </w:r>
      <w:r>
        <w:rPr>
          <w:color w:val="auto"/>
        </w:rPr>
        <w:fldChar w:fldCharType="begin"/>
      </w:r>
      <w:r>
        <w:rPr>
          <w:color w:val="auto"/>
        </w:rPr>
        <w:instrText xml:space="preserve"> PAGEREF _Toc28624 \h </w:instrText>
      </w:r>
      <w:r>
        <w:rPr>
          <w:color w:val="auto"/>
        </w:rPr>
        <w:fldChar w:fldCharType="separate"/>
      </w:r>
      <w:r>
        <w:rPr>
          <w:color w:val="auto"/>
        </w:rPr>
        <w:t>38</w:t>
      </w:r>
      <w:r>
        <w:rPr>
          <w:color w:val="auto"/>
        </w:rPr>
        <w:fldChar w:fldCharType="end"/>
      </w:r>
      <w:r>
        <w:rPr>
          <w:color w:val="auto"/>
        </w:rPr>
        <w:fldChar w:fldCharType="end"/>
      </w:r>
    </w:p>
    <w:p w14:paraId="2ADE03A5">
      <w:pPr>
        <w:pStyle w:val="37"/>
        <w:tabs>
          <w:tab w:val="right" w:leader="dot" w:pos="8730"/>
        </w:tabs>
        <w:ind w:left="480"/>
        <w:rPr>
          <w:color w:val="auto"/>
        </w:rPr>
      </w:pPr>
      <w:r>
        <w:fldChar w:fldCharType="begin"/>
      </w:r>
      <w:r>
        <w:instrText xml:space="preserve"> HYPERLINK \l "_Toc2502" </w:instrText>
      </w:r>
      <w:r>
        <w:fldChar w:fldCharType="separate"/>
      </w:r>
      <w:r>
        <w:rPr>
          <w:rFonts w:eastAsia="黑体"/>
          <w:color w:val="auto"/>
          <w:kern w:val="2"/>
          <w:szCs w:val="20"/>
          <w:lang w:eastAsia="zh-CN" w:bidi="ar-SA"/>
        </w:rPr>
        <w:t>5. 开标</w:t>
      </w:r>
      <w:r>
        <w:rPr>
          <w:color w:val="auto"/>
        </w:rPr>
        <w:tab/>
      </w:r>
      <w:r>
        <w:rPr>
          <w:color w:val="auto"/>
        </w:rPr>
        <w:fldChar w:fldCharType="begin"/>
      </w:r>
      <w:r>
        <w:rPr>
          <w:color w:val="auto"/>
        </w:rPr>
        <w:instrText xml:space="preserve"> PAGEREF _Toc2502 \h </w:instrText>
      </w:r>
      <w:r>
        <w:rPr>
          <w:color w:val="auto"/>
        </w:rPr>
        <w:fldChar w:fldCharType="separate"/>
      </w:r>
      <w:r>
        <w:rPr>
          <w:color w:val="auto"/>
        </w:rPr>
        <w:t>38</w:t>
      </w:r>
      <w:r>
        <w:rPr>
          <w:color w:val="auto"/>
        </w:rPr>
        <w:fldChar w:fldCharType="end"/>
      </w:r>
      <w:r>
        <w:rPr>
          <w:color w:val="auto"/>
        </w:rPr>
        <w:fldChar w:fldCharType="end"/>
      </w:r>
    </w:p>
    <w:p w14:paraId="223EA457">
      <w:pPr>
        <w:pStyle w:val="22"/>
        <w:tabs>
          <w:tab w:val="right" w:leader="dot" w:pos="8730"/>
        </w:tabs>
        <w:ind w:left="960"/>
        <w:rPr>
          <w:color w:val="auto"/>
        </w:rPr>
      </w:pPr>
      <w:r>
        <w:fldChar w:fldCharType="begin"/>
      </w:r>
      <w:r>
        <w:instrText xml:space="preserve"> HYPERLINK \l "_Toc6517" </w:instrText>
      </w:r>
      <w:r>
        <w:fldChar w:fldCharType="separate"/>
      </w:r>
      <w:r>
        <w:rPr>
          <w:rFonts w:eastAsia="黑体"/>
          <w:color w:val="auto"/>
          <w:kern w:val="2"/>
          <w:szCs w:val="20"/>
          <w:lang w:eastAsia="zh-CN" w:bidi="ar-SA"/>
        </w:rPr>
        <w:t>5.1 开标时间和地点（A）</w:t>
      </w:r>
      <w:r>
        <w:rPr>
          <w:color w:val="auto"/>
        </w:rPr>
        <w:tab/>
      </w:r>
      <w:r>
        <w:rPr>
          <w:color w:val="auto"/>
        </w:rPr>
        <w:fldChar w:fldCharType="begin"/>
      </w:r>
      <w:r>
        <w:rPr>
          <w:color w:val="auto"/>
        </w:rPr>
        <w:instrText xml:space="preserve"> PAGEREF _Toc6517 \h </w:instrText>
      </w:r>
      <w:r>
        <w:rPr>
          <w:color w:val="auto"/>
        </w:rPr>
        <w:fldChar w:fldCharType="separate"/>
      </w:r>
      <w:r>
        <w:rPr>
          <w:color w:val="auto"/>
        </w:rPr>
        <w:t>38</w:t>
      </w:r>
      <w:r>
        <w:rPr>
          <w:color w:val="auto"/>
        </w:rPr>
        <w:fldChar w:fldCharType="end"/>
      </w:r>
      <w:r>
        <w:rPr>
          <w:color w:val="auto"/>
        </w:rPr>
        <w:fldChar w:fldCharType="end"/>
      </w:r>
    </w:p>
    <w:p w14:paraId="58335773">
      <w:pPr>
        <w:pStyle w:val="22"/>
        <w:tabs>
          <w:tab w:val="right" w:leader="dot" w:pos="8730"/>
        </w:tabs>
        <w:ind w:left="960"/>
        <w:rPr>
          <w:color w:val="auto"/>
        </w:rPr>
      </w:pPr>
      <w:r>
        <w:fldChar w:fldCharType="begin"/>
      </w:r>
      <w:r>
        <w:instrText xml:space="preserve"> HYPERLINK \l "_Toc11881" </w:instrText>
      </w:r>
      <w:r>
        <w:fldChar w:fldCharType="separate"/>
      </w:r>
      <w:r>
        <w:rPr>
          <w:rFonts w:eastAsia="黑体"/>
          <w:color w:val="auto"/>
          <w:kern w:val="2"/>
          <w:szCs w:val="20"/>
          <w:lang w:eastAsia="zh-CN" w:bidi="ar-SA"/>
        </w:rPr>
        <w:t>5.1 开标时间和地点（B）</w:t>
      </w:r>
      <w:r>
        <w:rPr>
          <w:color w:val="auto"/>
        </w:rPr>
        <w:tab/>
      </w:r>
      <w:r>
        <w:rPr>
          <w:color w:val="auto"/>
        </w:rPr>
        <w:fldChar w:fldCharType="begin"/>
      </w:r>
      <w:r>
        <w:rPr>
          <w:color w:val="auto"/>
        </w:rPr>
        <w:instrText xml:space="preserve"> PAGEREF _Toc11881 \h </w:instrText>
      </w:r>
      <w:r>
        <w:rPr>
          <w:color w:val="auto"/>
        </w:rPr>
        <w:fldChar w:fldCharType="separate"/>
      </w:r>
      <w:r>
        <w:rPr>
          <w:color w:val="auto"/>
        </w:rPr>
        <w:t>38</w:t>
      </w:r>
      <w:r>
        <w:rPr>
          <w:color w:val="auto"/>
        </w:rPr>
        <w:fldChar w:fldCharType="end"/>
      </w:r>
      <w:r>
        <w:rPr>
          <w:color w:val="auto"/>
        </w:rPr>
        <w:fldChar w:fldCharType="end"/>
      </w:r>
    </w:p>
    <w:p w14:paraId="44AEB94F">
      <w:pPr>
        <w:pStyle w:val="22"/>
        <w:tabs>
          <w:tab w:val="right" w:leader="dot" w:pos="8730"/>
        </w:tabs>
        <w:ind w:left="960"/>
        <w:rPr>
          <w:color w:val="auto"/>
        </w:rPr>
      </w:pPr>
      <w:r>
        <w:fldChar w:fldCharType="begin"/>
      </w:r>
      <w:r>
        <w:instrText xml:space="preserve"> HYPERLINK \l "_Toc19832" </w:instrText>
      </w:r>
      <w:r>
        <w:fldChar w:fldCharType="separate"/>
      </w:r>
      <w:r>
        <w:rPr>
          <w:rFonts w:eastAsia="黑体"/>
          <w:color w:val="auto"/>
          <w:kern w:val="2"/>
          <w:szCs w:val="20"/>
          <w:lang w:eastAsia="zh-CN" w:bidi="ar-SA"/>
        </w:rPr>
        <w:t>5.2 开标程序</w:t>
      </w:r>
      <w:r>
        <w:rPr>
          <w:color w:val="auto"/>
        </w:rPr>
        <w:tab/>
      </w:r>
      <w:r>
        <w:rPr>
          <w:color w:val="auto"/>
        </w:rPr>
        <w:fldChar w:fldCharType="begin"/>
      </w:r>
      <w:r>
        <w:rPr>
          <w:color w:val="auto"/>
        </w:rPr>
        <w:instrText xml:space="preserve"> PAGEREF _Toc19832 \h </w:instrText>
      </w:r>
      <w:r>
        <w:rPr>
          <w:color w:val="auto"/>
        </w:rPr>
        <w:fldChar w:fldCharType="separate"/>
      </w:r>
      <w:r>
        <w:rPr>
          <w:color w:val="auto"/>
        </w:rPr>
        <w:t>39</w:t>
      </w:r>
      <w:r>
        <w:rPr>
          <w:color w:val="auto"/>
        </w:rPr>
        <w:fldChar w:fldCharType="end"/>
      </w:r>
      <w:r>
        <w:rPr>
          <w:color w:val="auto"/>
        </w:rPr>
        <w:fldChar w:fldCharType="end"/>
      </w:r>
    </w:p>
    <w:p w14:paraId="7E07E011">
      <w:pPr>
        <w:pStyle w:val="22"/>
        <w:tabs>
          <w:tab w:val="right" w:leader="dot" w:pos="8730"/>
        </w:tabs>
        <w:ind w:left="960"/>
        <w:rPr>
          <w:color w:val="auto"/>
        </w:rPr>
      </w:pPr>
      <w:r>
        <w:fldChar w:fldCharType="begin"/>
      </w:r>
      <w:r>
        <w:instrText xml:space="preserve"> HYPERLINK \l "_Toc6331" </w:instrText>
      </w:r>
      <w:r>
        <w:fldChar w:fldCharType="separate"/>
      </w:r>
      <w:r>
        <w:rPr>
          <w:rFonts w:eastAsia="黑体"/>
          <w:color w:val="auto"/>
          <w:kern w:val="2"/>
          <w:szCs w:val="20"/>
          <w:lang w:eastAsia="zh-CN" w:bidi="ar-SA"/>
        </w:rPr>
        <w:t>5.3 开标异议</w:t>
      </w:r>
      <w:r>
        <w:rPr>
          <w:color w:val="auto"/>
        </w:rPr>
        <w:tab/>
      </w:r>
      <w:r>
        <w:rPr>
          <w:color w:val="auto"/>
        </w:rPr>
        <w:fldChar w:fldCharType="begin"/>
      </w:r>
      <w:r>
        <w:rPr>
          <w:color w:val="auto"/>
        </w:rPr>
        <w:instrText xml:space="preserve"> PAGEREF _Toc6331 \h </w:instrText>
      </w:r>
      <w:r>
        <w:rPr>
          <w:color w:val="auto"/>
        </w:rPr>
        <w:fldChar w:fldCharType="separate"/>
      </w:r>
      <w:r>
        <w:rPr>
          <w:color w:val="auto"/>
        </w:rPr>
        <w:t>39</w:t>
      </w:r>
      <w:r>
        <w:rPr>
          <w:color w:val="auto"/>
        </w:rPr>
        <w:fldChar w:fldCharType="end"/>
      </w:r>
      <w:r>
        <w:rPr>
          <w:color w:val="auto"/>
        </w:rPr>
        <w:fldChar w:fldCharType="end"/>
      </w:r>
    </w:p>
    <w:p w14:paraId="0F2BDA40">
      <w:pPr>
        <w:pStyle w:val="37"/>
        <w:tabs>
          <w:tab w:val="right" w:leader="dot" w:pos="8730"/>
        </w:tabs>
        <w:ind w:left="480"/>
        <w:rPr>
          <w:color w:val="auto"/>
        </w:rPr>
      </w:pPr>
      <w:r>
        <w:fldChar w:fldCharType="begin"/>
      </w:r>
      <w:r>
        <w:instrText xml:space="preserve"> HYPERLINK \l "_Toc14098" </w:instrText>
      </w:r>
      <w:r>
        <w:fldChar w:fldCharType="separate"/>
      </w:r>
      <w:r>
        <w:rPr>
          <w:rFonts w:eastAsia="黑体"/>
          <w:color w:val="auto"/>
          <w:kern w:val="2"/>
          <w:szCs w:val="20"/>
          <w:lang w:eastAsia="zh-CN" w:bidi="ar-SA"/>
        </w:rPr>
        <w:t>6. 评标</w:t>
      </w:r>
      <w:r>
        <w:rPr>
          <w:color w:val="auto"/>
        </w:rPr>
        <w:tab/>
      </w:r>
      <w:r>
        <w:rPr>
          <w:color w:val="auto"/>
        </w:rPr>
        <w:fldChar w:fldCharType="begin"/>
      </w:r>
      <w:r>
        <w:rPr>
          <w:color w:val="auto"/>
        </w:rPr>
        <w:instrText xml:space="preserve"> PAGEREF _Toc14098 \h </w:instrText>
      </w:r>
      <w:r>
        <w:rPr>
          <w:color w:val="auto"/>
        </w:rPr>
        <w:fldChar w:fldCharType="separate"/>
      </w:r>
      <w:r>
        <w:rPr>
          <w:color w:val="auto"/>
        </w:rPr>
        <w:t>39</w:t>
      </w:r>
      <w:r>
        <w:rPr>
          <w:color w:val="auto"/>
        </w:rPr>
        <w:fldChar w:fldCharType="end"/>
      </w:r>
      <w:r>
        <w:rPr>
          <w:color w:val="auto"/>
        </w:rPr>
        <w:fldChar w:fldCharType="end"/>
      </w:r>
    </w:p>
    <w:p w14:paraId="20607649">
      <w:pPr>
        <w:pStyle w:val="22"/>
        <w:tabs>
          <w:tab w:val="right" w:leader="dot" w:pos="8730"/>
        </w:tabs>
        <w:ind w:left="960"/>
        <w:rPr>
          <w:color w:val="auto"/>
        </w:rPr>
      </w:pPr>
      <w:r>
        <w:fldChar w:fldCharType="begin"/>
      </w:r>
      <w:r>
        <w:instrText xml:space="preserve"> HYPERLINK \l "_Toc12121" </w:instrText>
      </w:r>
      <w:r>
        <w:fldChar w:fldCharType="separate"/>
      </w:r>
      <w:r>
        <w:rPr>
          <w:rFonts w:eastAsia="黑体"/>
          <w:color w:val="auto"/>
          <w:kern w:val="2"/>
          <w:szCs w:val="20"/>
          <w:lang w:eastAsia="zh-CN" w:bidi="ar-SA"/>
        </w:rPr>
        <w:t>6.1 评标委员会</w:t>
      </w:r>
      <w:r>
        <w:rPr>
          <w:color w:val="auto"/>
        </w:rPr>
        <w:tab/>
      </w:r>
      <w:r>
        <w:rPr>
          <w:color w:val="auto"/>
        </w:rPr>
        <w:fldChar w:fldCharType="begin"/>
      </w:r>
      <w:r>
        <w:rPr>
          <w:color w:val="auto"/>
        </w:rPr>
        <w:instrText xml:space="preserve"> PAGEREF _Toc12121 \h </w:instrText>
      </w:r>
      <w:r>
        <w:rPr>
          <w:color w:val="auto"/>
        </w:rPr>
        <w:fldChar w:fldCharType="separate"/>
      </w:r>
      <w:r>
        <w:rPr>
          <w:color w:val="auto"/>
        </w:rPr>
        <w:t>39</w:t>
      </w:r>
      <w:r>
        <w:rPr>
          <w:color w:val="auto"/>
        </w:rPr>
        <w:fldChar w:fldCharType="end"/>
      </w:r>
      <w:r>
        <w:rPr>
          <w:color w:val="auto"/>
        </w:rPr>
        <w:fldChar w:fldCharType="end"/>
      </w:r>
    </w:p>
    <w:p w14:paraId="2FA6885E">
      <w:pPr>
        <w:pStyle w:val="22"/>
        <w:tabs>
          <w:tab w:val="right" w:leader="dot" w:pos="8730"/>
        </w:tabs>
        <w:ind w:left="960"/>
        <w:rPr>
          <w:color w:val="auto"/>
        </w:rPr>
      </w:pPr>
      <w:r>
        <w:fldChar w:fldCharType="begin"/>
      </w:r>
      <w:r>
        <w:instrText xml:space="preserve"> HYPERLINK \l "_Toc4494" </w:instrText>
      </w:r>
      <w:r>
        <w:fldChar w:fldCharType="separate"/>
      </w:r>
      <w:r>
        <w:rPr>
          <w:rFonts w:eastAsia="黑体"/>
          <w:color w:val="auto"/>
          <w:kern w:val="2"/>
          <w:szCs w:val="20"/>
          <w:lang w:eastAsia="zh-CN" w:bidi="ar-SA"/>
        </w:rPr>
        <w:t>6.2 评标原则</w:t>
      </w:r>
      <w:r>
        <w:rPr>
          <w:color w:val="auto"/>
        </w:rPr>
        <w:tab/>
      </w:r>
      <w:r>
        <w:rPr>
          <w:color w:val="auto"/>
        </w:rPr>
        <w:fldChar w:fldCharType="begin"/>
      </w:r>
      <w:r>
        <w:rPr>
          <w:color w:val="auto"/>
        </w:rPr>
        <w:instrText xml:space="preserve"> PAGEREF _Toc4494 \h </w:instrText>
      </w:r>
      <w:r>
        <w:rPr>
          <w:color w:val="auto"/>
        </w:rPr>
        <w:fldChar w:fldCharType="separate"/>
      </w:r>
      <w:r>
        <w:rPr>
          <w:color w:val="auto"/>
        </w:rPr>
        <w:t>40</w:t>
      </w:r>
      <w:r>
        <w:rPr>
          <w:color w:val="auto"/>
        </w:rPr>
        <w:fldChar w:fldCharType="end"/>
      </w:r>
      <w:r>
        <w:rPr>
          <w:color w:val="auto"/>
        </w:rPr>
        <w:fldChar w:fldCharType="end"/>
      </w:r>
    </w:p>
    <w:p w14:paraId="22CA3A51">
      <w:pPr>
        <w:pStyle w:val="22"/>
        <w:tabs>
          <w:tab w:val="right" w:leader="dot" w:pos="8730"/>
        </w:tabs>
        <w:ind w:left="960"/>
        <w:rPr>
          <w:color w:val="auto"/>
        </w:rPr>
      </w:pPr>
      <w:r>
        <w:fldChar w:fldCharType="begin"/>
      </w:r>
      <w:r>
        <w:instrText xml:space="preserve"> HYPERLINK \l "_Toc31488" </w:instrText>
      </w:r>
      <w:r>
        <w:fldChar w:fldCharType="separate"/>
      </w:r>
      <w:r>
        <w:rPr>
          <w:rFonts w:eastAsia="黑体"/>
          <w:color w:val="auto"/>
          <w:kern w:val="2"/>
          <w:szCs w:val="20"/>
          <w:lang w:eastAsia="zh-CN" w:bidi="ar-SA"/>
        </w:rPr>
        <w:t>6.3 评标</w:t>
      </w:r>
      <w:r>
        <w:rPr>
          <w:color w:val="auto"/>
        </w:rPr>
        <w:tab/>
      </w:r>
      <w:r>
        <w:rPr>
          <w:color w:val="auto"/>
        </w:rPr>
        <w:fldChar w:fldCharType="begin"/>
      </w:r>
      <w:r>
        <w:rPr>
          <w:color w:val="auto"/>
        </w:rPr>
        <w:instrText xml:space="preserve"> PAGEREF _Toc31488 \h </w:instrText>
      </w:r>
      <w:r>
        <w:rPr>
          <w:color w:val="auto"/>
        </w:rPr>
        <w:fldChar w:fldCharType="separate"/>
      </w:r>
      <w:r>
        <w:rPr>
          <w:color w:val="auto"/>
        </w:rPr>
        <w:t>40</w:t>
      </w:r>
      <w:r>
        <w:rPr>
          <w:color w:val="auto"/>
        </w:rPr>
        <w:fldChar w:fldCharType="end"/>
      </w:r>
      <w:r>
        <w:rPr>
          <w:color w:val="auto"/>
        </w:rPr>
        <w:fldChar w:fldCharType="end"/>
      </w:r>
    </w:p>
    <w:p w14:paraId="432C09CC">
      <w:pPr>
        <w:pStyle w:val="37"/>
        <w:tabs>
          <w:tab w:val="right" w:leader="dot" w:pos="8730"/>
        </w:tabs>
        <w:ind w:left="480"/>
        <w:rPr>
          <w:color w:val="auto"/>
        </w:rPr>
      </w:pPr>
      <w:r>
        <w:fldChar w:fldCharType="begin"/>
      </w:r>
      <w:r>
        <w:instrText xml:space="preserve"> HYPERLINK \l "_Toc31464" </w:instrText>
      </w:r>
      <w:r>
        <w:fldChar w:fldCharType="separate"/>
      </w:r>
      <w:r>
        <w:rPr>
          <w:rFonts w:eastAsia="黑体"/>
          <w:color w:val="auto"/>
          <w:kern w:val="2"/>
          <w:szCs w:val="20"/>
          <w:lang w:eastAsia="zh-CN" w:bidi="ar-SA"/>
        </w:rPr>
        <w:t>7. 合同授予</w:t>
      </w:r>
      <w:r>
        <w:rPr>
          <w:color w:val="auto"/>
        </w:rPr>
        <w:tab/>
      </w:r>
      <w:r>
        <w:rPr>
          <w:color w:val="auto"/>
        </w:rPr>
        <w:fldChar w:fldCharType="begin"/>
      </w:r>
      <w:r>
        <w:rPr>
          <w:color w:val="auto"/>
        </w:rPr>
        <w:instrText xml:space="preserve"> PAGEREF _Toc31464 \h </w:instrText>
      </w:r>
      <w:r>
        <w:rPr>
          <w:color w:val="auto"/>
        </w:rPr>
        <w:fldChar w:fldCharType="separate"/>
      </w:r>
      <w:r>
        <w:rPr>
          <w:color w:val="auto"/>
        </w:rPr>
        <w:t>40</w:t>
      </w:r>
      <w:r>
        <w:rPr>
          <w:color w:val="auto"/>
        </w:rPr>
        <w:fldChar w:fldCharType="end"/>
      </w:r>
      <w:r>
        <w:rPr>
          <w:color w:val="auto"/>
        </w:rPr>
        <w:fldChar w:fldCharType="end"/>
      </w:r>
    </w:p>
    <w:p w14:paraId="0B809ED2">
      <w:pPr>
        <w:pStyle w:val="22"/>
        <w:tabs>
          <w:tab w:val="right" w:leader="dot" w:pos="8730"/>
        </w:tabs>
        <w:ind w:left="960"/>
        <w:rPr>
          <w:color w:val="auto"/>
        </w:rPr>
      </w:pPr>
      <w:r>
        <w:fldChar w:fldCharType="begin"/>
      </w:r>
      <w:r>
        <w:instrText xml:space="preserve"> HYPERLINK \l "_Toc16675" </w:instrText>
      </w:r>
      <w:r>
        <w:fldChar w:fldCharType="separate"/>
      </w:r>
      <w:r>
        <w:rPr>
          <w:rFonts w:eastAsia="黑体"/>
          <w:color w:val="auto"/>
          <w:kern w:val="2"/>
          <w:szCs w:val="20"/>
          <w:lang w:eastAsia="zh-CN" w:bidi="ar-SA"/>
        </w:rPr>
        <w:t>7.1 中标候选人公示</w:t>
      </w:r>
      <w:r>
        <w:rPr>
          <w:color w:val="auto"/>
        </w:rPr>
        <w:tab/>
      </w:r>
      <w:r>
        <w:rPr>
          <w:color w:val="auto"/>
        </w:rPr>
        <w:fldChar w:fldCharType="begin"/>
      </w:r>
      <w:r>
        <w:rPr>
          <w:color w:val="auto"/>
        </w:rPr>
        <w:instrText xml:space="preserve"> PAGEREF _Toc16675 \h </w:instrText>
      </w:r>
      <w:r>
        <w:rPr>
          <w:color w:val="auto"/>
        </w:rPr>
        <w:fldChar w:fldCharType="separate"/>
      </w:r>
      <w:r>
        <w:rPr>
          <w:color w:val="auto"/>
        </w:rPr>
        <w:t>40</w:t>
      </w:r>
      <w:r>
        <w:rPr>
          <w:color w:val="auto"/>
        </w:rPr>
        <w:fldChar w:fldCharType="end"/>
      </w:r>
      <w:r>
        <w:rPr>
          <w:color w:val="auto"/>
        </w:rPr>
        <w:fldChar w:fldCharType="end"/>
      </w:r>
    </w:p>
    <w:p w14:paraId="60598B3F">
      <w:pPr>
        <w:pStyle w:val="22"/>
        <w:tabs>
          <w:tab w:val="right" w:leader="dot" w:pos="8730"/>
        </w:tabs>
        <w:ind w:left="960"/>
        <w:rPr>
          <w:color w:val="auto"/>
        </w:rPr>
      </w:pPr>
      <w:r>
        <w:fldChar w:fldCharType="begin"/>
      </w:r>
      <w:r>
        <w:instrText xml:space="preserve"> HYPERLINK \l "_Toc27784" </w:instrText>
      </w:r>
      <w:r>
        <w:fldChar w:fldCharType="separate"/>
      </w:r>
      <w:r>
        <w:rPr>
          <w:rFonts w:eastAsia="黑体"/>
          <w:color w:val="auto"/>
          <w:kern w:val="2"/>
          <w:szCs w:val="20"/>
          <w:lang w:eastAsia="zh-CN" w:bidi="ar-SA"/>
        </w:rPr>
        <w:t>7.2 评标结果异议</w:t>
      </w:r>
      <w:r>
        <w:rPr>
          <w:color w:val="auto"/>
        </w:rPr>
        <w:tab/>
      </w:r>
      <w:r>
        <w:rPr>
          <w:color w:val="auto"/>
        </w:rPr>
        <w:fldChar w:fldCharType="begin"/>
      </w:r>
      <w:r>
        <w:rPr>
          <w:color w:val="auto"/>
        </w:rPr>
        <w:instrText xml:space="preserve"> PAGEREF _Toc27784 \h </w:instrText>
      </w:r>
      <w:r>
        <w:rPr>
          <w:color w:val="auto"/>
        </w:rPr>
        <w:fldChar w:fldCharType="separate"/>
      </w:r>
      <w:r>
        <w:rPr>
          <w:color w:val="auto"/>
        </w:rPr>
        <w:t>40</w:t>
      </w:r>
      <w:r>
        <w:rPr>
          <w:color w:val="auto"/>
        </w:rPr>
        <w:fldChar w:fldCharType="end"/>
      </w:r>
      <w:r>
        <w:rPr>
          <w:color w:val="auto"/>
        </w:rPr>
        <w:fldChar w:fldCharType="end"/>
      </w:r>
    </w:p>
    <w:p w14:paraId="663FC920">
      <w:pPr>
        <w:pStyle w:val="22"/>
        <w:tabs>
          <w:tab w:val="right" w:leader="dot" w:pos="8730"/>
        </w:tabs>
        <w:ind w:left="960"/>
        <w:rPr>
          <w:color w:val="auto"/>
        </w:rPr>
      </w:pPr>
      <w:r>
        <w:fldChar w:fldCharType="begin"/>
      </w:r>
      <w:r>
        <w:instrText xml:space="preserve"> HYPERLINK \l "_Toc16454" </w:instrText>
      </w:r>
      <w:r>
        <w:fldChar w:fldCharType="separate"/>
      </w:r>
      <w:r>
        <w:rPr>
          <w:rFonts w:eastAsia="黑体"/>
          <w:color w:val="auto"/>
          <w:kern w:val="2"/>
          <w:szCs w:val="20"/>
          <w:lang w:eastAsia="zh-CN" w:bidi="ar-SA"/>
        </w:rPr>
        <w:t>7.3 中标候选人履约能力审查</w:t>
      </w:r>
      <w:r>
        <w:rPr>
          <w:color w:val="auto"/>
        </w:rPr>
        <w:tab/>
      </w:r>
      <w:r>
        <w:rPr>
          <w:color w:val="auto"/>
        </w:rPr>
        <w:fldChar w:fldCharType="begin"/>
      </w:r>
      <w:r>
        <w:rPr>
          <w:color w:val="auto"/>
        </w:rPr>
        <w:instrText xml:space="preserve"> PAGEREF _Toc16454 \h </w:instrText>
      </w:r>
      <w:r>
        <w:rPr>
          <w:color w:val="auto"/>
        </w:rPr>
        <w:fldChar w:fldCharType="separate"/>
      </w:r>
      <w:r>
        <w:rPr>
          <w:color w:val="auto"/>
        </w:rPr>
        <w:t>40</w:t>
      </w:r>
      <w:r>
        <w:rPr>
          <w:color w:val="auto"/>
        </w:rPr>
        <w:fldChar w:fldCharType="end"/>
      </w:r>
      <w:r>
        <w:rPr>
          <w:color w:val="auto"/>
        </w:rPr>
        <w:fldChar w:fldCharType="end"/>
      </w:r>
    </w:p>
    <w:p w14:paraId="3813B747">
      <w:pPr>
        <w:pStyle w:val="22"/>
        <w:tabs>
          <w:tab w:val="right" w:leader="dot" w:pos="8730"/>
        </w:tabs>
        <w:ind w:left="960"/>
        <w:rPr>
          <w:color w:val="auto"/>
        </w:rPr>
      </w:pPr>
      <w:r>
        <w:fldChar w:fldCharType="begin"/>
      </w:r>
      <w:r>
        <w:instrText xml:space="preserve"> HYPERLINK \l "_Toc4789" </w:instrText>
      </w:r>
      <w:r>
        <w:fldChar w:fldCharType="separate"/>
      </w:r>
      <w:r>
        <w:rPr>
          <w:rFonts w:eastAsia="黑体"/>
          <w:color w:val="auto"/>
          <w:kern w:val="2"/>
          <w:szCs w:val="20"/>
          <w:lang w:eastAsia="zh-CN" w:bidi="ar-SA"/>
        </w:rPr>
        <w:t>7.4 定标</w:t>
      </w:r>
      <w:r>
        <w:rPr>
          <w:color w:val="auto"/>
        </w:rPr>
        <w:tab/>
      </w:r>
      <w:r>
        <w:rPr>
          <w:color w:val="auto"/>
        </w:rPr>
        <w:fldChar w:fldCharType="begin"/>
      </w:r>
      <w:r>
        <w:rPr>
          <w:color w:val="auto"/>
        </w:rPr>
        <w:instrText xml:space="preserve"> PAGEREF _Toc4789 \h </w:instrText>
      </w:r>
      <w:r>
        <w:rPr>
          <w:color w:val="auto"/>
        </w:rPr>
        <w:fldChar w:fldCharType="separate"/>
      </w:r>
      <w:r>
        <w:rPr>
          <w:color w:val="auto"/>
        </w:rPr>
        <w:t>40</w:t>
      </w:r>
      <w:r>
        <w:rPr>
          <w:color w:val="auto"/>
        </w:rPr>
        <w:fldChar w:fldCharType="end"/>
      </w:r>
      <w:r>
        <w:rPr>
          <w:color w:val="auto"/>
        </w:rPr>
        <w:fldChar w:fldCharType="end"/>
      </w:r>
    </w:p>
    <w:p w14:paraId="676AF2C9">
      <w:pPr>
        <w:pStyle w:val="22"/>
        <w:tabs>
          <w:tab w:val="right" w:leader="dot" w:pos="8730"/>
        </w:tabs>
        <w:ind w:left="960"/>
        <w:rPr>
          <w:color w:val="auto"/>
        </w:rPr>
      </w:pPr>
      <w:r>
        <w:fldChar w:fldCharType="begin"/>
      </w:r>
      <w:r>
        <w:instrText xml:space="preserve"> HYPERLINK \l "_Toc1056" </w:instrText>
      </w:r>
      <w:r>
        <w:fldChar w:fldCharType="separate"/>
      </w:r>
      <w:r>
        <w:rPr>
          <w:rFonts w:eastAsia="黑体"/>
          <w:color w:val="auto"/>
          <w:kern w:val="2"/>
          <w:szCs w:val="20"/>
          <w:lang w:eastAsia="zh-CN" w:bidi="ar-SA"/>
        </w:rPr>
        <w:t>7.5 中标通知</w:t>
      </w:r>
      <w:r>
        <w:rPr>
          <w:color w:val="auto"/>
        </w:rPr>
        <w:tab/>
      </w:r>
      <w:r>
        <w:rPr>
          <w:color w:val="auto"/>
        </w:rPr>
        <w:fldChar w:fldCharType="begin"/>
      </w:r>
      <w:r>
        <w:rPr>
          <w:color w:val="auto"/>
        </w:rPr>
        <w:instrText xml:space="preserve"> PAGEREF _Toc1056 \h </w:instrText>
      </w:r>
      <w:r>
        <w:rPr>
          <w:color w:val="auto"/>
        </w:rPr>
        <w:fldChar w:fldCharType="separate"/>
      </w:r>
      <w:r>
        <w:rPr>
          <w:color w:val="auto"/>
        </w:rPr>
        <w:t>40</w:t>
      </w:r>
      <w:r>
        <w:rPr>
          <w:color w:val="auto"/>
        </w:rPr>
        <w:fldChar w:fldCharType="end"/>
      </w:r>
      <w:r>
        <w:rPr>
          <w:color w:val="auto"/>
        </w:rPr>
        <w:fldChar w:fldCharType="end"/>
      </w:r>
    </w:p>
    <w:p w14:paraId="0CF0FA9D">
      <w:pPr>
        <w:pStyle w:val="22"/>
        <w:tabs>
          <w:tab w:val="right" w:leader="dot" w:pos="8730"/>
        </w:tabs>
        <w:ind w:left="960"/>
        <w:rPr>
          <w:color w:val="auto"/>
        </w:rPr>
      </w:pPr>
      <w:r>
        <w:fldChar w:fldCharType="begin"/>
      </w:r>
      <w:r>
        <w:instrText xml:space="preserve"> HYPERLINK \l "_Toc16557" </w:instrText>
      </w:r>
      <w:r>
        <w:fldChar w:fldCharType="separate"/>
      </w:r>
      <w:r>
        <w:rPr>
          <w:rFonts w:eastAsia="黑体"/>
          <w:color w:val="auto"/>
          <w:kern w:val="2"/>
          <w:szCs w:val="20"/>
          <w:lang w:eastAsia="zh-CN" w:bidi="ar-SA"/>
        </w:rPr>
        <w:t>7.6 履约保证金</w:t>
      </w:r>
      <w:r>
        <w:rPr>
          <w:color w:val="auto"/>
        </w:rPr>
        <w:tab/>
      </w:r>
      <w:r>
        <w:rPr>
          <w:color w:val="auto"/>
        </w:rPr>
        <w:fldChar w:fldCharType="begin"/>
      </w:r>
      <w:r>
        <w:rPr>
          <w:color w:val="auto"/>
        </w:rPr>
        <w:instrText xml:space="preserve"> PAGEREF _Toc16557 \h </w:instrText>
      </w:r>
      <w:r>
        <w:rPr>
          <w:color w:val="auto"/>
        </w:rPr>
        <w:fldChar w:fldCharType="separate"/>
      </w:r>
      <w:r>
        <w:rPr>
          <w:color w:val="auto"/>
        </w:rPr>
        <w:t>41</w:t>
      </w:r>
      <w:r>
        <w:rPr>
          <w:color w:val="auto"/>
        </w:rPr>
        <w:fldChar w:fldCharType="end"/>
      </w:r>
      <w:r>
        <w:rPr>
          <w:color w:val="auto"/>
        </w:rPr>
        <w:fldChar w:fldCharType="end"/>
      </w:r>
    </w:p>
    <w:p w14:paraId="13CB1A9A">
      <w:pPr>
        <w:pStyle w:val="22"/>
        <w:tabs>
          <w:tab w:val="right" w:leader="dot" w:pos="8730"/>
        </w:tabs>
        <w:ind w:left="960"/>
        <w:rPr>
          <w:color w:val="auto"/>
        </w:rPr>
      </w:pPr>
      <w:r>
        <w:fldChar w:fldCharType="begin"/>
      </w:r>
      <w:r>
        <w:instrText xml:space="preserve"> HYPERLINK \l "_Toc14283" </w:instrText>
      </w:r>
      <w:r>
        <w:fldChar w:fldCharType="separate"/>
      </w:r>
      <w:r>
        <w:rPr>
          <w:rFonts w:eastAsia="黑体"/>
          <w:color w:val="auto"/>
          <w:kern w:val="2"/>
          <w:szCs w:val="20"/>
          <w:lang w:eastAsia="zh-CN" w:bidi="ar-SA"/>
        </w:rPr>
        <w:t>7.7 签订合同</w:t>
      </w:r>
      <w:r>
        <w:rPr>
          <w:color w:val="auto"/>
        </w:rPr>
        <w:tab/>
      </w:r>
      <w:r>
        <w:rPr>
          <w:color w:val="auto"/>
        </w:rPr>
        <w:fldChar w:fldCharType="begin"/>
      </w:r>
      <w:r>
        <w:rPr>
          <w:color w:val="auto"/>
        </w:rPr>
        <w:instrText xml:space="preserve"> PAGEREF _Toc14283 \h </w:instrText>
      </w:r>
      <w:r>
        <w:rPr>
          <w:color w:val="auto"/>
        </w:rPr>
        <w:fldChar w:fldCharType="separate"/>
      </w:r>
      <w:r>
        <w:rPr>
          <w:color w:val="auto"/>
        </w:rPr>
        <w:t>41</w:t>
      </w:r>
      <w:r>
        <w:rPr>
          <w:color w:val="auto"/>
        </w:rPr>
        <w:fldChar w:fldCharType="end"/>
      </w:r>
      <w:r>
        <w:rPr>
          <w:color w:val="auto"/>
        </w:rPr>
        <w:fldChar w:fldCharType="end"/>
      </w:r>
    </w:p>
    <w:p w14:paraId="71C836F2">
      <w:pPr>
        <w:pStyle w:val="37"/>
        <w:tabs>
          <w:tab w:val="right" w:leader="dot" w:pos="8730"/>
        </w:tabs>
        <w:ind w:left="480"/>
        <w:rPr>
          <w:color w:val="auto"/>
        </w:rPr>
      </w:pPr>
      <w:r>
        <w:fldChar w:fldCharType="begin"/>
      </w:r>
      <w:r>
        <w:instrText xml:space="preserve"> HYPERLINK \l "_Toc28304" </w:instrText>
      </w:r>
      <w:r>
        <w:fldChar w:fldCharType="separate"/>
      </w:r>
      <w:r>
        <w:rPr>
          <w:rFonts w:eastAsia="黑体"/>
          <w:color w:val="auto"/>
          <w:kern w:val="2"/>
          <w:szCs w:val="20"/>
          <w:lang w:eastAsia="zh-CN" w:bidi="ar-SA"/>
        </w:rPr>
        <w:t>8.纪律和监督</w:t>
      </w:r>
      <w:r>
        <w:rPr>
          <w:color w:val="auto"/>
        </w:rPr>
        <w:tab/>
      </w:r>
      <w:r>
        <w:rPr>
          <w:color w:val="auto"/>
        </w:rPr>
        <w:fldChar w:fldCharType="begin"/>
      </w:r>
      <w:r>
        <w:rPr>
          <w:color w:val="auto"/>
        </w:rPr>
        <w:instrText xml:space="preserve"> PAGEREF _Toc28304 \h </w:instrText>
      </w:r>
      <w:r>
        <w:rPr>
          <w:color w:val="auto"/>
        </w:rPr>
        <w:fldChar w:fldCharType="separate"/>
      </w:r>
      <w:r>
        <w:rPr>
          <w:color w:val="auto"/>
        </w:rPr>
        <w:t>41</w:t>
      </w:r>
      <w:r>
        <w:rPr>
          <w:color w:val="auto"/>
        </w:rPr>
        <w:fldChar w:fldCharType="end"/>
      </w:r>
      <w:r>
        <w:rPr>
          <w:color w:val="auto"/>
        </w:rPr>
        <w:fldChar w:fldCharType="end"/>
      </w:r>
    </w:p>
    <w:p w14:paraId="28F0DA2D">
      <w:pPr>
        <w:pStyle w:val="22"/>
        <w:tabs>
          <w:tab w:val="right" w:leader="dot" w:pos="8730"/>
        </w:tabs>
        <w:ind w:left="960"/>
        <w:rPr>
          <w:color w:val="auto"/>
        </w:rPr>
      </w:pPr>
      <w:r>
        <w:fldChar w:fldCharType="begin"/>
      </w:r>
      <w:r>
        <w:instrText xml:space="preserve"> HYPERLINK \l "_Toc20117" </w:instrText>
      </w:r>
      <w:r>
        <w:fldChar w:fldCharType="separate"/>
      </w:r>
      <w:r>
        <w:rPr>
          <w:rFonts w:eastAsia="黑体"/>
          <w:color w:val="auto"/>
          <w:kern w:val="2"/>
          <w:szCs w:val="20"/>
          <w:lang w:eastAsia="zh-CN" w:bidi="ar-SA"/>
        </w:rPr>
        <w:t>8.1 对招标人的纪律要求</w:t>
      </w:r>
      <w:r>
        <w:rPr>
          <w:color w:val="auto"/>
        </w:rPr>
        <w:tab/>
      </w:r>
      <w:r>
        <w:rPr>
          <w:color w:val="auto"/>
        </w:rPr>
        <w:fldChar w:fldCharType="begin"/>
      </w:r>
      <w:r>
        <w:rPr>
          <w:color w:val="auto"/>
        </w:rPr>
        <w:instrText xml:space="preserve"> PAGEREF _Toc20117 \h </w:instrText>
      </w:r>
      <w:r>
        <w:rPr>
          <w:color w:val="auto"/>
        </w:rPr>
        <w:fldChar w:fldCharType="separate"/>
      </w:r>
      <w:r>
        <w:rPr>
          <w:color w:val="auto"/>
        </w:rPr>
        <w:t>41</w:t>
      </w:r>
      <w:r>
        <w:rPr>
          <w:color w:val="auto"/>
        </w:rPr>
        <w:fldChar w:fldCharType="end"/>
      </w:r>
      <w:r>
        <w:rPr>
          <w:color w:val="auto"/>
        </w:rPr>
        <w:fldChar w:fldCharType="end"/>
      </w:r>
    </w:p>
    <w:p w14:paraId="3AEEB85B">
      <w:pPr>
        <w:pStyle w:val="22"/>
        <w:tabs>
          <w:tab w:val="right" w:leader="dot" w:pos="8730"/>
        </w:tabs>
        <w:ind w:left="960"/>
        <w:rPr>
          <w:color w:val="auto"/>
        </w:rPr>
      </w:pPr>
      <w:r>
        <w:fldChar w:fldCharType="begin"/>
      </w:r>
      <w:r>
        <w:instrText xml:space="preserve"> HYPERLINK \l "_Toc22392" </w:instrText>
      </w:r>
      <w:r>
        <w:fldChar w:fldCharType="separate"/>
      </w:r>
      <w:r>
        <w:rPr>
          <w:rFonts w:eastAsia="黑体"/>
          <w:color w:val="auto"/>
          <w:kern w:val="2"/>
          <w:szCs w:val="20"/>
          <w:lang w:eastAsia="zh-CN" w:bidi="ar-SA"/>
        </w:rPr>
        <w:t>8.2 对投标人的纪律要求</w:t>
      </w:r>
      <w:r>
        <w:rPr>
          <w:color w:val="auto"/>
        </w:rPr>
        <w:tab/>
      </w:r>
      <w:r>
        <w:rPr>
          <w:color w:val="auto"/>
        </w:rPr>
        <w:fldChar w:fldCharType="begin"/>
      </w:r>
      <w:r>
        <w:rPr>
          <w:color w:val="auto"/>
        </w:rPr>
        <w:instrText xml:space="preserve"> PAGEREF _Toc22392 \h </w:instrText>
      </w:r>
      <w:r>
        <w:rPr>
          <w:color w:val="auto"/>
        </w:rPr>
        <w:fldChar w:fldCharType="separate"/>
      </w:r>
      <w:r>
        <w:rPr>
          <w:color w:val="auto"/>
        </w:rPr>
        <w:t>41</w:t>
      </w:r>
      <w:r>
        <w:rPr>
          <w:color w:val="auto"/>
        </w:rPr>
        <w:fldChar w:fldCharType="end"/>
      </w:r>
      <w:r>
        <w:rPr>
          <w:color w:val="auto"/>
        </w:rPr>
        <w:fldChar w:fldCharType="end"/>
      </w:r>
    </w:p>
    <w:p w14:paraId="732343E3">
      <w:pPr>
        <w:pStyle w:val="22"/>
        <w:tabs>
          <w:tab w:val="right" w:leader="dot" w:pos="8730"/>
        </w:tabs>
        <w:ind w:left="960"/>
        <w:rPr>
          <w:color w:val="auto"/>
        </w:rPr>
      </w:pPr>
      <w:r>
        <w:fldChar w:fldCharType="begin"/>
      </w:r>
      <w:r>
        <w:instrText xml:space="preserve"> HYPERLINK \l "_Toc24619" </w:instrText>
      </w:r>
      <w:r>
        <w:fldChar w:fldCharType="separate"/>
      </w:r>
      <w:r>
        <w:rPr>
          <w:rFonts w:eastAsia="黑体"/>
          <w:color w:val="auto"/>
          <w:kern w:val="2"/>
          <w:szCs w:val="20"/>
          <w:lang w:eastAsia="zh-CN" w:bidi="ar-SA"/>
        </w:rPr>
        <w:t>8.3 对评标委员会成员的纪律要求</w:t>
      </w:r>
      <w:r>
        <w:rPr>
          <w:color w:val="auto"/>
        </w:rPr>
        <w:tab/>
      </w:r>
      <w:r>
        <w:rPr>
          <w:color w:val="auto"/>
        </w:rPr>
        <w:fldChar w:fldCharType="begin"/>
      </w:r>
      <w:r>
        <w:rPr>
          <w:color w:val="auto"/>
        </w:rPr>
        <w:instrText xml:space="preserve"> PAGEREF _Toc24619 \h </w:instrText>
      </w:r>
      <w:r>
        <w:rPr>
          <w:color w:val="auto"/>
        </w:rPr>
        <w:fldChar w:fldCharType="separate"/>
      </w:r>
      <w:r>
        <w:rPr>
          <w:color w:val="auto"/>
        </w:rPr>
        <w:t>41</w:t>
      </w:r>
      <w:r>
        <w:rPr>
          <w:color w:val="auto"/>
        </w:rPr>
        <w:fldChar w:fldCharType="end"/>
      </w:r>
      <w:r>
        <w:rPr>
          <w:color w:val="auto"/>
        </w:rPr>
        <w:fldChar w:fldCharType="end"/>
      </w:r>
    </w:p>
    <w:p w14:paraId="2AF04A96">
      <w:pPr>
        <w:pStyle w:val="22"/>
        <w:tabs>
          <w:tab w:val="right" w:leader="dot" w:pos="8730"/>
        </w:tabs>
        <w:ind w:left="960"/>
        <w:rPr>
          <w:color w:val="auto"/>
        </w:rPr>
      </w:pPr>
      <w:r>
        <w:fldChar w:fldCharType="begin"/>
      </w:r>
      <w:r>
        <w:instrText xml:space="preserve"> HYPERLINK \l "_Toc16754" </w:instrText>
      </w:r>
      <w:r>
        <w:fldChar w:fldCharType="separate"/>
      </w:r>
      <w:r>
        <w:rPr>
          <w:rFonts w:eastAsia="黑体"/>
          <w:color w:val="auto"/>
          <w:kern w:val="2"/>
          <w:szCs w:val="20"/>
          <w:lang w:eastAsia="zh-CN" w:bidi="ar-SA"/>
        </w:rPr>
        <w:t>8.4 对与评标活动有关的工作人员的纪律要求</w:t>
      </w:r>
      <w:r>
        <w:rPr>
          <w:color w:val="auto"/>
        </w:rPr>
        <w:tab/>
      </w:r>
      <w:r>
        <w:rPr>
          <w:color w:val="auto"/>
        </w:rPr>
        <w:fldChar w:fldCharType="begin"/>
      </w:r>
      <w:r>
        <w:rPr>
          <w:color w:val="auto"/>
        </w:rPr>
        <w:instrText xml:space="preserve"> PAGEREF _Toc16754 \h </w:instrText>
      </w:r>
      <w:r>
        <w:rPr>
          <w:color w:val="auto"/>
        </w:rPr>
        <w:fldChar w:fldCharType="separate"/>
      </w:r>
      <w:r>
        <w:rPr>
          <w:color w:val="auto"/>
        </w:rPr>
        <w:t>42</w:t>
      </w:r>
      <w:r>
        <w:rPr>
          <w:color w:val="auto"/>
        </w:rPr>
        <w:fldChar w:fldCharType="end"/>
      </w:r>
      <w:r>
        <w:rPr>
          <w:color w:val="auto"/>
        </w:rPr>
        <w:fldChar w:fldCharType="end"/>
      </w:r>
    </w:p>
    <w:p w14:paraId="5F6A1E5A">
      <w:pPr>
        <w:pStyle w:val="22"/>
        <w:tabs>
          <w:tab w:val="right" w:leader="dot" w:pos="8730"/>
        </w:tabs>
        <w:ind w:left="960"/>
        <w:rPr>
          <w:color w:val="auto"/>
        </w:rPr>
      </w:pPr>
      <w:r>
        <w:fldChar w:fldCharType="begin"/>
      </w:r>
      <w:r>
        <w:instrText xml:space="preserve"> HYPERLINK \l "_Toc15149" </w:instrText>
      </w:r>
      <w:r>
        <w:fldChar w:fldCharType="separate"/>
      </w:r>
      <w:r>
        <w:rPr>
          <w:rFonts w:eastAsia="黑体"/>
          <w:color w:val="auto"/>
          <w:kern w:val="2"/>
          <w:szCs w:val="20"/>
          <w:lang w:eastAsia="zh-CN" w:bidi="ar-SA"/>
        </w:rPr>
        <w:t>8.5 投诉</w:t>
      </w:r>
      <w:r>
        <w:rPr>
          <w:color w:val="auto"/>
        </w:rPr>
        <w:tab/>
      </w:r>
      <w:r>
        <w:rPr>
          <w:color w:val="auto"/>
        </w:rPr>
        <w:fldChar w:fldCharType="begin"/>
      </w:r>
      <w:r>
        <w:rPr>
          <w:color w:val="auto"/>
        </w:rPr>
        <w:instrText xml:space="preserve"> PAGEREF _Toc15149 \h </w:instrText>
      </w:r>
      <w:r>
        <w:rPr>
          <w:color w:val="auto"/>
        </w:rPr>
        <w:fldChar w:fldCharType="separate"/>
      </w:r>
      <w:r>
        <w:rPr>
          <w:color w:val="auto"/>
        </w:rPr>
        <w:t>42</w:t>
      </w:r>
      <w:r>
        <w:rPr>
          <w:color w:val="auto"/>
        </w:rPr>
        <w:fldChar w:fldCharType="end"/>
      </w:r>
      <w:r>
        <w:rPr>
          <w:color w:val="auto"/>
        </w:rPr>
        <w:fldChar w:fldCharType="end"/>
      </w:r>
    </w:p>
    <w:p w14:paraId="051B55F0">
      <w:pPr>
        <w:pStyle w:val="37"/>
        <w:tabs>
          <w:tab w:val="right" w:leader="dot" w:pos="8730"/>
        </w:tabs>
        <w:ind w:left="480"/>
        <w:rPr>
          <w:color w:val="auto"/>
        </w:rPr>
      </w:pPr>
      <w:r>
        <w:fldChar w:fldCharType="begin"/>
      </w:r>
      <w:r>
        <w:instrText xml:space="preserve"> HYPERLINK \l "_Toc1597" </w:instrText>
      </w:r>
      <w:r>
        <w:fldChar w:fldCharType="separate"/>
      </w:r>
      <w:r>
        <w:rPr>
          <w:rFonts w:eastAsia="黑体"/>
          <w:color w:val="auto"/>
          <w:kern w:val="2"/>
          <w:szCs w:val="20"/>
          <w:lang w:eastAsia="zh-CN" w:bidi="ar-SA"/>
        </w:rPr>
        <w:t>9. 是否采用电子招标投标</w:t>
      </w:r>
      <w:r>
        <w:rPr>
          <w:color w:val="auto"/>
        </w:rPr>
        <w:tab/>
      </w:r>
      <w:r>
        <w:rPr>
          <w:color w:val="auto"/>
        </w:rPr>
        <w:fldChar w:fldCharType="begin"/>
      </w:r>
      <w:r>
        <w:rPr>
          <w:color w:val="auto"/>
        </w:rPr>
        <w:instrText xml:space="preserve"> PAGEREF _Toc1597 \h </w:instrText>
      </w:r>
      <w:r>
        <w:rPr>
          <w:color w:val="auto"/>
        </w:rPr>
        <w:fldChar w:fldCharType="separate"/>
      </w:r>
      <w:r>
        <w:rPr>
          <w:color w:val="auto"/>
        </w:rPr>
        <w:t>42</w:t>
      </w:r>
      <w:r>
        <w:rPr>
          <w:color w:val="auto"/>
        </w:rPr>
        <w:fldChar w:fldCharType="end"/>
      </w:r>
      <w:r>
        <w:rPr>
          <w:color w:val="auto"/>
        </w:rPr>
        <w:fldChar w:fldCharType="end"/>
      </w:r>
    </w:p>
    <w:p w14:paraId="04BC999B">
      <w:pPr>
        <w:pStyle w:val="37"/>
        <w:tabs>
          <w:tab w:val="right" w:leader="dot" w:pos="8730"/>
        </w:tabs>
        <w:ind w:left="480"/>
        <w:rPr>
          <w:color w:val="auto"/>
        </w:rPr>
      </w:pPr>
      <w:r>
        <w:fldChar w:fldCharType="begin"/>
      </w:r>
      <w:r>
        <w:instrText xml:space="preserve"> HYPERLINK \l "_Toc2424" </w:instrText>
      </w:r>
      <w:r>
        <w:fldChar w:fldCharType="separate"/>
      </w:r>
      <w:r>
        <w:rPr>
          <w:rFonts w:eastAsia="黑体"/>
          <w:color w:val="auto"/>
          <w:kern w:val="2"/>
          <w:szCs w:val="20"/>
          <w:lang w:eastAsia="zh-CN" w:bidi="ar-SA"/>
        </w:rPr>
        <w:t>10. 需要补充的其他内容</w:t>
      </w:r>
      <w:r>
        <w:rPr>
          <w:color w:val="auto"/>
        </w:rPr>
        <w:tab/>
      </w:r>
      <w:r>
        <w:rPr>
          <w:color w:val="auto"/>
        </w:rPr>
        <w:fldChar w:fldCharType="begin"/>
      </w:r>
      <w:r>
        <w:rPr>
          <w:color w:val="auto"/>
        </w:rPr>
        <w:instrText xml:space="preserve"> PAGEREF _Toc2424 \h </w:instrText>
      </w:r>
      <w:r>
        <w:rPr>
          <w:color w:val="auto"/>
        </w:rPr>
        <w:fldChar w:fldCharType="separate"/>
      </w:r>
      <w:r>
        <w:rPr>
          <w:color w:val="auto"/>
        </w:rPr>
        <w:t>42</w:t>
      </w:r>
      <w:r>
        <w:rPr>
          <w:color w:val="auto"/>
        </w:rPr>
        <w:fldChar w:fldCharType="end"/>
      </w:r>
      <w:r>
        <w:rPr>
          <w:color w:val="auto"/>
        </w:rPr>
        <w:fldChar w:fldCharType="end"/>
      </w:r>
    </w:p>
    <w:p w14:paraId="525D7260">
      <w:pPr>
        <w:pStyle w:val="37"/>
        <w:tabs>
          <w:tab w:val="right" w:leader="dot" w:pos="8730"/>
        </w:tabs>
        <w:ind w:left="480"/>
        <w:rPr>
          <w:color w:val="auto"/>
        </w:rPr>
      </w:pPr>
      <w:r>
        <w:fldChar w:fldCharType="begin"/>
      </w:r>
      <w:r>
        <w:instrText xml:space="preserve"> HYPERLINK \l "_Toc27380" </w:instrText>
      </w:r>
      <w:r>
        <w:fldChar w:fldCharType="separate"/>
      </w:r>
      <w:r>
        <w:rPr>
          <w:rFonts w:ascii="宋体" w:hAnsi="宋体" w:eastAsia="宋体" w:cs="宋体"/>
          <w:color w:val="auto"/>
          <w:spacing w:val="-10"/>
          <w:lang w:eastAsia="zh-CN" w:bidi="ar-SA"/>
        </w:rPr>
        <w:t>附</w:t>
      </w:r>
      <w:r>
        <w:rPr>
          <w:rFonts w:hint="eastAsia" w:ascii="宋体" w:hAnsi="宋体" w:eastAsia="宋体" w:cs="宋体"/>
          <w:color w:val="auto"/>
          <w:spacing w:val="-10"/>
          <w:lang w:eastAsia="zh-CN" w:bidi="ar-SA"/>
        </w:rPr>
        <w:t>件一</w:t>
      </w:r>
      <w:r>
        <w:rPr>
          <w:rFonts w:ascii="宋体" w:hAnsi="宋体" w:eastAsia="宋体" w:cs="宋体"/>
          <w:color w:val="auto"/>
          <w:spacing w:val="-10"/>
          <w:lang w:eastAsia="zh-CN" w:bidi="ar-SA"/>
        </w:rPr>
        <w:t xml:space="preserve">  </w:t>
      </w:r>
      <w:r>
        <w:rPr>
          <w:rFonts w:hint="eastAsia" w:ascii="宋体" w:hAnsi="宋体" w:eastAsia="宋体" w:cs="宋体"/>
          <w:color w:val="auto"/>
          <w:spacing w:val="-10"/>
          <w:lang w:eastAsia="zh-CN" w:bidi="ar-SA"/>
        </w:rPr>
        <w:t>开标</w:t>
      </w:r>
      <w:r>
        <w:rPr>
          <w:rFonts w:ascii="宋体" w:hAnsi="宋体" w:eastAsia="宋体" w:cs="宋体"/>
          <w:color w:val="auto"/>
          <w:spacing w:val="-10"/>
          <w:lang w:eastAsia="zh-CN" w:bidi="ar-SA"/>
        </w:rPr>
        <w:t>记录表</w:t>
      </w:r>
      <w:r>
        <w:rPr>
          <w:color w:val="auto"/>
        </w:rPr>
        <w:tab/>
      </w:r>
      <w:r>
        <w:rPr>
          <w:color w:val="auto"/>
        </w:rPr>
        <w:fldChar w:fldCharType="begin"/>
      </w:r>
      <w:r>
        <w:rPr>
          <w:color w:val="auto"/>
        </w:rPr>
        <w:instrText xml:space="preserve"> PAGEREF _Toc27380 \h </w:instrText>
      </w:r>
      <w:r>
        <w:rPr>
          <w:color w:val="auto"/>
        </w:rPr>
        <w:fldChar w:fldCharType="separate"/>
      </w:r>
      <w:r>
        <w:rPr>
          <w:color w:val="auto"/>
        </w:rPr>
        <w:t>43</w:t>
      </w:r>
      <w:r>
        <w:rPr>
          <w:color w:val="auto"/>
        </w:rPr>
        <w:fldChar w:fldCharType="end"/>
      </w:r>
      <w:r>
        <w:rPr>
          <w:color w:val="auto"/>
        </w:rPr>
        <w:fldChar w:fldCharType="end"/>
      </w:r>
    </w:p>
    <w:p w14:paraId="65F9A703">
      <w:pPr>
        <w:pStyle w:val="37"/>
        <w:tabs>
          <w:tab w:val="right" w:leader="dot" w:pos="8730"/>
        </w:tabs>
        <w:ind w:left="480"/>
        <w:rPr>
          <w:color w:val="auto"/>
        </w:rPr>
      </w:pPr>
      <w:r>
        <w:fldChar w:fldCharType="begin"/>
      </w:r>
      <w:r>
        <w:instrText xml:space="preserve"> HYPERLINK \l "_Toc31654" </w:instrText>
      </w:r>
      <w:r>
        <w:fldChar w:fldCharType="separate"/>
      </w:r>
      <w:r>
        <w:rPr>
          <w:rFonts w:hint="eastAsia" w:ascii="宋体" w:hAnsi="宋体" w:eastAsia="宋体" w:cs="宋体"/>
          <w:color w:val="auto"/>
          <w:spacing w:val="-10"/>
          <w:lang w:eastAsia="zh-CN" w:bidi="ar-SA"/>
        </w:rPr>
        <w:t>附件</w:t>
      </w:r>
      <w:r>
        <w:rPr>
          <w:rFonts w:hint="eastAsia" w:eastAsia="宋体"/>
          <w:color w:val="auto"/>
          <w:lang w:eastAsia="zh-CN"/>
        </w:rPr>
        <w:t>二</w:t>
      </w:r>
      <w:r>
        <w:rPr>
          <w:rFonts w:hint="eastAsia" w:ascii="宋体" w:hAnsi="宋体" w:eastAsia="宋体" w:cs="宋体"/>
          <w:color w:val="auto"/>
          <w:spacing w:val="-10"/>
          <w:lang w:eastAsia="zh-CN" w:bidi="ar-SA"/>
        </w:rPr>
        <w:t xml:space="preserve">  问题澄清通知</w:t>
      </w:r>
      <w:r>
        <w:rPr>
          <w:color w:val="auto"/>
        </w:rPr>
        <w:tab/>
      </w:r>
      <w:r>
        <w:rPr>
          <w:color w:val="auto"/>
        </w:rPr>
        <w:fldChar w:fldCharType="begin"/>
      </w:r>
      <w:r>
        <w:rPr>
          <w:color w:val="auto"/>
        </w:rPr>
        <w:instrText xml:space="preserve"> PAGEREF _Toc31654 \h </w:instrText>
      </w:r>
      <w:r>
        <w:rPr>
          <w:color w:val="auto"/>
        </w:rPr>
        <w:fldChar w:fldCharType="separate"/>
      </w:r>
      <w:r>
        <w:rPr>
          <w:color w:val="auto"/>
        </w:rPr>
        <w:t>45</w:t>
      </w:r>
      <w:r>
        <w:rPr>
          <w:color w:val="auto"/>
        </w:rPr>
        <w:fldChar w:fldCharType="end"/>
      </w:r>
      <w:r>
        <w:rPr>
          <w:color w:val="auto"/>
        </w:rPr>
        <w:fldChar w:fldCharType="end"/>
      </w:r>
    </w:p>
    <w:p w14:paraId="35890BA3">
      <w:pPr>
        <w:pStyle w:val="37"/>
        <w:tabs>
          <w:tab w:val="right" w:leader="dot" w:pos="8730"/>
        </w:tabs>
        <w:ind w:left="480"/>
        <w:rPr>
          <w:color w:val="auto"/>
        </w:rPr>
      </w:pPr>
      <w:r>
        <w:fldChar w:fldCharType="begin"/>
      </w:r>
      <w:r>
        <w:instrText xml:space="preserve"> HYPERLINK \l "_Toc1550" </w:instrText>
      </w:r>
      <w:r>
        <w:fldChar w:fldCharType="separate"/>
      </w:r>
      <w:r>
        <w:rPr>
          <w:rFonts w:hint="eastAsia" w:ascii="宋体" w:hAnsi="宋体" w:eastAsia="宋体" w:cs="宋体"/>
          <w:color w:val="auto"/>
          <w:spacing w:val="-10"/>
          <w:lang w:eastAsia="zh-CN" w:bidi="ar-SA"/>
        </w:rPr>
        <w:t>附件三</w:t>
      </w:r>
      <w:r>
        <w:rPr>
          <w:rFonts w:ascii="宋体" w:hAnsi="宋体" w:eastAsia="宋体" w:cs="宋体"/>
          <w:color w:val="auto"/>
          <w:spacing w:val="-10"/>
          <w:lang w:eastAsia="zh-CN" w:bidi="ar-SA"/>
        </w:rPr>
        <w:t xml:space="preserve"> </w:t>
      </w:r>
      <w:r>
        <w:rPr>
          <w:rFonts w:hint="eastAsia" w:ascii="宋体" w:hAnsi="宋体" w:eastAsia="宋体" w:cs="宋体"/>
          <w:color w:val="auto"/>
          <w:spacing w:val="-10"/>
          <w:lang w:eastAsia="zh-CN" w:bidi="ar-SA"/>
        </w:rPr>
        <w:t xml:space="preserve"> 问题的澄清</w:t>
      </w:r>
      <w:r>
        <w:rPr>
          <w:color w:val="auto"/>
        </w:rPr>
        <w:tab/>
      </w:r>
      <w:r>
        <w:rPr>
          <w:color w:val="auto"/>
        </w:rPr>
        <w:fldChar w:fldCharType="begin"/>
      </w:r>
      <w:r>
        <w:rPr>
          <w:color w:val="auto"/>
        </w:rPr>
        <w:instrText xml:space="preserve"> PAGEREF _Toc1550 \h </w:instrText>
      </w:r>
      <w:r>
        <w:rPr>
          <w:color w:val="auto"/>
        </w:rPr>
        <w:fldChar w:fldCharType="separate"/>
      </w:r>
      <w:r>
        <w:rPr>
          <w:color w:val="auto"/>
        </w:rPr>
        <w:t>46</w:t>
      </w:r>
      <w:r>
        <w:rPr>
          <w:color w:val="auto"/>
        </w:rPr>
        <w:fldChar w:fldCharType="end"/>
      </w:r>
      <w:r>
        <w:rPr>
          <w:color w:val="auto"/>
        </w:rPr>
        <w:fldChar w:fldCharType="end"/>
      </w:r>
    </w:p>
    <w:p w14:paraId="6590351E">
      <w:pPr>
        <w:pStyle w:val="37"/>
        <w:tabs>
          <w:tab w:val="right" w:leader="dot" w:pos="8730"/>
        </w:tabs>
        <w:ind w:left="480"/>
        <w:rPr>
          <w:color w:val="auto"/>
        </w:rPr>
      </w:pPr>
      <w:r>
        <w:fldChar w:fldCharType="begin"/>
      </w:r>
      <w:r>
        <w:instrText xml:space="preserve"> HYPERLINK \l "_Toc23948" </w:instrText>
      </w:r>
      <w:r>
        <w:fldChar w:fldCharType="separate"/>
      </w:r>
      <w:r>
        <w:rPr>
          <w:rFonts w:hint="eastAsia" w:ascii="宋体" w:hAnsi="宋体" w:eastAsia="宋体" w:cs="宋体"/>
          <w:color w:val="auto"/>
          <w:spacing w:val="-10"/>
          <w:lang w:eastAsia="zh-CN" w:bidi="ar-SA"/>
        </w:rPr>
        <w:t>附件四</w:t>
      </w:r>
      <w:r>
        <w:rPr>
          <w:rFonts w:ascii="宋体" w:hAnsi="宋体" w:eastAsia="宋体" w:cs="宋体"/>
          <w:color w:val="auto"/>
          <w:spacing w:val="-10"/>
          <w:lang w:eastAsia="zh-CN" w:bidi="ar-SA"/>
        </w:rPr>
        <w:t xml:space="preserve"> </w:t>
      </w:r>
      <w:r>
        <w:rPr>
          <w:rFonts w:hint="eastAsia" w:ascii="宋体" w:hAnsi="宋体" w:eastAsia="宋体" w:cs="宋体"/>
          <w:color w:val="auto"/>
          <w:spacing w:val="-10"/>
          <w:lang w:eastAsia="zh-CN" w:bidi="ar-SA"/>
        </w:rPr>
        <w:t xml:space="preserve"> 中标通知书</w:t>
      </w:r>
      <w:r>
        <w:rPr>
          <w:color w:val="auto"/>
        </w:rPr>
        <w:tab/>
      </w:r>
      <w:r>
        <w:rPr>
          <w:color w:val="auto"/>
        </w:rPr>
        <w:fldChar w:fldCharType="begin"/>
      </w:r>
      <w:r>
        <w:rPr>
          <w:color w:val="auto"/>
        </w:rPr>
        <w:instrText xml:space="preserve"> PAGEREF _Toc23948 \h </w:instrText>
      </w:r>
      <w:r>
        <w:rPr>
          <w:color w:val="auto"/>
        </w:rPr>
        <w:fldChar w:fldCharType="separate"/>
      </w:r>
      <w:r>
        <w:rPr>
          <w:color w:val="auto"/>
        </w:rPr>
        <w:t>47</w:t>
      </w:r>
      <w:r>
        <w:rPr>
          <w:color w:val="auto"/>
        </w:rPr>
        <w:fldChar w:fldCharType="end"/>
      </w:r>
      <w:r>
        <w:rPr>
          <w:color w:val="auto"/>
        </w:rPr>
        <w:fldChar w:fldCharType="end"/>
      </w:r>
    </w:p>
    <w:p w14:paraId="6852B5FC">
      <w:pPr>
        <w:pStyle w:val="31"/>
        <w:tabs>
          <w:tab w:val="right" w:leader="dot" w:pos="8730"/>
        </w:tabs>
        <w:rPr>
          <w:color w:val="auto"/>
        </w:rPr>
      </w:pPr>
      <w:r>
        <w:fldChar w:fldCharType="begin"/>
      </w:r>
      <w:r>
        <w:instrText xml:space="preserve"> HYPERLINK \l "_Toc11866" </w:instrText>
      </w:r>
      <w:r>
        <w:fldChar w:fldCharType="separate"/>
      </w:r>
      <w:r>
        <w:rPr>
          <w:rFonts w:hint="eastAsia" w:ascii="宋体" w:hAnsi="宋体" w:eastAsia="宋体"/>
          <w:color w:val="auto"/>
          <w:spacing w:val="-11"/>
          <w:szCs w:val="44"/>
          <w:lang w:eastAsia="zh-CN" w:bidi="ar-SA"/>
        </w:rPr>
        <w:t xml:space="preserve">第三章  </w:t>
      </w:r>
      <w:r>
        <w:rPr>
          <w:rFonts w:ascii="宋体" w:hAnsi="宋体" w:eastAsia="宋体"/>
          <w:color w:val="auto"/>
          <w:spacing w:val="-11"/>
          <w:szCs w:val="44"/>
          <w:lang w:eastAsia="zh-CN" w:bidi="ar-SA"/>
        </w:rPr>
        <w:t>评标办法</w:t>
      </w:r>
      <w:r>
        <w:rPr>
          <w:color w:val="auto"/>
        </w:rPr>
        <w:tab/>
      </w:r>
      <w:r>
        <w:rPr>
          <w:color w:val="auto"/>
        </w:rPr>
        <w:fldChar w:fldCharType="begin"/>
      </w:r>
      <w:r>
        <w:rPr>
          <w:color w:val="auto"/>
        </w:rPr>
        <w:instrText xml:space="preserve"> PAGEREF _Toc11866 \h </w:instrText>
      </w:r>
      <w:r>
        <w:rPr>
          <w:color w:val="auto"/>
        </w:rPr>
        <w:fldChar w:fldCharType="separate"/>
      </w:r>
      <w:r>
        <w:rPr>
          <w:color w:val="auto"/>
        </w:rPr>
        <w:t>48</w:t>
      </w:r>
      <w:r>
        <w:rPr>
          <w:color w:val="auto"/>
        </w:rPr>
        <w:fldChar w:fldCharType="end"/>
      </w:r>
      <w:r>
        <w:rPr>
          <w:color w:val="auto"/>
        </w:rPr>
        <w:fldChar w:fldCharType="end"/>
      </w:r>
    </w:p>
    <w:p w14:paraId="481C6893">
      <w:pPr>
        <w:pStyle w:val="37"/>
        <w:tabs>
          <w:tab w:val="right" w:leader="dot" w:pos="8730"/>
        </w:tabs>
        <w:ind w:left="480"/>
        <w:rPr>
          <w:color w:val="auto"/>
        </w:rPr>
      </w:pPr>
      <w:r>
        <w:fldChar w:fldCharType="begin"/>
      </w:r>
      <w:r>
        <w:instrText xml:space="preserve"> HYPERLINK \l "_Toc17354" </w:instrText>
      </w:r>
      <w:r>
        <w:fldChar w:fldCharType="separate"/>
      </w:r>
      <w:r>
        <w:rPr>
          <w:rFonts w:hint="eastAsia"/>
          <w:color w:val="auto"/>
        </w:rPr>
        <w:t>评标办法前附表</w:t>
      </w:r>
      <w:r>
        <w:rPr>
          <w:color w:val="auto"/>
        </w:rPr>
        <w:tab/>
      </w:r>
      <w:r>
        <w:rPr>
          <w:color w:val="auto"/>
        </w:rPr>
        <w:fldChar w:fldCharType="begin"/>
      </w:r>
      <w:r>
        <w:rPr>
          <w:color w:val="auto"/>
        </w:rPr>
        <w:instrText xml:space="preserve"> PAGEREF _Toc17354 \h </w:instrText>
      </w:r>
      <w:r>
        <w:rPr>
          <w:color w:val="auto"/>
        </w:rPr>
        <w:fldChar w:fldCharType="separate"/>
      </w:r>
      <w:r>
        <w:rPr>
          <w:color w:val="auto"/>
        </w:rPr>
        <w:t>50</w:t>
      </w:r>
      <w:r>
        <w:rPr>
          <w:color w:val="auto"/>
        </w:rPr>
        <w:fldChar w:fldCharType="end"/>
      </w:r>
      <w:r>
        <w:rPr>
          <w:color w:val="auto"/>
        </w:rPr>
        <w:fldChar w:fldCharType="end"/>
      </w:r>
    </w:p>
    <w:p w14:paraId="04E4BC0D">
      <w:pPr>
        <w:pStyle w:val="37"/>
        <w:tabs>
          <w:tab w:val="right" w:leader="dot" w:pos="8730"/>
        </w:tabs>
        <w:ind w:left="480"/>
        <w:rPr>
          <w:color w:val="auto"/>
        </w:rPr>
      </w:pPr>
      <w:r>
        <w:fldChar w:fldCharType="begin"/>
      </w:r>
      <w:r>
        <w:instrText xml:space="preserve"> HYPERLINK \l "_Toc736" </w:instrText>
      </w:r>
      <w:r>
        <w:fldChar w:fldCharType="separate"/>
      </w:r>
      <w:r>
        <w:rPr>
          <w:color w:val="auto"/>
          <w:kern w:val="28"/>
          <w:szCs w:val="28"/>
        </w:rPr>
        <w:t xml:space="preserve">1. </w:t>
      </w:r>
      <w:r>
        <w:rPr>
          <w:rFonts w:hint="eastAsia"/>
          <w:color w:val="auto"/>
          <w:kern w:val="28"/>
          <w:szCs w:val="28"/>
        </w:rPr>
        <w:t>评标方法</w:t>
      </w:r>
      <w:r>
        <w:rPr>
          <w:color w:val="auto"/>
        </w:rPr>
        <w:tab/>
      </w:r>
      <w:r>
        <w:rPr>
          <w:color w:val="auto"/>
        </w:rPr>
        <w:fldChar w:fldCharType="begin"/>
      </w:r>
      <w:r>
        <w:rPr>
          <w:color w:val="auto"/>
        </w:rPr>
        <w:instrText xml:space="preserve"> PAGEREF _Toc736 \h </w:instrText>
      </w:r>
      <w:r>
        <w:rPr>
          <w:color w:val="auto"/>
        </w:rPr>
        <w:fldChar w:fldCharType="separate"/>
      </w:r>
      <w:r>
        <w:rPr>
          <w:color w:val="auto"/>
        </w:rPr>
        <w:t>55</w:t>
      </w:r>
      <w:r>
        <w:rPr>
          <w:color w:val="auto"/>
        </w:rPr>
        <w:fldChar w:fldCharType="end"/>
      </w:r>
      <w:r>
        <w:rPr>
          <w:color w:val="auto"/>
        </w:rPr>
        <w:fldChar w:fldCharType="end"/>
      </w:r>
    </w:p>
    <w:p w14:paraId="560F00BC">
      <w:pPr>
        <w:pStyle w:val="37"/>
        <w:tabs>
          <w:tab w:val="right" w:leader="dot" w:pos="8730"/>
        </w:tabs>
        <w:ind w:left="480"/>
        <w:rPr>
          <w:color w:val="auto"/>
        </w:rPr>
      </w:pPr>
      <w:r>
        <w:fldChar w:fldCharType="begin"/>
      </w:r>
      <w:r>
        <w:instrText xml:space="preserve"> HYPERLINK \l "_Toc17054" </w:instrText>
      </w:r>
      <w:r>
        <w:fldChar w:fldCharType="separate"/>
      </w:r>
      <w:r>
        <w:rPr>
          <w:color w:val="auto"/>
          <w:kern w:val="28"/>
          <w:szCs w:val="28"/>
        </w:rPr>
        <w:t xml:space="preserve">2. </w:t>
      </w:r>
      <w:r>
        <w:rPr>
          <w:rFonts w:hint="eastAsia"/>
          <w:color w:val="auto"/>
          <w:kern w:val="28"/>
          <w:szCs w:val="28"/>
        </w:rPr>
        <w:t>评审标准</w:t>
      </w:r>
      <w:r>
        <w:rPr>
          <w:color w:val="auto"/>
        </w:rPr>
        <w:tab/>
      </w:r>
      <w:r>
        <w:rPr>
          <w:color w:val="auto"/>
        </w:rPr>
        <w:fldChar w:fldCharType="begin"/>
      </w:r>
      <w:r>
        <w:rPr>
          <w:color w:val="auto"/>
        </w:rPr>
        <w:instrText xml:space="preserve"> PAGEREF _Toc17054 \h </w:instrText>
      </w:r>
      <w:r>
        <w:rPr>
          <w:color w:val="auto"/>
        </w:rPr>
        <w:fldChar w:fldCharType="separate"/>
      </w:r>
      <w:r>
        <w:rPr>
          <w:color w:val="auto"/>
        </w:rPr>
        <w:t>55</w:t>
      </w:r>
      <w:r>
        <w:rPr>
          <w:color w:val="auto"/>
        </w:rPr>
        <w:fldChar w:fldCharType="end"/>
      </w:r>
      <w:r>
        <w:rPr>
          <w:color w:val="auto"/>
        </w:rPr>
        <w:fldChar w:fldCharType="end"/>
      </w:r>
    </w:p>
    <w:p w14:paraId="189C071D">
      <w:pPr>
        <w:pStyle w:val="22"/>
        <w:tabs>
          <w:tab w:val="right" w:leader="dot" w:pos="8730"/>
        </w:tabs>
        <w:ind w:left="960"/>
        <w:rPr>
          <w:color w:val="auto"/>
        </w:rPr>
      </w:pPr>
      <w:r>
        <w:fldChar w:fldCharType="begin"/>
      </w:r>
      <w:r>
        <w:instrText xml:space="preserve"> HYPERLINK \l "_Toc23249" </w:instrText>
      </w:r>
      <w:r>
        <w:fldChar w:fldCharType="separate"/>
      </w:r>
      <w:r>
        <w:rPr>
          <w:rFonts w:hint="eastAsia"/>
          <w:color w:val="auto"/>
        </w:rPr>
        <w:t>2.1 初步评审标准</w:t>
      </w:r>
      <w:r>
        <w:rPr>
          <w:color w:val="auto"/>
        </w:rPr>
        <w:tab/>
      </w:r>
      <w:r>
        <w:rPr>
          <w:color w:val="auto"/>
        </w:rPr>
        <w:fldChar w:fldCharType="begin"/>
      </w:r>
      <w:r>
        <w:rPr>
          <w:color w:val="auto"/>
        </w:rPr>
        <w:instrText xml:space="preserve"> PAGEREF _Toc23249 \h </w:instrText>
      </w:r>
      <w:r>
        <w:rPr>
          <w:color w:val="auto"/>
        </w:rPr>
        <w:fldChar w:fldCharType="separate"/>
      </w:r>
      <w:r>
        <w:rPr>
          <w:color w:val="auto"/>
        </w:rPr>
        <w:t>55</w:t>
      </w:r>
      <w:r>
        <w:rPr>
          <w:color w:val="auto"/>
        </w:rPr>
        <w:fldChar w:fldCharType="end"/>
      </w:r>
      <w:r>
        <w:rPr>
          <w:color w:val="auto"/>
        </w:rPr>
        <w:fldChar w:fldCharType="end"/>
      </w:r>
    </w:p>
    <w:p w14:paraId="34C99CB5">
      <w:pPr>
        <w:pStyle w:val="22"/>
        <w:tabs>
          <w:tab w:val="right" w:pos="3600"/>
          <w:tab w:val="right" w:leader="dot" w:pos="8730"/>
        </w:tabs>
        <w:ind w:left="960"/>
        <w:rPr>
          <w:color w:val="auto"/>
        </w:rPr>
      </w:pPr>
      <w:r>
        <w:fldChar w:fldCharType="begin"/>
      </w:r>
      <w:r>
        <w:instrText xml:space="preserve"> HYPERLINK \l "_Toc24737" </w:instrText>
      </w:r>
      <w:r>
        <w:fldChar w:fldCharType="separate"/>
      </w:r>
      <w:r>
        <w:rPr>
          <w:rFonts w:hint="eastAsia"/>
          <w:color w:val="auto"/>
          <w:lang w:eastAsia="zh-CN"/>
        </w:rPr>
        <w:t>2.2</w:t>
      </w:r>
      <w:r>
        <w:rPr>
          <w:rFonts w:hint="eastAsia"/>
          <w:color w:val="auto"/>
          <w:lang w:eastAsia="zh-CN"/>
        </w:rPr>
        <w:tab/>
      </w:r>
      <w:r>
        <w:rPr>
          <w:rFonts w:hint="eastAsia"/>
          <w:color w:val="auto"/>
          <w:lang w:eastAsia="zh-CN"/>
        </w:rPr>
        <w:t>分值构成与评分标准</w:t>
      </w:r>
      <w:r>
        <w:rPr>
          <w:color w:val="auto"/>
        </w:rPr>
        <w:tab/>
      </w:r>
      <w:r>
        <w:rPr>
          <w:color w:val="auto"/>
        </w:rPr>
        <w:fldChar w:fldCharType="begin"/>
      </w:r>
      <w:r>
        <w:rPr>
          <w:color w:val="auto"/>
        </w:rPr>
        <w:instrText xml:space="preserve"> PAGEREF _Toc24737 \h </w:instrText>
      </w:r>
      <w:r>
        <w:rPr>
          <w:color w:val="auto"/>
        </w:rPr>
        <w:fldChar w:fldCharType="separate"/>
      </w:r>
      <w:r>
        <w:rPr>
          <w:color w:val="auto"/>
        </w:rPr>
        <w:t>55</w:t>
      </w:r>
      <w:r>
        <w:rPr>
          <w:color w:val="auto"/>
        </w:rPr>
        <w:fldChar w:fldCharType="end"/>
      </w:r>
      <w:r>
        <w:rPr>
          <w:color w:val="auto"/>
        </w:rPr>
        <w:fldChar w:fldCharType="end"/>
      </w:r>
    </w:p>
    <w:p w14:paraId="358D95EF">
      <w:pPr>
        <w:pStyle w:val="37"/>
        <w:tabs>
          <w:tab w:val="right" w:leader="dot" w:pos="8730"/>
        </w:tabs>
        <w:ind w:left="480"/>
        <w:rPr>
          <w:color w:val="auto"/>
        </w:rPr>
      </w:pPr>
      <w:r>
        <w:fldChar w:fldCharType="begin"/>
      </w:r>
      <w:r>
        <w:instrText xml:space="preserve"> HYPERLINK \l "_Toc9706" </w:instrText>
      </w:r>
      <w:r>
        <w:fldChar w:fldCharType="separate"/>
      </w:r>
      <w:r>
        <w:rPr>
          <w:rFonts w:hint="eastAsia"/>
          <w:color w:val="auto"/>
          <w:kern w:val="28"/>
          <w:szCs w:val="28"/>
          <w:lang w:eastAsia="zh-CN"/>
        </w:rPr>
        <w:t>3. 评标程序</w:t>
      </w:r>
      <w:r>
        <w:rPr>
          <w:color w:val="auto"/>
        </w:rPr>
        <w:tab/>
      </w:r>
      <w:r>
        <w:rPr>
          <w:color w:val="auto"/>
        </w:rPr>
        <w:fldChar w:fldCharType="begin"/>
      </w:r>
      <w:r>
        <w:rPr>
          <w:color w:val="auto"/>
        </w:rPr>
        <w:instrText xml:space="preserve"> PAGEREF _Toc9706 \h </w:instrText>
      </w:r>
      <w:r>
        <w:rPr>
          <w:color w:val="auto"/>
        </w:rPr>
        <w:fldChar w:fldCharType="separate"/>
      </w:r>
      <w:r>
        <w:rPr>
          <w:color w:val="auto"/>
        </w:rPr>
        <w:t>56</w:t>
      </w:r>
      <w:r>
        <w:rPr>
          <w:color w:val="auto"/>
        </w:rPr>
        <w:fldChar w:fldCharType="end"/>
      </w:r>
      <w:r>
        <w:rPr>
          <w:color w:val="auto"/>
        </w:rPr>
        <w:fldChar w:fldCharType="end"/>
      </w:r>
    </w:p>
    <w:p w14:paraId="13BDC4EC">
      <w:pPr>
        <w:pStyle w:val="22"/>
        <w:tabs>
          <w:tab w:val="right" w:pos="3600"/>
          <w:tab w:val="right" w:leader="dot" w:pos="8730"/>
        </w:tabs>
        <w:ind w:left="960"/>
        <w:rPr>
          <w:color w:val="auto"/>
        </w:rPr>
      </w:pPr>
      <w:r>
        <w:fldChar w:fldCharType="begin"/>
      </w:r>
      <w:r>
        <w:instrText xml:space="preserve"> HYPERLINK \l "_Toc19476" </w:instrText>
      </w:r>
      <w:r>
        <w:fldChar w:fldCharType="separate"/>
      </w:r>
      <w:r>
        <w:rPr>
          <w:rFonts w:hint="eastAsia"/>
          <w:color w:val="auto"/>
          <w:lang w:eastAsia="zh-CN"/>
        </w:rPr>
        <w:t>3.1</w:t>
      </w:r>
      <w:r>
        <w:rPr>
          <w:rFonts w:hint="eastAsia"/>
          <w:color w:val="auto"/>
          <w:lang w:eastAsia="zh-CN"/>
        </w:rPr>
        <w:tab/>
      </w:r>
      <w:r>
        <w:rPr>
          <w:rFonts w:hint="eastAsia" w:ascii="宋体" w:hAnsi="宋体" w:eastAsia="宋体" w:cs="宋体"/>
          <w:color w:val="auto"/>
          <w:lang w:eastAsia="zh-CN"/>
        </w:rPr>
        <w:t>第一个信封初步评审</w:t>
      </w:r>
      <w:r>
        <w:rPr>
          <w:color w:val="auto"/>
        </w:rPr>
        <w:tab/>
      </w:r>
      <w:r>
        <w:rPr>
          <w:color w:val="auto"/>
        </w:rPr>
        <w:fldChar w:fldCharType="begin"/>
      </w:r>
      <w:r>
        <w:rPr>
          <w:color w:val="auto"/>
        </w:rPr>
        <w:instrText xml:space="preserve"> PAGEREF _Toc19476 \h </w:instrText>
      </w:r>
      <w:r>
        <w:rPr>
          <w:color w:val="auto"/>
        </w:rPr>
        <w:fldChar w:fldCharType="separate"/>
      </w:r>
      <w:r>
        <w:rPr>
          <w:color w:val="auto"/>
        </w:rPr>
        <w:t>56</w:t>
      </w:r>
      <w:r>
        <w:rPr>
          <w:color w:val="auto"/>
        </w:rPr>
        <w:fldChar w:fldCharType="end"/>
      </w:r>
      <w:r>
        <w:rPr>
          <w:color w:val="auto"/>
        </w:rPr>
        <w:fldChar w:fldCharType="end"/>
      </w:r>
    </w:p>
    <w:p w14:paraId="72385611">
      <w:pPr>
        <w:pStyle w:val="22"/>
        <w:tabs>
          <w:tab w:val="right" w:pos="3600"/>
          <w:tab w:val="right" w:leader="dot" w:pos="8730"/>
        </w:tabs>
        <w:ind w:left="960"/>
        <w:rPr>
          <w:color w:val="auto"/>
        </w:rPr>
      </w:pPr>
      <w:r>
        <w:fldChar w:fldCharType="begin"/>
      </w:r>
      <w:r>
        <w:instrText xml:space="preserve"> HYPERLINK \l "_Toc18677" </w:instrText>
      </w:r>
      <w:r>
        <w:fldChar w:fldCharType="separate"/>
      </w:r>
      <w:r>
        <w:rPr>
          <w:rFonts w:hint="eastAsia"/>
          <w:color w:val="auto"/>
          <w:lang w:eastAsia="zh-CN"/>
        </w:rPr>
        <w:t>3.2</w:t>
      </w:r>
      <w:r>
        <w:rPr>
          <w:rFonts w:hint="eastAsia"/>
          <w:color w:val="auto"/>
          <w:lang w:eastAsia="zh-CN"/>
        </w:rPr>
        <w:tab/>
      </w:r>
      <w:r>
        <w:rPr>
          <w:rFonts w:hint="eastAsia" w:ascii="宋体" w:hAnsi="宋体" w:eastAsia="宋体" w:cs="宋体"/>
          <w:color w:val="auto"/>
          <w:lang w:eastAsia="zh-CN"/>
        </w:rPr>
        <w:t>第一个信封详细评审</w:t>
      </w:r>
      <w:r>
        <w:rPr>
          <w:color w:val="auto"/>
        </w:rPr>
        <w:tab/>
      </w:r>
      <w:r>
        <w:rPr>
          <w:color w:val="auto"/>
        </w:rPr>
        <w:fldChar w:fldCharType="begin"/>
      </w:r>
      <w:r>
        <w:rPr>
          <w:color w:val="auto"/>
        </w:rPr>
        <w:instrText xml:space="preserve"> PAGEREF _Toc18677 \h </w:instrText>
      </w:r>
      <w:r>
        <w:rPr>
          <w:color w:val="auto"/>
        </w:rPr>
        <w:fldChar w:fldCharType="separate"/>
      </w:r>
      <w:r>
        <w:rPr>
          <w:color w:val="auto"/>
        </w:rPr>
        <w:t>56</w:t>
      </w:r>
      <w:r>
        <w:rPr>
          <w:color w:val="auto"/>
        </w:rPr>
        <w:fldChar w:fldCharType="end"/>
      </w:r>
      <w:r>
        <w:rPr>
          <w:color w:val="auto"/>
        </w:rPr>
        <w:fldChar w:fldCharType="end"/>
      </w:r>
    </w:p>
    <w:p w14:paraId="764ABD30">
      <w:pPr>
        <w:pStyle w:val="22"/>
        <w:tabs>
          <w:tab w:val="right" w:pos="3600"/>
          <w:tab w:val="right" w:leader="dot" w:pos="8730"/>
        </w:tabs>
        <w:ind w:left="960"/>
        <w:rPr>
          <w:color w:val="auto"/>
        </w:rPr>
      </w:pPr>
      <w:r>
        <w:fldChar w:fldCharType="begin"/>
      </w:r>
      <w:r>
        <w:instrText xml:space="preserve"> HYPERLINK \l "_Toc20453" </w:instrText>
      </w:r>
      <w:r>
        <w:fldChar w:fldCharType="separate"/>
      </w:r>
      <w:r>
        <w:rPr>
          <w:rFonts w:hint="eastAsia"/>
          <w:color w:val="auto"/>
          <w:lang w:eastAsia="zh-CN"/>
        </w:rPr>
        <w:t>3.3</w:t>
      </w:r>
      <w:r>
        <w:rPr>
          <w:rFonts w:hint="eastAsia"/>
          <w:color w:val="auto"/>
          <w:lang w:eastAsia="zh-CN"/>
        </w:rPr>
        <w:tab/>
      </w:r>
      <w:r>
        <w:rPr>
          <w:rFonts w:hint="eastAsia" w:ascii="宋体" w:hAnsi="宋体" w:eastAsia="宋体" w:cs="宋体"/>
          <w:color w:val="auto"/>
          <w:lang w:eastAsia="zh-CN"/>
        </w:rPr>
        <w:t>第二个信封开标</w:t>
      </w:r>
      <w:r>
        <w:rPr>
          <w:color w:val="auto"/>
        </w:rPr>
        <w:tab/>
      </w:r>
      <w:r>
        <w:rPr>
          <w:color w:val="auto"/>
        </w:rPr>
        <w:fldChar w:fldCharType="begin"/>
      </w:r>
      <w:r>
        <w:rPr>
          <w:color w:val="auto"/>
        </w:rPr>
        <w:instrText xml:space="preserve"> PAGEREF _Toc20453 \h </w:instrText>
      </w:r>
      <w:r>
        <w:rPr>
          <w:color w:val="auto"/>
        </w:rPr>
        <w:fldChar w:fldCharType="separate"/>
      </w:r>
      <w:r>
        <w:rPr>
          <w:color w:val="auto"/>
        </w:rPr>
        <w:t>56</w:t>
      </w:r>
      <w:r>
        <w:rPr>
          <w:color w:val="auto"/>
        </w:rPr>
        <w:fldChar w:fldCharType="end"/>
      </w:r>
      <w:r>
        <w:rPr>
          <w:color w:val="auto"/>
        </w:rPr>
        <w:fldChar w:fldCharType="end"/>
      </w:r>
    </w:p>
    <w:p w14:paraId="2C48D3BF">
      <w:pPr>
        <w:pStyle w:val="22"/>
        <w:tabs>
          <w:tab w:val="right" w:pos="3600"/>
          <w:tab w:val="right" w:leader="dot" w:pos="8730"/>
        </w:tabs>
        <w:ind w:left="960"/>
        <w:rPr>
          <w:color w:val="auto"/>
        </w:rPr>
      </w:pPr>
      <w:r>
        <w:fldChar w:fldCharType="begin"/>
      </w:r>
      <w:r>
        <w:instrText xml:space="preserve"> HYPERLINK \l "_Toc8014" </w:instrText>
      </w:r>
      <w:r>
        <w:fldChar w:fldCharType="separate"/>
      </w:r>
      <w:r>
        <w:rPr>
          <w:rFonts w:hint="eastAsia"/>
          <w:color w:val="auto"/>
          <w:lang w:eastAsia="zh-CN"/>
        </w:rPr>
        <w:t>3.4</w:t>
      </w:r>
      <w:r>
        <w:rPr>
          <w:rFonts w:hint="eastAsia"/>
          <w:color w:val="auto"/>
          <w:lang w:eastAsia="zh-CN"/>
        </w:rPr>
        <w:tab/>
      </w:r>
      <w:r>
        <w:rPr>
          <w:rFonts w:hint="eastAsia" w:ascii="宋体" w:hAnsi="宋体" w:eastAsia="宋体" w:cs="宋体"/>
          <w:color w:val="auto"/>
          <w:lang w:eastAsia="zh-CN"/>
        </w:rPr>
        <w:t>第二个信封初步评审</w:t>
      </w:r>
      <w:r>
        <w:rPr>
          <w:color w:val="auto"/>
        </w:rPr>
        <w:tab/>
      </w:r>
      <w:r>
        <w:rPr>
          <w:color w:val="auto"/>
        </w:rPr>
        <w:fldChar w:fldCharType="begin"/>
      </w:r>
      <w:r>
        <w:rPr>
          <w:color w:val="auto"/>
        </w:rPr>
        <w:instrText xml:space="preserve"> PAGEREF _Toc8014 \h </w:instrText>
      </w:r>
      <w:r>
        <w:rPr>
          <w:color w:val="auto"/>
        </w:rPr>
        <w:fldChar w:fldCharType="separate"/>
      </w:r>
      <w:r>
        <w:rPr>
          <w:color w:val="auto"/>
        </w:rPr>
        <w:t>56</w:t>
      </w:r>
      <w:r>
        <w:rPr>
          <w:color w:val="auto"/>
        </w:rPr>
        <w:fldChar w:fldCharType="end"/>
      </w:r>
      <w:r>
        <w:rPr>
          <w:color w:val="auto"/>
        </w:rPr>
        <w:fldChar w:fldCharType="end"/>
      </w:r>
    </w:p>
    <w:p w14:paraId="00F0233A">
      <w:pPr>
        <w:pStyle w:val="22"/>
        <w:tabs>
          <w:tab w:val="right" w:pos="3600"/>
          <w:tab w:val="right" w:leader="dot" w:pos="8730"/>
        </w:tabs>
        <w:ind w:left="960"/>
        <w:rPr>
          <w:color w:val="auto"/>
        </w:rPr>
      </w:pPr>
      <w:r>
        <w:fldChar w:fldCharType="begin"/>
      </w:r>
      <w:r>
        <w:instrText xml:space="preserve"> HYPERLINK \l "_Toc11672" </w:instrText>
      </w:r>
      <w:r>
        <w:fldChar w:fldCharType="separate"/>
      </w:r>
      <w:r>
        <w:rPr>
          <w:rFonts w:hint="eastAsia"/>
          <w:color w:val="auto"/>
          <w:lang w:eastAsia="zh-CN"/>
        </w:rPr>
        <w:t>3.5</w:t>
      </w:r>
      <w:r>
        <w:rPr>
          <w:rFonts w:hint="eastAsia"/>
          <w:color w:val="auto"/>
          <w:lang w:eastAsia="zh-CN"/>
        </w:rPr>
        <w:tab/>
      </w:r>
      <w:r>
        <w:rPr>
          <w:rFonts w:hint="eastAsia" w:ascii="宋体" w:hAnsi="宋体" w:eastAsia="宋体" w:cs="宋体"/>
          <w:color w:val="auto"/>
          <w:lang w:eastAsia="zh-CN"/>
        </w:rPr>
        <w:t>第二个信封详细评审</w:t>
      </w:r>
      <w:r>
        <w:rPr>
          <w:color w:val="auto"/>
        </w:rPr>
        <w:tab/>
      </w:r>
      <w:r>
        <w:rPr>
          <w:color w:val="auto"/>
        </w:rPr>
        <w:fldChar w:fldCharType="begin"/>
      </w:r>
      <w:r>
        <w:rPr>
          <w:color w:val="auto"/>
        </w:rPr>
        <w:instrText xml:space="preserve"> PAGEREF _Toc11672 \h </w:instrText>
      </w:r>
      <w:r>
        <w:rPr>
          <w:color w:val="auto"/>
        </w:rPr>
        <w:fldChar w:fldCharType="separate"/>
      </w:r>
      <w:r>
        <w:rPr>
          <w:color w:val="auto"/>
        </w:rPr>
        <w:t>57</w:t>
      </w:r>
      <w:r>
        <w:rPr>
          <w:color w:val="auto"/>
        </w:rPr>
        <w:fldChar w:fldCharType="end"/>
      </w:r>
      <w:r>
        <w:rPr>
          <w:color w:val="auto"/>
        </w:rPr>
        <w:fldChar w:fldCharType="end"/>
      </w:r>
    </w:p>
    <w:p w14:paraId="17841D92">
      <w:pPr>
        <w:pStyle w:val="22"/>
        <w:tabs>
          <w:tab w:val="right" w:pos="3600"/>
          <w:tab w:val="right" w:leader="dot" w:pos="8730"/>
        </w:tabs>
        <w:ind w:left="960"/>
        <w:rPr>
          <w:color w:val="auto"/>
        </w:rPr>
      </w:pPr>
      <w:r>
        <w:fldChar w:fldCharType="begin"/>
      </w:r>
      <w:r>
        <w:instrText xml:space="preserve"> HYPERLINK \l "_Toc20886" </w:instrText>
      </w:r>
      <w:r>
        <w:fldChar w:fldCharType="separate"/>
      </w:r>
      <w:r>
        <w:rPr>
          <w:rFonts w:hint="eastAsia"/>
          <w:color w:val="auto"/>
          <w:lang w:eastAsia="zh-CN"/>
        </w:rPr>
        <w:t>3.6</w:t>
      </w:r>
      <w:r>
        <w:rPr>
          <w:rFonts w:hint="eastAsia"/>
          <w:color w:val="auto"/>
          <w:lang w:eastAsia="zh-CN"/>
        </w:rPr>
        <w:tab/>
      </w:r>
      <w:r>
        <w:rPr>
          <w:rFonts w:hint="eastAsia" w:ascii="宋体" w:hAnsi="宋体" w:eastAsia="宋体" w:cs="宋体"/>
          <w:color w:val="auto"/>
          <w:lang w:eastAsia="zh-CN"/>
        </w:rPr>
        <w:t>投标文件相关信息的核查</w:t>
      </w:r>
      <w:r>
        <w:rPr>
          <w:color w:val="auto"/>
        </w:rPr>
        <w:tab/>
      </w:r>
      <w:r>
        <w:rPr>
          <w:color w:val="auto"/>
        </w:rPr>
        <w:fldChar w:fldCharType="begin"/>
      </w:r>
      <w:r>
        <w:rPr>
          <w:color w:val="auto"/>
        </w:rPr>
        <w:instrText xml:space="preserve"> PAGEREF _Toc20886 \h </w:instrText>
      </w:r>
      <w:r>
        <w:rPr>
          <w:color w:val="auto"/>
        </w:rPr>
        <w:fldChar w:fldCharType="separate"/>
      </w:r>
      <w:r>
        <w:rPr>
          <w:color w:val="auto"/>
        </w:rPr>
        <w:t>57</w:t>
      </w:r>
      <w:r>
        <w:rPr>
          <w:color w:val="auto"/>
        </w:rPr>
        <w:fldChar w:fldCharType="end"/>
      </w:r>
      <w:r>
        <w:rPr>
          <w:color w:val="auto"/>
        </w:rPr>
        <w:fldChar w:fldCharType="end"/>
      </w:r>
    </w:p>
    <w:p w14:paraId="426F380A">
      <w:pPr>
        <w:pStyle w:val="22"/>
        <w:tabs>
          <w:tab w:val="right" w:pos="3600"/>
          <w:tab w:val="right" w:leader="dot" w:pos="8730"/>
        </w:tabs>
        <w:ind w:left="960"/>
        <w:rPr>
          <w:color w:val="auto"/>
        </w:rPr>
      </w:pPr>
      <w:r>
        <w:fldChar w:fldCharType="begin"/>
      </w:r>
      <w:r>
        <w:instrText xml:space="preserve"> HYPERLINK \l "_Toc27574" </w:instrText>
      </w:r>
      <w:r>
        <w:fldChar w:fldCharType="separate"/>
      </w:r>
      <w:r>
        <w:rPr>
          <w:rFonts w:hint="eastAsia"/>
          <w:color w:val="auto"/>
          <w:lang w:eastAsia="zh-CN"/>
        </w:rPr>
        <w:t>3.7</w:t>
      </w:r>
      <w:r>
        <w:rPr>
          <w:rFonts w:hint="eastAsia"/>
          <w:color w:val="auto"/>
          <w:lang w:eastAsia="zh-CN"/>
        </w:rPr>
        <w:tab/>
      </w:r>
      <w:r>
        <w:rPr>
          <w:rFonts w:hint="eastAsia" w:ascii="宋体" w:hAnsi="宋体" w:eastAsia="宋体" w:cs="宋体"/>
          <w:color w:val="auto"/>
          <w:lang w:eastAsia="zh-CN"/>
        </w:rPr>
        <w:t>投标文件的澄清和说明</w:t>
      </w:r>
      <w:r>
        <w:rPr>
          <w:color w:val="auto"/>
        </w:rPr>
        <w:tab/>
      </w:r>
      <w:r>
        <w:rPr>
          <w:color w:val="auto"/>
        </w:rPr>
        <w:fldChar w:fldCharType="begin"/>
      </w:r>
      <w:r>
        <w:rPr>
          <w:color w:val="auto"/>
        </w:rPr>
        <w:instrText xml:space="preserve"> PAGEREF _Toc27574 \h </w:instrText>
      </w:r>
      <w:r>
        <w:rPr>
          <w:color w:val="auto"/>
        </w:rPr>
        <w:fldChar w:fldCharType="separate"/>
      </w:r>
      <w:r>
        <w:rPr>
          <w:color w:val="auto"/>
        </w:rPr>
        <w:t>58</w:t>
      </w:r>
      <w:r>
        <w:rPr>
          <w:color w:val="auto"/>
        </w:rPr>
        <w:fldChar w:fldCharType="end"/>
      </w:r>
      <w:r>
        <w:rPr>
          <w:color w:val="auto"/>
        </w:rPr>
        <w:fldChar w:fldCharType="end"/>
      </w:r>
    </w:p>
    <w:p w14:paraId="3FC5C058">
      <w:pPr>
        <w:pStyle w:val="22"/>
        <w:tabs>
          <w:tab w:val="right" w:pos="3600"/>
          <w:tab w:val="right" w:leader="dot" w:pos="8730"/>
        </w:tabs>
        <w:ind w:left="960"/>
        <w:rPr>
          <w:color w:val="auto"/>
        </w:rPr>
      </w:pPr>
      <w:r>
        <w:fldChar w:fldCharType="begin"/>
      </w:r>
      <w:r>
        <w:instrText xml:space="preserve"> HYPERLINK \l "_Toc29435" </w:instrText>
      </w:r>
      <w:r>
        <w:fldChar w:fldCharType="separate"/>
      </w:r>
      <w:r>
        <w:rPr>
          <w:rFonts w:hint="eastAsia"/>
          <w:color w:val="auto"/>
          <w:lang w:eastAsia="zh-CN"/>
        </w:rPr>
        <w:t>3.8</w:t>
      </w:r>
      <w:r>
        <w:rPr>
          <w:rFonts w:hint="eastAsia"/>
          <w:color w:val="auto"/>
          <w:lang w:eastAsia="zh-CN"/>
        </w:rPr>
        <w:tab/>
      </w:r>
      <w:r>
        <w:rPr>
          <w:rFonts w:hint="eastAsia" w:ascii="宋体" w:hAnsi="宋体" w:eastAsia="宋体" w:cs="宋体"/>
          <w:color w:val="auto"/>
          <w:lang w:eastAsia="zh-CN"/>
        </w:rPr>
        <w:t>不得否决投标的情形</w:t>
      </w:r>
      <w:r>
        <w:rPr>
          <w:color w:val="auto"/>
        </w:rPr>
        <w:tab/>
      </w:r>
      <w:r>
        <w:rPr>
          <w:color w:val="auto"/>
        </w:rPr>
        <w:fldChar w:fldCharType="begin"/>
      </w:r>
      <w:r>
        <w:rPr>
          <w:color w:val="auto"/>
        </w:rPr>
        <w:instrText xml:space="preserve"> PAGEREF _Toc29435 \h </w:instrText>
      </w:r>
      <w:r>
        <w:rPr>
          <w:color w:val="auto"/>
        </w:rPr>
        <w:fldChar w:fldCharType="separate"/>
      </w:r>
      <w:r>
        <w:rPr>
          <w:color w:val="auto"/>
        </w:rPr>
        <w:t>59</w:t>
      </w:r>
      <w:r>
        <w:rPr>
          <w:color w:val="auto"/>
        </w:rPr>
        <w:fldChar w:fldCharType="end"/>
      </w:r>
      <w:r>
        <w:rPr>
          <w:color w:val="auto"/>
        </w:rPr>
        <w:fldChar w:fldCharType="end"/>
      </w:r>
    </w:p>
    <w:p w14:paraId="2070D6EC">
      <w:pPr>
        <w:pStyle w:val="22"/>
        <w:tabs>
          <w:tab w:val="right" w:pos="3600"/>
          <w:tab w:val="right" w:leader="dot" w:pos="8730"/>
        </w:tabs>
        <w:ind w:left="960"/>
        <w:rPr>
          <w:color w:val="auto"/>
        </w:rPr>
      </w:pPr>
      <w:r>
        <w:fldChar w:fldCharType="begin"/>
      </w:r>
      <w:r>
        <w:instrText xml:space="preserve"> HYPERLINK \l "_Toc25710" </w:instrText>
      </w:r>
      <w:r>
        <w:fldChar w:fldCharType="separate"/>
      </w:r>
      <w:r>
        <w:rPr>
          <w:rFonts w:hint="eastAsia"/>
          <w:color w:val="auto"/>
          <w:lang w:eastAsia="zh-CN"/>
        </w:rPr>
        <w:t>3.9</w:t>
      </w:r>
      <w:r>
        <w:rPr>
          <w:rFonts w:hint="eastAsia"/>
          <w:color w:val="auto"/>
          <w:lang w:eastAsia="zh-CN"/>
        </w:rPr>
        <w:tab/>
      </w:r>
      <w:r>
        <w:rPr>
          <w:rFonts w:hint="eastAsia" w:ascii="宋体" w:hAnsi="宋体" w:eastAsia="宋体" w:cs="宋体"/>
          <w:color w:val="auto"/>
          <w:lang w:eastAsia="zh-CN"/>
        </w:rPr>
        <w:t>评标结果</w:t>
      </w:r>
      <w:r>
        <w:rPr>
          <w:color w:val="auto"/>
        </w:rPr>
        <w:tab/>
      </w:r>
      <w:r>
        <w:rPr>
          <w:color w:val="auto"/>
        </w:rPr>
        <w:fldChar w:fldCharType="begin"/>
      </w:r>
      <w:r>
        <w:rPr>
          <w:color w:val="auto"/>
        </w:rPr>
        <w:instrText xml:space="preserve"> PAGEREF _Toc25710 \h </w:instrText>
      </w:r>
      <w:r>
        <w:rPr>
          <w:color w:val="auto"/>
        </w:rPr>
        <w:fldChar w:fldCharType="separate"/>
      </w:r>
      <w:r>
        <w:rPr>
          <w:color w:val="auto"/>
        </w:rPr>
        <w:t>59</w:t>
      </w:r>
      <w:r>
        <w:rPr>
          <w:color w:val="auto"/>
        </w:rPr>
        <w:fldChar w:fldCharType="end"/>
      </w:r>
      <w:r>
        <w:rPr>
          <w:color w:val="auto"/>
        </w:rPr>
        <w:fldChar w:fldCharType="end"/>
      </w:r>
    </w:p>
    <w:p w14:paraId="23F1E53E">
      <w:pPr>
        <w:pStyle w:val="31"/>
        <w:tabs>
          <w:tab w:val="right" w:leader="dot" w:pos="8730"/>
        </w:tabs>
        <w:rPr>
          <w:color w:val="auto"/>
        </w:rPr>
      </w:pPr>
      <w:r>
        <w:fldChar w:fldCharType="begin"/>
      </w:r>
      <w:r>
        <w:instrText xml:space="preserve"> HYPERLINK \l "_Toc8636" </w:instrText>
      </w:r>
      <w:r>
        <w:fldChar w:fldCharType="separate"/>
      </w:r>
      <w:r>
        <w:rPr>
          <w:rFonts w:ascii="宋体" w:hAnsi="宋体" w:eastAsia="宋体"/>
          <w:color w:val="auto"/>
          <w:spacing w:val="-11"/>
          <w:szCs w:val="44"/>
          <w:lang w:eastAsia="zh-CN" w:bidi="ar-SA"/>
        </w:rPr>
        <w:t>第四章</w:t>
      </w:r>
      <w:r>
        <w:rPr>
          <w:rFonts w:hint="eastAsia" w:ascii="宋体" w:hAnsi="宋体" w:eastAsia="宋体"/>
          <w:color w:val="auto"/>
          <w:spacing w:val="-11"/>
          <w:szCs w:val="44"/>
          <w:lang w:eastAsia="zh-CN" w:bidi="ar-SA"/>
        </w:rPr>
        <w:t xml:space="preserve">    </w:t>
      </w:r>
      <w:r>
        <w:rPr>
          <w:rFonts w:ascii="宋体" w:hAnsi="宋体" w:eastAsia="宋体"/>
          <w:color w:val="auto"/>
          <w:spacing w:val="-11"/>
          <w:szCs w:val="44"/>
          <w:lang w:eastAsia="zh-CN" w:bidi="ar-SA"/>
        </w:rPr>
        <w:t>合同条款及格式</w:t>
      </w:r>
      <w:r>
        <w:rPr>
          <w:color w:val="auto"/>
        </w:rPr>
        <w:tab/>
      </w:r>
      <w:r>
        <w:rPr>
          <w:color w:val="auto"/>
        </w:rPr>
        <w:fldChar w:fldCharType="begin"/>
      </w:r>
      <w:r>
        <w:rPr>
          <w:color w:val="auto"/>
        </w:rPr>
        <w:instrText xml:space="preserve"> PAGEREF _Toc8636 \h </w:instrText>
      </w:r>
      <w:r>
        <w:rPr>
          <w:color w:val="auto"/>
        </w:rPr>
        <w:fldChar w:fldCharType="separate"/>
      </w:r>
      <w:r>
        <w:rPr>
          <w:color w:val="auto"/>
        </w:rPr>
        <w:t>61</w:t>
      </w:r>
      <w:r>
        <w:rPr>
          <w:color w:val="auto"/>
        </w:rPr>
        <w:fldChar w:fldCharType="end"/>
      </w:r>
      <w:r>
        <w:rPr>
          <w:color w:val="auto"/>
        </w:rPr>
        <w:fldChar w:fldCharType="end"/>
      </w:r>
    </w:p>
    <w:p w14:paraId="11F43645">
      <w:pPr>
        <w:pStyle w:val="37"/>
        <w:tabs>
          <w:tab w:val="right" w:leader="dot" w:pos="8730"/>
        </w:tabs>
        <w:ind w:left="480"/>
        <w:rPr>
          <w:color w:val="auto"/>
        </w:rPr>
      </w:pPr>
      <w:r>
        <w:fldChar w:fldCharType="begin"/>
      </w:r>
      <w:r>
        <w:instrText xml:space="preserve"> HYPERLINK \l "_Toc32399" </w:instrText>
      </w:r>
      <w:r>
        <w:fldChar w:fldCharType="separate"/>
      </w:r>
      <w:r>
        <w:rPr>
          <w:rFonts w:hint="eastAsia" w:ascii="Calibri Light" w:hAnsi="Calibri Light" w:eastAsia="宋体"/>
          <w:bCs/>
          <w:color w:val="auto"/>
          <w:kern w:val="2"/>
          <w:szCs w:val="32"/>
          <w:lang w:eastAsia="zh-CN" w:bidi="ar-SA"/>
        </w:rPr>
        <w:t xml:space="preserve">第一节 </w:t>
      </w:r>
      <w:r>
        <w:rPr>
          <w:rFonts w:ascii="Calibri Light" w:hAnsi="Calibri Light" w:eastAsia="宋体"/>
          <w:bCs/>
          <w:color w:val="auto"/>
          <w:kern w:val="2"/>
          <w:szCs w:val="32"/>
          <w:lang w:eastAsia="zh-CN" w:bidi="ar-SA"/>
        </w:rPr>
        <w:t xml:space="preserve">  </w:t>
      </w:r>
      <w:r>
        <w:rPr>
          <w:rFonts w:hint="eastAsia" w:ascii="Calibri Light" w:hAnsi="Calibri Light" w:eastAsia="宋体"/>
          <w:bCs/>
          <w:color w:val="auto"/>
          <w:kern w:val="2"/>
          <w:szCs w:val="32"/>
          <w:lang w:eastAsia="zh-CN" w:bidi="ar-SA"/>
        </w:rPr>
        <w:t>通用合同条款</w:t>
      </w:r>
      <w:r>
        <w:rPr>
          <w:color w:val="auto"/>
        </w:rPr>
        <w:tab/>
      </w:r>
      <w:r>
        <w:rPr>
          <w:color w:val="auto"/>
        </w:rPr>
        <w:fldChar w:fldCharType="begin"/>
      </w:r>
      <w:r>
        <w:rPr>
          <w:color w:val="auto"/>
        </w:rPr>
        <w:instrText xml:space="preserve"> PAGEREF _Toc32399 \h </w:instrText>
      </w:r>
      <w:r>
        <w:rPr>
          <w:color w:val="auto"/>
        </w:rPr>
        <w:fldChar w:fldCharType="separate"/>
      </w:r>
      <w:r>
        <w:rPr>
          <w:color w:val="auto"/>
        </w:rPr>
        <w:t>63</w:t>
      </w:r>
      <w:r>
        <w:rPr>
          <w:color w:val="auto"/>
        </w:rPr>
        <w:fldChar w:fldCharType="end"/>
      </w:r>
      <w:r>
        <w:rPr>
          <w:color w:val="auto"/>
        </w:rPr>
        <w:fldChar w:fldCharType="end"/>
      </w:r>
    </w:p>
    <w:p w14:paraId="60D2B820">
      <w:pPr>
        <w:pStyle w:val="37"/>
        <w:tabs>
          <w:tab w:val="right" w:leader="dot" w:pos="8730"/>
        </w:tabs>
        <w:ind w:left="480"/>
        <w:rPr>
          <w:color w:val="auto"/>
        </w:rPr>
      </w:pPr>
      <w:r>
        <w:fldChar w:fldCharType="begin"/>
      </w:r>
      <w:r>
        <w:instrText xml:space="preserve"> HYPERLINK \l "_Toc3282" </w:instrText>
      </w:r>
      <w:r>
        <w:fldChar w:fldCharType="separate"/>
      </w:r>
      <w:r>
        <w:rPr>
          <w:rFonts w:ascii="Arial" w:hAnsi="Arial" w:eastAsia="宋体"/>
          <w:bCs/>
          <w:color w:val="auto"/>
          <w:kern w:val="2"/>
          <w:szCs w:val="32"/>
          <w:lang w:eastAsia="zh-CN" w:bidi="ar-SA"/>
        </w:rPr>
        <w:t>1. 一般约定</w:t>
      </w:r>
      <w:r>
        <w:rPr>
          <w:color w:val="auto"/>
        </w:rPr>
        <w:tab/>
      </w:r>
      <w:r>
        <w:rPr>
          <w:color w:val="auto"/>
        </w:rPr>
        <w:fldChar w:fldCharType="begin"/>
      </w:r>
      <w:r>
        <w:rPr>
          <w:color w:val="auto"/>
        </w:rPr>
        <w:instrText xml:space="preserve"> PAGEREF _Toc3282 \h </w:instrText>
      </w:r>
      <w:r>
        <w:rPr>
          <w:color w:val="auto"/>
        </w:rPr>
        <w:fldChar w:fldCharType="separate"/>
      </w:r>
      <w:r>
        <w:rPr>
          <w:color w:val="auto"/>
        </w:rPr>
        <w:t>65</w:t>
      </w:r>
      <w:r>
        <w:rPr>
          <w:color w:val="auto"/>
        </w:rPr>
        <w:fldChar w:fldCharType="end"/>
      </w:r>
      <w:r>
        <w:rPr>
          <w:color w:val="auto"/>
        </w:rPr>
        <w:fldChar w:fldCharType="end"/>
      </w:r>
    </w:p>
    <w:p w14:paraId="0EEE9345">
      <w:pPr>
        <w:pStyle w:val="22"/>
        <w:tabs>
          <w:tab w:val="right" w:leader="dot" w:pos="8730"/>
        </w:tabs>
        <w:ind w:left="960"/>
        <w:rPr>
          <w:color w:val="auto"/>
        </w:rPr>
      </w:pPr>
      <w:r>
        <w:fldChar w:fldCharType="begin"/>
      </w:r>
      <w:r>
        <w:instrText xml:space="preserve"> HYPERLINK \l "_Toc2821" </w:instrText>
      </w:r>
      <w:r>
        <w:fldChar w:fldCharType="separate"/>
      </w:r>
      <w:r>
        <w:rPr>
          <w:rFonts w:eastAsia="宋体"/>
          <w:bCs/>
          <w:color w:val="auto"/>
          <w:kern w:val="2"/>
          <w:szCs w:val="32"/>
          <w:lang w:eastAsia="zh-CN" w:bidi="ar-SA"/>
        </w:rPr>
        <w:t xml:space="preserve">1.1 </w:t>
      </w:r>
      <w:r>
        <w:rPr>
          <w:rFonts w:hint="eastAsia" w:eastAsia="宋体"/>
          <w:bCs/>
          <w:color w:val="auto"/>
          <w:kern w:val="2"/>
          <w:szCs w:val="32"/>
          <w:lang w:eastAsia="zh-CN" w:bidi="ar-SA"/>
        </w:rPr>
        <w:t>词语定义</w:t>
      </w:r>
      <w:r>
        <w:rPr>
          <w:color w:val="auto"/>
        </w:rPr>
        <w:tab/>
      </w:r>
      <w:r>
        <w:rPr>
          <w:color w:val="auto"/>
        </w:rPr>
        <w:fldChar w:fldCharType="begin"/>
      </w:r>
      <w:r>
        <w:rPr>
          <w:color w:val="auto"/>
        </w:rPr>
        <w:instrText xml:space="preserve"> PAGEREF _Toc2821 \h </w:instrText>
      </w:r>
      <w:r>
        <w:rPr>
          <w:color w:val="auto"/>
        </w:rPr>
        <w:fldChar w:fldCharType="separate"/>
      </w:r>
      <w:r>
        <w:rPr>
          <w:color w:val="auto"/>
        </w:rPr>
        <w:t>65</w:t>
      </w:r>
      <w:r>
        <w:rPr>
          <w:color w:val="auto"/>
        </w:rPr>
        <w:fldChar w:fldCharType="end"/>
      </w:r>
      <w:r>
        <w:rPr>
          <w:color w:val="auto"/>
        </w:rPr>
        <w:fldChar w:fldCharType="end"/>
      </w:r>
    </w:p>
    <w:p w14:paraId="71948A44">
      <w:pPr>
        <w:pStyle w:val="22"/>
        <w:tabs>
          <w:tab w:val="right" w:leader="dot" w:pos="8730"/>
        </w:tabs>
        <w:ind w:left="960"/>
        <w:rPr>
          <w:color w:val="auto"/>
        </w:rPr>
      </w:pPr>
      <w:r>
        <w:fldChar w:fldCharType="begin"/>
      </w:r>
      <w:r>
        <w:instrText xml:space="preserve"> HYPERLINK \l "_Toc4072" </w:instrText>
      </w:r>
      <w:r>
        <w:fldChar w:fldCharType="separate"/>
      </w:r>
      <w:r>
        <w:rPr>
          <w:rFonts w:eastAsia="宋体"/>
          <w:bCs/>
          <w:color w:val="auto"/>
          <w:kern w:val="2"/>
          <w:szCs w:val="32"/>
          <w:lang w:eastAsia="zh-CN" w:bidi="ar-SA"/>
        </w:rPr>
        <w:t xml:space="preserve">1.2 </w:t>
      </w:r>
      <w:r>
        <w:rPr>
          <w:rFonts w:hint="eastAsia" w:eastAsia="宋体"/>
          <w:bCs/>
          <w:color w:val="auto"/>
          <w:kern w:val="2"/>
          <w:szCs w:val="32"/>
          <w:lang w:eastAsia="zh-CN" w:bidi="ar-SA"/>
        </w:rPr>
        <w:t>语言文字</w:t>
      </w:r>
      <w:r>
        <w:rPr>
          <w:color w:val="auto"/>
        </w:rPr>
        <w:tab/>
      </w:r>
      <w:r>
        <w:rPr>
          <w:color w:val="auto"/>
        </w:rPr>
        <w:fldChar w:fldCharType="begin"/>
      </w:r>
      <w:r>
        <w:rPr>
          <w:color w:val="auto"/>
        </w:rPr>
        <w:instrText xml:space="preserve"> PAGEREF _Toc4072 \h </w:instrText>
      </w:r>
      <w:r>
        <w:rPr>
          <w:color w:val="auto"/>
        </w:rPr>
        <w:fldChar w:fldCharType="separate"/>
      </w:r>
      <w:r>
        <w:rPr>
          <w:color w:val="auto"/>
        </w:rPr>
        <w:t>66</w:t>
      </w:r>
      <w:r>
        <w:rPr>
          <w:color w:val="auto"/>
        </w:rPr>
        <w:fldChar w:fldCharType="end"/>
      </w:r>
      <w:r>
        <w:rPr>
          <w:color w:val="auto"/>
        </w:rPr>
        <w:fldChar w:fldCharType="end"/>
      </w:r>
    </w:p>
    <w:p w14:paraId="6A89487D">
      <w:pPr>
        <w:pStyle w:val="22"/>
        <w:tabs>
          <w:tab w:val="right" w:leader="dot" w:pos="8730"/>
        </w:tabs>
        <w:ind w:left="960"/>
        <w:rPr>
          <w:color w:val="auto"/>
        </w:rPr>
      </w:pPr>
      <w:r>
        <w:fldChar w:fldCharType="begin"/>
      </w:r>
      <w:r>
        <w:instrText xml:space="preserve"> HYPERLINK \l "_Toc21369" </w:instrText>
      </w:r>
      <w:r>
        <w:fldChar w:fldCharType="separate"/>
      </w:r>
      <w:r>
        <w:rPr>
          <w:rFonts w:eastAsia="宋体"/>
          <w:bCs/>
          <w:color w:val="auto"/>
          <w:kern w:val="2"/>
          <w:szCs w:val="32"/>
          <w:lang w:eastAsia="zh-CN" w:bidi="ar-SA"/>
        </w:rPr>
        <w:t xml:space="preserve">1.3 </w:t>
      </w:r>
      <w:r>
        <w:rPr>
          <w:rFonts w:hint="eastAsia" w:eastAsia="宋体"/>
          <w:bCs/>
          <w:color w:val="auto"/>
          <w:kern w:val="2"/>
          <w:szCs w:val="32"/>
          <w:lang w:eastAsia="zh-CN" w:bidi="ar-SA"/>
        </w:rPr>
        <w:t>适用法律</w:t>
      </w:r>
      <w:r>
        <w:rPr>
          <w:color w:val="auto"/>
        </w:rPr>
        <w:tab/>
      </w:r>
      <w:r>
        <w:rPr>
          <w:color w:val="auto"/>
        </w:rPr>
        <w:fldChar w:fldCharType="begin"/>
      </w:r>
      <w:r>
        <w:rPr>
          <w:color w:val="auto"/>
        </w:rPr>
        <w:instrText xml:space="preserve"> PAGEREF _Toc21369 \h </w:instrText>
      </w:r>
      <w:r>
        <w:rPr>
          <w:color w:val="auto"/>
        </w:rPr>
        <w:fldChar w:fldCharType="separate"/>
      </w:r>
      <w:r>
        <w:rPr>
          <w:color w:val="auto"/>
        </w:rPr>
        <w:t>66</w:t>
      </w:r>
      <w:r>
        <w:rPr>
          <w:color w:val="auto"/>
        </w:rPr>
        <w:fldChar w:fldCharType="end"/>
      </w:r>
      <w:r>
        <w:rPr>
          <w:color w:val="auto"/>
        </w:rPr>
        <w:fldChar w:fldCharType="end"/>
      </w:r>
    </w:p>
    <w:p w14:paraId="2FAED1EE">
      <w:pPr>
        <w:pStyle w:val="22"/>
        <w:tabs>
          <w:tab w:val="right" w:leader="dot" w:pos="8730"/>
        </w:tabs>
        <w:ind w:left="960"/>
        <w:rPr>
          <w:color w:val="auto"/>
        </w:rPr>
      </w:pPr>
      <w:r>
        <w:fldChar w:fldCharType="begin"/>
      </w:r>
      <w:r>
        <w:instrText xml:space="preserve"> HYPERLINK \l "_Toc24584" </w:instrText>
      </w:r>
      <w:r>
        <w:fldChar w:fldCharType="separate"/>
      </w:r>
      <w:r>
        <w:rPr>
          <w:rFonts w:eastAsia="宋体"/>
          <w:bCs/>
          <w:color w:val="auto"/>
          <w:kern w:val="2"/>
          <w:szCs w:val="32"/>
          <w:lang w:eastAsia="zh-CN" w:bidi="ar-SA"/>
        </w:rPr>
        <w:t xml:space="preserve">1.4 </w:t>
      </w:r>
      <w:r>
        <w:rPr>
          <w:rFonts w:hint="eastAsia" w:eastAsia="宋体"/>
          <w:bCs/>
          <w:color w:val="auto"/>
          <w:kern w:val="2"/>
          <w:szCs w:val="32"/>
          <w:lang w:eastAsia="zh-CN" w:bidi="ar-SA"/>
        </w:rPr>
        <w:t>合同文件的优先顺序</w:t>
      </w:r>
      <w:r>
        <w:rPr>
          <w:color w:val="auto"/>
        </w:rPr>
        <w:tab/>
      </w:r>
      <w:r>
        <w:rPr>
          <w:color w:val="auto"/>
        </w:rPr>
        <w:fldChar w:fldCharType="begin"/>
      </w:r>
      <w:r>
        <w:rPr>
          <w:color w:val="auto"/>
        </w:rPr>
        <w:instrText xml:space="preserve"> PAGEREF _Toc24584 \h </w:instrText>
      </w:r>
      <w:r>
        <w:rPr>
          <w:color w:val="auto"/>
        </w:rPr>
        <w:fldChar w:fldCharType="separate"/>
      </w:r>
      <w:r>
        <w:rPr>
          <w:color w:val="auto"/>
        </w:rPr>
        <w:t>66</w:t>
      </w:r>
      <w:r>
        <w:rPr>
          <w:color w:val="auto"/>
        </w:rPr>
        <w:fldChar w:fldCharType="end"/>
      </w:r>
      <w:r>
        <w:rPr>
          <w:color w:val="auto"/>
        </w:rPr>
        <w:fldChar w:fldCharType="end"/>
      </w:r>
    </w:p>
    <w:p w14:paraId="60B86E3A">
      <w:pPr>
        <w:pStyle w:val="22"/>
        <w:tabs>
          <w:tab w:val="right" w:leader="dot" w:pos="8730"/>
        </w:tabs>
        <w:ind w:left="960"/>
        <w:rPr>
          <w:color w:val="auto"/>
        </w:rPr>
      </w:pPr>
      <w:r>
        <w:fldChar w:fldCharType="begin"/>
      </w:r>
      <w:r>
        <w:instrText xml:space="preserve"> HYPERLINK \l "_Toc2764" </w:instrText>
      </w:r>
      <w:r>
        <w:fldChar w:fldCharType="separate"/>
      </w:r>
      <w:r>
        <w:rPr>
          <w:rFonts w:eastAsia="宋体"/>
          <w:bCs/>
          <w:color w:val="auto"/>
          <w:kern w:val="2"/>
          <w:szCs w:val="32"/>
          <w:lang w:eastAsia="zh-CN" w:bidi="ar-SA"/>
        </w:rPr>
        <w:t xml:space="preserve">1.5 </w:t>
      </w:r>
      <w:r>
        <w:rPr>
          <w:rFonts w:hint="eastAsia" w:eastAsia="宋体"/>
          <w:bCs/>
          <w:color w:val="auto"/>
          <w:kern w:val="2"/>
          <w:szCs w:val="32"/>
          <w:lang w:eastAsia="zh-CN" w:bidi="ar-SA"/>
        </w:rPr>
        <w:t>合同协议书</w:t>
      </w:r>
      <w:r>
        <w:rPr>
          <w:color w:val="auto"/>
        </w:rPr>
        <w:tab/>
      </w:r>
      <w:r>
        <w:rPr>
          <w:color w:val="auto"/>
        </w:rPr>
        <w:fldChar w:fldCharType="begin"/>
      </w:r>
      <w:r>
        <w:rPr>
          <w:color w:val="auto"/>
        </w:rPr>
        <w:instrText xml:space="preserve"> PAGEREF _Toc2764 \h </w:instrText>
      </w:r>
      <w:r>
        <w:rPr>
          <w:color w:val="auto"/>
        </w:rPr>
        <w:fldChar w:fldCharType="separate"/>
      </w:r>
      <w:r>
        <w:rPr>
          <w:color w:val="auto"/>
        </w:rPr>
        <w:t>67</w:t>
      </w:r>
      <w:r>
        <w:rPr>
          <w:color w:val="auto"/>
        </w:rPr>
        <w:fldChar w:fldCharType="end"/>
      </w:r>
      <w:r>
        <w:rPr>
          <w:color w:val="auto"/>
        </w:rPr>
        <w:fldChar w:fldCharType="end"/>
      </w:r>
    </w:p>
    <w:p w14:paraId="1E698DF3">
      <w:pPr>
        <w:pStyle w:val="22"/>
        <w:tabs>
          <w:tab w:val="right" w:leader="dot" w:pos="8730"/>
        </w:tabs>
        <w:ind w:left="960"/>
        <w:rPr>
          <w:color w:val="auto"/>
        </w:rPr>
      </w:pPr>
      <w:r>
        <w:fldChar w:fldCharType="begin"/>
      </w:r>
      <w:r>
        <w:instrText xml:space="preserve"> HYPERLINK \l "_Toc22173" </w:instrText>
      </w:r>
      <w:r>
        <w:fldChar w:fldCharType="separate"/>
      </w:r>
      <w:r>
        <w:rPr>
          <w:rFonts w:eastAsia="宋体"/>
          <w:bCs/>
          <w:color w:val="auto"/>
          <w:kern w:val="2"/>
          <w:szCs w:val="32"/>
          <w:lang w:eastAsia="zh-CN" w:bidi="ar-SA"/>
        </w:rPr>
        <w:t xml:space="preserve">1.6 </w:t>
      </w:r>
      <w:r>
        <w:rPr>
          <w:rFonts w:hint="eastAsia" w:eastAsia="宋体"/>
          <w:bCs/>
          <w:color w:val="auto"/>
          <w:kern w:val="2"/>
          <w:szCs w:val="32"/>
          <w:lang w:eastAsia="zh-CN" w:bidi="ar-SA"/>
        </w:rPr>
        <w:t>文件的提供和照管</w:t>
      </w:r>
      <w:r>
        <w:rPr>
          <w:color w:val="auto"/>
        </w:rPr>
        <w:tab/>
      </w:r>
      <w:r>
        <w:rPr>
          <w:color w:val="auto"/>
        </w:rPr>
        <w:fldChar w:fldCharType="begin"/>
      </w:r>
      <w:r>
        <w:rPr>
          <w:color w:val="auto"/>
        </w:rPr>
        <w:instrText xml:space="preserve"> PAGEREF _Toc22173 \h </w:instrText>
      </w:r>
      <w:r>
        <w:rPr>
          <w:color w:val="auto"/>
        </w:rPr>
        <w:fldChar w:fldCharType="separate"/>
      </w:r>
      <w:r>
        <w:rPr>
          <w:color w:val="auto"/>
        </w:rPr>
        <w:t>67</w:t>
      </w:r>
      <w:r>
        <w:rPr>
          <w:color w:val="auto"/>
        </w:rPr>
        <w:fldChar w:fldCharType="end"/>
      </w:r>
      <w:r>
        <w:rPr>
          <w:color w:val="auto"/>
        </w:rPr>
        <w:fldChar w:fldCharType="end"/>
      </w:r>
    </w:p>
    <w:p w14:paraId="527765D0">
      <w:pPr>
        <w:pStyle w:val="22"/>
        <w:tabs>
          <w:tab w:val="right" w:leader="dot" w:pos="8730"/>
        </w:tabs>
        <w:ind w:left="960"/>
        <w:rPr>
          <w:color w:val="auto"/>
        </w:rPr>
      </w:pPr>
      <w:r>
        <w:fldChar w:fldCharType="begin"/>
      </w:r>
      <w:r>
        <w:instrText xml:space="preserve"> HYPERLINK \l "_Toc5758" </w:instrText>
      </w:r>
      <w:r>
        <w:fldChar w:fldCharType="separate"/>
      </w:r>
      <w:r>
        <w:rPr>
          <w:rFonts w:eastAsia="宋体"/>
          <w:bCs/>
          <w:color w:val="auto"/>
          <w:kern w:val="2"/>
          <w:szCs w:val="32"/>
          <w:lang w:eastAsia="zh-CN" w:bidi="ar-SA"/>
        </w:rPr>
        <w:t xml:space="preserve">1.7 </w:t>
      </w:r>
      <w:r>
        <w:rPr>
          <w:rFonts w:hint="eastAsia" w:eastAsia="宋体"/>
          <w:bCs/>
          <w:color w:val="auto"/>
          <w:kern w:val="2"/>
          <w:szCs w:val="32"/>
          <w:lang w:eastAsia="zh-CN" w:bidi="ar-SA"/>
        </w:rPr>
        <w:t>联络</w:t>
      </w:r>
      <w:r>
        <w:rPr>
          <w:color w:val="auto"/>
        </w:rPr>
        <w:tab/>
      </w:r>
      <w:r>
        <w:rPr>
          <w:color w:val="auto"/>
        </w:rPr>
        <w:fldChar w:fldCharType="begin"/>
      </w:r>
      <w:r>
        <w:rPr>
          <w:color w:val="auto"/>
        </w:rPr>
        <w:instrText xml:space="preserve"> PAGEREF _Toc5758 \h </w:instrText>
      </w:r>
      <w:r>
        <w:rPr>
          <w:color w:val="auto"/>
        </w:rPr>
        <w:fldChar w:fldCharType="separate"/>
      </w:r>
      <w:r>
        <w:rPr>
          <w:color w:val="auto"/>
        </w:rPr>
        <w:t>67</w:t>
      </w:r>
      <w:r>
        <w:rPr>
          <w:color w:val="auto"/>
        </w:rPr>
        <w:fldChar w:fldCharType="end"/>
      </w:r>
      <w:r>
        <w:rPr>
          <w:color w:val="auto"/>
        </w:rPr>
        <w:fldChar w:fldCharType="end"/>
      </w:r>
    </w:p>
    <w:p w14:paraId="4989C1CA">
      <w:pPr>
        <w:pStyle w:val="22"/>
        <w:tabs>
          <w:tab w:val="right" w:leader="dot" w:pos="8730"/>
        </w:tabs>
        <w:ind w:left="960"/>
        <w:rPr>
          <w:color w:val="auto"/>
        </w:rPr>
      </w:pPr>
      <w:r>
        <w:fldChar w:fldCharType="begin"/>
      </w:r>
      <w:r>
        <w:instrText xml:space="preserve"> HYPERLINK \l "_Toc5579" </w:instrText>
      </w:r>
      <w:r>
        <w:fldChar w:fldCharType="separate"/>
      </w:r>
      <w:r>
        <w:rPr>
          <w:rFonts w:eastAsia="宋体"/>
          <w:bCs/>
          <w:color w:val="auto"/>
          <w:kern w:val="2"/>
          <w:szCs w:val="32"/>
          <w:lang w:eastAsia="zh-CN" w:bidi="ar-SA"/>
        </w:rPr>
        <w:t xml:space="preserve">1.8 </w:t>
      </w:r>
      <w:r>
        <w:rPr>
          <w:rFonts w:hint="eastAsia" w:eastAsia="宋体"/>
          <w:bCs/>
          <w:color w:val="auto"/>
          <w:kern w:val="2"/>
          <w:szCs w:val="32"/>
          <w:lang w:eastAsia="zh-CN" w:bidi="ar-SA"/>
        </w:rPr>
        <w:t>转让</w:t>
      </w:r>
      <w:r>
        <w:rPr>
          <w:color w:val="auto"/>
        </w:rPr>
        <w:tab/>
      </w:r>
      <w:r>
        <w:rPr>
          <w:color w:val="auto"/>
        </w:rPr>
        <w:fldChar w:fldCharType="begin"/>
      </w:r>
      <w:r>
        <w:rPr>
          <w:color w:val="auto"/>
        </w:rPr>
        <w:instrText xml:space="preserve"> PAGEREF _Toc5579 \h </w:instrText>
      </w:r>
      <w:r>
        <w:rPr>
          <w:color w:val="auto"/>
        </w:rPr>
        <w:fldChar w:fldCharType="separate"/>
      </w:r>
      <w:r>
        <w:rPr>
          <w:color w:val="auto"/>
        </w:rPr>
        <w:t>67</w:t>
      </w:r>
      <w:r>
        <w:rPr>
          <w:color w:val="auto"/>
        </w:rPr>
        <w:fldChar w:fldCharType="end"/>
      </w:r>
      <w:r>
        <w:rPr>
          <w:color w:val="auto"/>
        </w:rPr>
        <w:fldChar w:fldCharType="end"/>
      </w:r>
    </w:p>
    <w:p w14:paraId="44DC4B6F">
      <w:pPr>
        <w:pStyle w:val="22"/>
        <w:tabs>
          <w:tab w:val="right" w:leader="dot" w:pos="8730"/>
        </w:tabs>
        <w:ind w:left="960"/>
        <w:rPr>
          <w:color w:val="auto"/>
        </w:rPr>
      </w:pPr>
      <w:r>
        <w:fldChar w:fldCharType="begin"/>
      </w:r>
      <w:r>
        <w:instrText xml:space="preserve"> HYPERLINK \l "_Toc8262" </w:instrText>
      </w:r>
      <w:r>
        <w:fldChar w:fldCharType="separate"/>
      </w:r>
      <w:r>
        <w:rPr>
          <w:rFonts w:eastAsia="宋体"/>
          <w:bCs/>
          <w:color w:val="auto"/>
          <w:kern w:val="2"/>
          <w:szCs w:val="32"/>
          <w:lang w:eastAsia="zh-CN" w:bidi="ar-SA"/>
        </w:rPr>
        <w:t xml:space="preserve">1.9 </w:t>
      </w:r>
      <w:r>
        <w:rPr>
          <w:rFonts w:hint="eastAsia" w:eastAsia="宋体"/>
          <w:bCs/>
          <w:color w:val="auto"/>
          <w:kern w:val="2"/>
          <w:szCs w:val="32"/>
          <w:lang w:eastAsia="zh-CN" w:bidi="ar-SA"/>
        </w:rPr>
        <w:t>严禁贿赂</w:t>
      </w:r>
      <w:r>
        <w:rPr>
          <w:color w:val="auto"/>
        </w:rPr>
        <w:tab/>
      </w:r>
      <w:r>
        <w:rPr>
          <w:color w:val="auto"/>
        </w:rPr>
        <w:fldChar w:fldCharType="begin"/>
      </w:r>
      <w:r>
        <w:rPr>
          <w:color w:val="auto"/>
        </w:rPr>
        <w:instrText xml:space="preserve"> PAGEREF _Toc8262 \h </w:instrText>
      </w:r>
      <w:r>
        <w:rPr>
          <w:color w:val="auto"/>
        </w:rPr>
        <w:fldChar w:fldCharType="separate"/>
      </w:r>
      <w:r>
        <w:rPr>
          <w:color w:val="auto"/>
        </w:rPr>
        <w:t>67</w:t>
      </w:r>
      <w:r>
        <w:rPr>
          <w:color w:val="auto"/>
        </w:rPr>
        <w:fldChar w:fldCharType="end"/>
      </w:r>
      <w:r>
        <w:rPr>
          <w:color w:val="auto"/>
        </w:rPr>
        <w:fldChar w:fldCharType="end"/>
      </w:r>
    </w:p>
    <w:p w14:paraId="5246AE20">
      <w:pPr>
        <w:pStyle w:val="22"/>
        <w:tabs>
          <w:tab w:val="right" w:leader="dot" w:pos="8730"/>
        </w:tabs>
        <w:ind w:left="960"/>
        <w:rPr>
          <w:color w:val="auto"/>
        </w:rPr>
      </w:pPr>
      <w:r>
        <w:fldChar w:fldCharType="begin"/>
      </w:r>
      <w:r>
        <w:instrText xml:space="preserve"> HYPERLINK \l "_Toc22559" </w:instrText>
      </w:r>
      <w:r>
        <w:fldChar w:fldCharType="separate"/>
      </w:r>
      <w:r>
        <w:rPr>
          <w:rFonts w:eastAsia="宋体"/>
          <w:bCs/>
          <w:color w:val="auto"/>
          <w:kern w:val="2"/>
          <w:szCs w:val="32"/>
          <w:lang w:eastAsia="zh-CN" w:bidi="ar-SA"/>
        </w:rPr>
        <w:t xml:space="preserve">1.10 </w:t>
      </w:r>
      <w:r>
        <w:rPr>
          <w:rFonts w:hint="eastAsia" w:eastAsia="宋体"/>
          <w:bCs/>
          <w:color w:val="auto"/>
          <w:kern w:val="2"/>
          <w:szCs w:val="32"/>
          <w:lang w:eastAsia="zh-CN" w:bidi="ar-SA"/>
        </w:rPr>
        <w:t>知识产权</w:t>
      </w:r>
      <w:r>
        <w:rPr>
          <w:color w:val="auto"/>
        </w:rPr>
        <w:tab/>
      </w:r>
      <w:r>
        <w:rPr>
          <w:color w:val="auto"/>
        </w:rPr>
        <w:fldChar w:fldCharType="begin"/>
      </w:r>
      <w:r>
        <w:rPr>
          <w:color w:val="auto"/>
        </w:rPr>
        <w:instrText xml:space="preserve"> PAGEREF _Toc22559 \h </w:instrText>
      </w:r>
      <w:r>
        <w:rPr>
          <w:color w:val="auto"/>
        </w:rPr>
        <w:fldChar w:fldCharType="separate"/>
      </w:r>
      <w:r>
        <w:rPr>
          <w:color w:val="auto"/>
        </w:rPr>
        <w:t>68</w:t>
      </w:r>
      <w:r>
        <w:rPr>
          <w:color w:val="auto"/>
        </w:rPr>
        <w:fldChar w:fldCharType="end"/>
      </w:r>
      <w:r>
        <w:rPr>
          <w:color w:val="auto"/>
        </w:rPr>
        <w:fldChar w:fldCharType="end"/>
      </w:r>
    </w:p>
    <w:p w14:paraId="7C92E26E">
      <w:pPr>
        <w:pStyle w:val="22"/>
        <w:tabs>
          <w:tab w:val="right" w:leader="dot" w:pos="8730"/>
        </w:tabs>
        <w:ind w:left="960"/>
        <w:rPr>
          <w:color w:val="auto"/>
        </w:rPr>
      </w:pPr>
      <w:r>
        <w:fldChar w:fldCharType="begin"/>
      </w:r>
      <w:r>
        <w:instrText xml:space="preserve"> HYPERLINK \l "_Toc6497" </w:instrText>
      </w:r>
      <w:r>
        <w:fldChar w:fldCharType="separate"/>
      </w:r>
      <w:r>
        <w:rPr>
          <w:rFonts w:eastAsia="宋体"/>
          <w:bCs/>
          <w:color w:val="auto"/>
          <w:kern w:val="2"/>
          <w:szCs w:val="32"/>
          <w:lang w:eastAsia="zh-CN" w:bidi="ar-SA"/>
        </w:rPr>
        <w:t xml:space="preserve">1.11 </w:t>
      </w:r>
      <w:r>
        <w:rPr>
          <w:rFonts w:hint="eastAsia" w:eastAsia="宋体"/>
          <w:bCs/>
          <w:color w:val="auto"/>
          <w:kern w:val="2"/>
          <w:szCs w:val="32"/>
          <w:lang w:eastAsia="zh-CN" w:bidi="ar-SA"/>
        </w:rPr>
        <w:t>文件及信息的保密</w:t>
      </w:r>
      <w:r>
        <w:rPr>
          <w:color w:val="auto"/>
        </w:rPr>
        <w:tab/>
      </w:r>
      <w:r>
        <w:rPr>
          <w:color w:val="auto"/>
        </w:rPr>
        <w:fldChar w:fldCharType="begin"/>
      </w:r>
      <w:r>
        <w:rPr>
          <w:color w:val="auto"/>
        </w:rPr>
        <w:instrText xml:space="preserve"> PAGEREF _Toc6497 \h </w:instrText>
      </w:r>
      <w:r>
        <w:rPr>
          <w:color w:val="auto"/>
        </w:rPr>
        <w:fldChar w:fldCharType="separate"/>
      </w:r>
      <w:r>
        <w:rPr>
          <w:color w:val="auto"/>
        </w:rPr>
        <w:t>68</w:t>
      </w:r>
      <w:r>
        <w:rPr>
          <w:color w:val="auto"/>
        </w:rPr>
        <w:fldChar w:fldCharType="end"/>
      </w:r>
      <w:r>
        <w:rPr>
          <w:color w:val="auto"/>
        </w:rPr>
        <w:fldChar w:fldCharType="end"/>
      </w:r>
    </w:p>
    <w:p w14:paraId="2A0589E0">
      <w:pPr>
        <w:pStyle w:val="22"/>
        <w:tabs>
          <w:tab w:val="right" w:leader="dot" w:pos="8730"/>
        </w:tabs>
        <w:ind w:left="960"/>
        <w:rPr>
          <w:color w:val="auto"/>
        </w:rPr>
      </w:pPr>
      <w:r>
        <w:fldChar w:fldCharType="begin"/>
      </w:r>
      <w:r>
        <w:instrText xml:space="preserve"> HYPERLINK \l "_Toc3880" </w:instrText>
      </w:r>
      <w:r>
        <w:fldChar w:fldCharType="separate"/>
      </w:r>
      <w:r>
        <w:rPr>
          <w:rFonts w:eastAsia="宋体"/>
          <w:bCs/>
          <w:color w:val="auto"/>
          <w:kern w:val="2"/>
          <w:szCs w:val="32"/>
          <w:lang w:eastAsia="zh-CN" w:bidi="ar-SA"/>
        </w:rPr>
        <w:t xml:space="preserve">1.12 </w:t>
      </w:r>
      <w:r>
        <w:rPr>
          <w:rFonts w:hint="eastAsia" w:eastAsia="宋体"/>
          <w:bCs/>
          <w:color w:val="auto"/>
          <w:kern w:val="2"/>
          <w:szCs w:val="32"/>
          <w:lang w:eastAsia="zh-CN" w:bidi="ar-SA"/>
        </w:rPr>
        <w:t>委托人要求</w:t>
      </w:r>
      <w:r>
        <w:rPr>
          <w:color w:val="auto"/>
        </w:rPr>
        <w:tab/>
      </w:r>
      <w:r>
        <w:rPr>
          <w:color w:val="auto"/>
        </w:rPr>
        <w:fldChar w:fldCharType="begin"/>
      </w:r>
      <w:r>
        <w:rPr>
          <w:color w:val="auto"/>
        </w:rPr>
        <w:instrText xml:space="preserve"> PAGEREF _Toc3880 \h </w:instrText>
      </w:r>
      <w:r>
        <w:rPr>
          <w:color w:val="auto"/>
        </w:rPr>
        <w:fldChar w:fldCharType="separate"/>
      </w:r>
      <w:r>
        <w:rPr>
          <w:color w:val="auto"/>
        </w:rPr>
        <w:t>68</w:t>
      </w:r>
      <w:r>
        <w:rPr>
          <w:color w:val="auto"/>
        </w:rPr>
        <w:fldChar w:fldCharType="end"/>
      </w:r>
      <w:r>
        <w:rPr>
          <w:color w:val="auto"/>
        </w:rPr>
        <w:fldChar w:fldCharType="end"/>
      </w:r>
    </w:p>
    <w:p w14:paraId="31873037">
      <w:pPr>
        <w:pStyle w:val="37"/>
        <w:tabs>
          <w:tab w:val="right" w:leader="dot" w:pos="8730"/>
        </w:tabs>
        <w:ind w:left="480"/>
        <w:rPr>
          <w:color w:val="auto"/>
        </w:rPr>
      </w:pPr>
      <w:r>
        <w:fldChar w:fldCharType="begin"/>
      </w:r>
      <w:r>
        <w:instrText xml:space="preserve"> HYPERLINK \l "_Toc25953" </w:instrText>
      </w:r>
      <w:r>
        <w:fldChar w:fldCharType="separate"/>
      </w:r>
      <w:r>
        <w:rPr>
          <w:rFonts w:ascii="Arial" w:hAnsi="Arial" w:eastAsia="宋体"/>
          <w:bCs/>
          <w:color w:val="auto"/>
          <w:kern w:val="2"/>
          <w:szCs w:val="32"/>
          <w:lang w:eastAsia="zh-CN" w:bidi="ar-SA"/>
        </w:rPr>
        <w:t>2. 委托人义务</w:t>
      </w:r>
      <w:r>
        <w:rPr>
          <w:color w:val="auto"/>
        </w:rPr>
        <w:tab/>
      </w:r>
      <w:r>
        <w:rPr>
          <w:color w:val="auto"/>
        </w:rPr>
        <w:fldChar w:fldCharType="begin"/>
      </w:r>
      <w:r>
        <w:rPr>
          <w:color w:val="auto"/>
        </w:rPr>
        <w:instrText xml:space="preserve"> PAGEREF _Toc25953 \h </w:instrText>
      </w:r>
      <w:r>
        <w:rPr>
          <w:color w:val="auto"/>
        </w:rPr>
        <w:fldChar w:fldCharType="separate"/>
      </w:r>
      <w:r>
        <w:rPr>
          <w:color w:val="auto"/>
        </w:rPr>
        <w:t>68</w:t>
      </w:r>
      <w:r>
        <w:rPr>
          <w:color w:val="auto"/>
        </w:rPr>
        <w:fldChar w:fldCharType="end"/>
      </w:r>
      <w:r>
        <w:rPr>
          <w:color w:val="auto"/>
        </w:rPr>
        <w:fldChar w:fldCharType="end"/>
      </w:r>
    </w:p>
    <w:p w14:paraId="2A517FA7">
      <w:pPr>
        <w:pStyle w:val="22"/>
        <w:tabs>
          <w:tab w:val="right" w:leader="dot" w:pos="8730"/>
        </w:tabs>
        <w:ind w:left="960"/>
        <w:rPr>
          <w:color w:val="auto"/>
        </w:rPr>
      </w:pPr>
      <w:r>
        <w:fldChar w:fldCharType="begin"/>
      </w:r>
      <w:r>
        <w:instrText xml:space="preserve"> HYPERLINK \l "_Toc20347" </w:instrText>
      </w:r>
      <w:r>
        <w:fldChar w:fldCharType="separate"/>
      </w:r>
      <w:r>
        <w:rPr>
          <w:rFonts w:eastAsia="宋体"/>
          <w:bCs/>
          <w:color w:val="auto"/>
          <w:kern w:val="2"/>
          <w:szCs w:val="32"/>
          <w:lang w:eastAsia="zh-CN" w:bidi="ar-SA"/>
        </w:rPr>
        <w:t xml:space="preserve">2.1 </w:t>
      </w:r>
      <w:r>
        <w:rPr>
          <w:rFonts w:hint="eastAsia" w:eastAsia="宋体"/>
          <w:bCs/>
          <w:color w:val="auto"/>
          <w:kern w:val="2"/>
          <w:szCs w:val="32"/>
          <w:lang w:eastAsia="zh-CN" w:bidi="ar-SA"/>
        </w:rPr>
        <w:t>遵守法律</w:t>
      </w:r>
      <w:r>
        <w:rPr>
          <w:color w:val="auto"/>
        </w:rPr>
        <w:tab/>
      </w:r>
      <w:r>
        <w:rPr>
          <w:color w:val="auto"/>
        </w:rPr>
        <w:fldChar w:fldCharType="begin"/>
      </w:r>
      <w:r>
        <w:rPr>
          <w:color w:val="auto"/>
        </w:rPr>
        <w:instrText xml:space="preserve"> PAGEREF _Toc20347 \h </w:instrText>
      </w:r>
      <w:r>
        <w:rPr>
          <w:color w:val="auto"/>
        </w:rPr>
        <w:fldChar w:fldCharType="separate"/>
      </w:r>
      <w:r>
        <w:rPr>
          <w:color w:val="auto"/>
        </w:rPr>
        <w:t>68</w:t>
      </w:r>
      <w:r>
        <w:rPr>
          <w:color w:val="auto"/>
        </w:rPr>
        <w:fldChar w:fldCharType="end"/>
      </w:r>
      <w:r>
        <w:rPr>
          <w:color w:val="auto"/>
        </w:rPr>
        <w:fldChar w:fldCharType="end"/>
      </w:r>
    </w:p>
    <w:p w14:paraId="139B030F">
      <w:pPr>
        <w:pStyle w:val="22"/>
        <w:tabs>
          <w:tab w:val="right" w:leader="dot" w:pos="8730"/>
        </w:tabs>
        <w:ind w:left="960"/>
        <w:rPr>
          <w:color w:val="auto"/>
        </w:rPr>
      </w:pPr>
      <w:r>
        <w:fldChar w:fldCharType="begin"/>
      </w:r>
      <w:r>
        <w:instrText xml:space="preserve"> HYPERLINK \l "_Toc20620" </w:instrText>
      </w:r>
      <w:r>
        <w:fldChar w:fldCharType="separate"/>
      </w:r>
      <w:r>
        <w:rPr>
          <w:rFonts w:eastAsia="宋体"/>
          <w:bCs/>
          <w:color w:val="auto"/>
          <w:kern w:val="2"/>
          <w:szCs w:val="32"/>
          <w:lang w:eastAsia="zh-CN" w:bidi="ar-SA"/>
        </w:rPr>
        <w:t xml:space="preserve">2.2 </w:t>
      </w:r>
      <w:r>
        <w:rPr>
          <w:rFonts w:hint="eastAsia" w:eastAsia="宋体"/>
          <w:bCs/>
          <w:color w:val="auto"/>
          <w:kern w:val="2"/>
          <w:szCs w:val="32"/>
          <w:lang w:eastAsia="zh-CN" w:bidi="ar-SA"/>
        </w:rPr>
        <w:t>发出开始监理通知</w:t>
      </w:r>
      <w:r>
        <w:rPr>
          <w:color w:val="auto"/>
        </w:rPr>
        <w:tab/>
      </w:r>
      <w:r>
        <w:rPr>
          <w:color w:val="auto"/>
        </w:rPr>
        <w:fldChar w:fldCharType="begin"/>
      </w:r>
      <w:r>
        <w:rPr>
          <w:color w:val="auto"/>
        </w:rPr>
        <w:instrText xml:space="preserve"> PAGEREF _Toc20620 \h </w:instrText>
      </w:r>
      <w:r>
        <w:rPr>
          <w:color w:val="auto"/>
        </w:rPr>
        <w:fldChar w:fldCharType="separate"/>
      </w:r>
      <w:r>
        <w:rPr>
          <w:color w:val="auto"/>
        </w:rPr>
        <w:t>68</w:t>
      </w:r>
      <w:r>
        <w:rPr>
          <w:color w:val="auto"/>
        </w:rPr>
        <w:fldChar w:fldCharType="end"/>
      </w:r>
      <w:r>
        <w:rPr>
          <w:color w:val="auto"/>
        </w:rPr>
        <w:fldChar w:fldCharType="end"/>
      </w:r>
    </w:p>
    <w:p w14:paraId="3CD124AD">
      <w:pPr>
        <w:pStyle w:val="22"/>
        <w:tabs>
          <w:tab w:val="right" w:leader="dot" w:pos="8730"/>
        </w:tabs>
        <w:ind w:left="960"/>
        <w:rPr>
          <w:color w:val="auto"/>
        </w:rPr>
      </w:pPr>
      <w:r>
        <w:fldChar w:fldCharType="begin"/>
      </w:r>
      <w:r>
        <w:instrText xml:space="preserve"> HYPERLINK \l "_Toc15916" </w:instrText>
      </w:r>
      <w:r>
        <w:fldChar w:fldCharType="separate"/>
      </w:r>
      <w:r>
        <w:rPr>
          <w:rFonts w:eastAsia="宋体"/>
          <w:bCs/>
          <w:color w:val="auto"/>
          <w:kern w:val="2"/>
          <w:szCs w:val="32"/>
          <w:lang w:eastAsia="zh-CN" w:bidi="ar-SA"/>
        </w:rPr>
        <w:t xml:space="preserve">2.3 </w:t>
      </w:r>
      <w:r>
        <w:rPr>
          <w:rFonts w:hint="eastAsia" w:eastAsia="宋体"/>
          <w:bCs/>
          <w:color w:val="auto"/>
          <w:kern w:val="2"/>
          <w:szCs w:val="32"/>
          <w:lang w:eastAsia="zh-CN" w:bidi="ar-SA"/>
        </w:rPr>
        <w:t>办理证件和批件</w:t>
      </w:r>
      <w:r>
        <w:rPr>
          <w:color w:val="auto"/>
        </w:rPr>
        <w:tab/>
      </w:r>
      <w:r>
        <w:rPr>
          <w:color w:val="auto"/>
        </w:rPr>
        <w:fldChar w:fldCharType="begin"/>
      </w:r>
      <w:r>
        <w:rPr>
          <w:color w:val="auto"/>
        </w:rPr>
        <w:instrText xml:space="preserve"> PAGEREF _Toc15916 \h </w:instrText>
      </w:r>
      <w:r>
        <w:rPr>
          <w:color w:val="auto"/>
        </w:rPr>
        <w:fldChar w:fldCharType="separate"/>
      </w:r>
      <w:r>
        <w:rPr>
          <w:color w:val="auto"/>
        </w:rPr>
        <w:t>68</w:t>
      </w:r>
      <w:r>
        <w:rPr>
          <w:color w:val="auto"/>
        </w:rPr>
        <w:fldChar w:fldCharType="end"/>
      </w:r>
      <w:r>
        <w:rPr>
          <w:color w:val="auto"/>
        </w:rPr>
        <w:fldChar w:fldCharType="end"/>
      </w:r>
    </w:p>
    <w:p w14:paraId="3E78CC9A">
      <w:pPr>
        <w:pStyle w:val="22"/>
        <w:tabs>
          <w:tab w:val="right" w:leader="dot" w:pos="8730"/>
        </w:tabs>
        <w:ind w:left="960"/>
        <w:rPr>
          <w:color w:val="auto"/>
        </w:rPr>
      </w:pPr>
      <w:r>
        <w:fldChar w:fldCharType="begin"/>
      </w:r>
      <w:r>
        <w:instrText xml:space="preserve"> HYPERLINK \l "_Toc22020" </w:instrText>
      </w:r>
      <w:r>
        <w:fldChar w:fldCharType="separate"/>
      </w:r>
      <w:r>
        <w:rPr>
          <w:rFonts w:eastAsia="宋体"/>
          <w:bCs/>
          <w:color w:val="auto"/>
          <w:kern w:val="2"/>
          <w:szCs w:val="32"/>
          <w:lang w:eastAsia="zh-CN" w:bidi="ar-SA"/>
        </w:rPr>
        <w:t xml:space="preserve">2.4 </w:t>
      </w:r>
      <w:r>
        <w:rPr>
          <w:rFonts w:hint="eastAsia" w:eastAsia="宋体"/>
          <w:bCs/>
          <w:color w:val="auto"/>
          <w:kern w:val="2"/>
          <w:szCs w:val="32"/>
          <w:lang w:eastAsia="zh-CN" w:bidi="ar-SA"/>
        </w:rPr>
        <w:t>支付合同价款</w:t>
      </w:r>
      <w:r>
        <w:rPr>
          <w:color w:val="auto"/>
        </w:rPr>
        <w:tab/>
      </w:r>
      <w:r>
        <w:rPr>
          <w:color w:val="auto"/>
        </w:rPr>
        <w:fldChar w:fldCharType="begin"/>
      </w:r>
      <w:r>
        <w:rPr>
          <w:color w:val="auto"/>
        </w:rPr>
        <w:instrText xml:space="preserve"> PAGEREF _Toc22020 \h </w:instrText>
      </w:r>
      <w:r>
        <w:rPr>
          <w:color w:val="auto"/>
        </w:rPr>
        <w:fldChar w:fldCharType="separate"/>
      </w:r>
      <w:r>
        <w:rPr>
          <w:color w:val="auto"/>
        </w:rPr>
        <w:t>69</w:t>
      </w:r>
      <w:r>
        <w:rPr>
          <w:color w:val="auto"/>
        </w:rPr>
        <w:fldChar w:fldCharType="end"/>
      </w:r>
      <w:r>
        <w:rPr>
          <w:color w:val="auto"/>
        </w:rPr>
        <w:fldChar w:fldCharType="end"/>
      </w:r>
    </w:p>
    <w:p w14:paraId="3B4DFBEC">
      <w:pPr>
        <w:pStyle w:val="22"/>
        <w:tabs>
          <w:tab w:val="right" w:leader="dot" w:pos="8730"/>
        </w:tabs>
        <w:ind w:left="960"/>
        <w:rPr>
          <w:color w:val="auto"/>
        </w:rPr>
      </w:pPr>
      <w:r>
        <w:fldChar w:fldCharType="begin"/>
      </w:r>
      <w:r>
        <w:instrText xml:space="preserve"> HYPERLINK \l "_Toc4807" </w:instrText>
      </w:r>
      <w:r>
        <w:fldChar w:fldCharType="separate"/>
      </w:r>
      <w:r>
        <w:rPr>
          <w:rFonts w:eastAsia="宋体"/>
          <w:bCs/>
          <w:color w:val="auto"/>
          <w:kern w:val="2"/>
          <w:szCs w:val="32"/>
          <w:lang w:eastAsia="zh-CN" w:bidi="ar-SA"/>
        </w:rPr>
        <w:t xml:space="preserve">2.5 </w:t>
      </w:r>
      <w:r>
        <w:rPr>
          <w:rFonts w:hint="eastAsia" w:eastAsia="宋体"/>
          <w:bCs/>
          <w:color w:val="auto"/>
          <w:kern w:val="2"/>
          <w:szCs w:val="32"/>
          <w:lang w:eastAsia="zh-CN" w:bidi="ar-SA"/>
        </w:rPr>
        <w:t>提供监理资料</w:t>
      </w:r>
      <w:r>
        <w:rPr>
          <w:color w:val="auto"/>
        </w:rPr>
        <w:tab/>
      </w:r>
      <w:r>
        <w:rPr>
          <w:color w:val="auto"/>
        </w:rPr>
        <w:fldChar w:fldCharType="begin"/>
      </w:r>
      <w:r>
        <w:rPr>
          <w:color w:val="auto"/>
        </w:rPr>
        <w:instrText xml:space="preserve"> PAGEREF _Toc4807 \h </w:instrText>
      </w:r>
      <w:r>
        <w:rPr>
          <w:color w:val="auto"/>
        </w:rPr>
        <w:fldChar w:fldCharType="separate"/>
      </w:r>
      <w:r>
        <w:rPr>
          <w:color w:val="auto"/>
        </w:rPr>
        <w:t>69</w:t>
      </w:r>
      <w:r>
        <w:rPr>
          <w:color w:val="auto"/>
        </w:rPr>
        <w:fldChar w:fldCharType="end"/>
      </w:r>
      <w:r>
        <w:rPr>
          <w:color w:val="auto"/>
        </w:rPr>
        <w:fldChar w:fldCharType="end"/>
      </w:r>
    </w:p>
    <w:p w14:paraId="39C66D9E">
      <w:pPr>
        <w:pStyle w:val="22"/>
        <w:tabs>
          <w:tab w:val="right" w:leader="dot" w:pos="8730"/>
        </w:tabs>
        <w:ind w:left="960"/>
        <w:rPr>
          <w:color w:val="auto"/>
        </w:rPr>
      </w:pPr>
      <w:r>
        <w:fldChar w:fldCharType="begin"/>
      </w:r>
      <w:r>
        <w:instrText xml:space="preserve"> HYPERLINK \l "_Toc7242" </w:instrText>
      </w:r>
      <w:r>
        <w:fldChar w:fldCharType="separate"/>
      </w:r>
      <w:r>
        <w:rPr>
          <w:rFonts w:eastAsia="宋体"/>
          <w:bCs/>
          <w:color w:val="auto"/>
          <w:kern w:val="2"/>
          <w:szCs w:val="32"/>
          <w:lang w:eastAsia="zh-CN" w:bidi="ar-SA"/>
        </w:rPr>
        <w:t xml:space="preserve">2.6 </w:t>
      </w:r>
      <w:r>
        <w:rPr>
          <w:rFonts w:hint="eastAsia" w:eastAsia="宋体"/>
          <w:bCs/>
          <w:color w:val="auto"/>
          <w:kern w:val="2"/>
          <w:szCs w:val="32"/>
          <w:lang w:eastAsia="zh-CN" w:bidi="ar-SA"/>
        </w:rPr>
        <w:t>其他义务</w:t>
      </w:r>
      <w:r>
        <w:rPr>
          <w:color w:val="auto"/>
        </w:rPr>
        <w:tab/>
      </w:r>
      <w:r>
        <w:rPr>
          <w:color w:val="auto"/>
        </w:rPr>
        <w:fldChar w:fldCharType="begin"/>
      </w:r>
      <w:r>
        <w:rPr>
          <w:color w:val="auto"/>
        </w:rPr>
        <w:instrText xml:space="preserve"> PAGEREF _Toc7242 \h </w:instrText>
      </w:r>
      <w:r>
        <w:rPr>
          <w:color w:val="auto"/>
        </w:rPr>
        <w:fldChar w:fldCharType="separate"/>
      </w:r>
      <w:r>
        <w:rPr>
          <w:color w:val="auto"/>
        </w:rPr>
        <w:t>69</w:t>
      </w:r>
      <w:r>
        <w:rPr>
          <w:color w:val="auto"/>
        </w:rPr>
        <w:fldChar w:fldCharType="end"/>
      </w:r>
      <w:r>
        <w:rPr>
          <w:color w:val="auto"/>
        </w:rPr>
        <w:fldChar w:fldCharType="end"/>
      </w:r>
    </w:p>
    <w:p w14:paraId="0C681AEC">
      <w:pPr>
        <w:pStyle w:val="37"/>
        <w:tabs>
          <w:tab w:val="right" w:leader="dot" w:pos="8730"/>
        </w:tabs>
        <w:ind w:left="480"/>
        <w:rPr>
          <w:color w:val="auto"/>
        </w:rPr>
      </w:pPr>
      <w:r>
        <w:fldChar w:fldCharType="begin"/>
      </w:r>
      <w:r>
        <w:instrText xml:space="preserve"> HYPERLINK \l "_Toc6729" </w:instrText>
      </w:r>
      <w:r>
        <w:fldChar w:fldCharType="separate"/>
      </w:r>
      <w:r>
        <w:rPr>
          <w:rFonts w:ascii="Arial" w:hAnsi="Arial" w:eastAsia="宋体"/>
          <w:bCs/>
          <w:color w:val="auto"/>
          <w:kern w:val="2"/>
          <w:szCs w:val="32"/>
          <w:lang w:eastAsia="zh-CN" w:bidi="ar-SA"/>
        </w:rPr>
        <w:t>3. 委托人管理</w:t>
      </w:r>
      <w:r>
        <w:rPr>
          <w:color w:val="auto"/>
        </w:rPr>
        <w:tab/>
      </w:r>
      <w:r>
        <w:rPr>
          <w:color w:val="auto"/>
        </w:rPr>
        <w:fldChar w:fldCharType="begin"/>
      </w:r>
      <w:r>
        <w:rPr>
          <w:color w:val="auto"/>
        </w:rPr>
        <w:instrText xml:space="preserve"> PAGEREF _Toc6729 \h </w:instrText>
      </w:r>
      <w:r>
        <w:rPr>
          <w:color w:val="auto"/>
        </w:rPr>
        <w:fldChar w:fldCharType="separate"/>
      </w:r>
      <w:r>
        <w:rPr>
          <w:color w:val="auto"/>
        </w:rPr>
        <w:t>69</w:t>
      </w:r>
      <w:r>
        <w:rPr>
          <w:color w:val="auto"/>
        </w:rPr>
        <w:fldChar w:fldCharType="end"/>
      </w:r>
      <w:r>
        <w:rPr>
          <w:color w:val="auto"/>
        </w:rPr>
        <w:fldChar w:fldCharType="end"/>
      </w:r>
    </w:p>
    <w:p w14:paraId="10DD7F04">
      <w:pPr>
        <w:pStyle w:val="22"/>
        <w:tabs>
          <w:tab w:val="right" w:leader="dot" w:pos="8730"/>
        </w:tabs>
        <w:ind w:left="960"/>
        <w:rPr>
          <w:color w:val="auto"/>
        </w:rPr>
      </w:pPr>
      <w:r>
        <w:fldChar w:fldCharType="begin"/>
      </w:r>
      <w:r>
        <w:instrText xml:space="preserve"> HYPERLINK \l "_Toc743" </w:instrText>
      </w:r>
      <w:r>
        <w:fldChar w:fldCharType="separate"/>
      </w:r>
      <w:r>
        <w:rPr>
          <w:rFonts w:eastAsia="宋体"/>
          <w:bCs/>
          <w:color w:val="auto"/>
          <w:kern w:val="2"/>
          <w:szCs w:val="32"/>
          <w:lang w:eastAsia="zh-CN" w:bidi="ar-SA"/>
        </w:rPr>
        <w:t xml:space="preserve">3.1 </w:t>
      </w:r>
      <w:r>
        <w:rPr>
          <w:rFonts w:hint="eastAsia" w:eastAsia="宋体"/>
          <w:bCs/>
          <w:color w:val="auto"/>
          <w:kern w:val="2"/>
          <w:szCs w:val="32"/>
          <w:lang w:eastAsia="zh-CN" w:bidi="ar-SA"/>
        </w:rPr>
        <w:t>委托人代表</w:t>
      </w:r>
      <w:r>
        <w:rPr>
          <w:color w:val="auto"/>
        </w:rPr>
        <w:tab/>
      </w:r>
      <w:r>
        <w:rPr>
          <w:color w:val="auto"/>
        </w:rPr>
        <w:fldChar w:fldCharType="begin"/>
      </w:r>
      <w:r>
        <w:rPr>
          <w:color w:val="auto"/>
        </w:rPr>
        <w:instrText xml:space="preserve"> PAGEREF _Toc743 \h </w:instrText>
      </w:r>
      <w:r>
        <w:rPr>
          <w:color w:val="auto"/>
        </w:rPr>
        <w:fldChar w:fldCharType="separate"/>
      </w:r>
      <w:r>
        <w:rPr>
          <w:color w:val="auto"/>
        </w:rPr>
        <w:t>69</w:t>
      </w:r>
      <w:r>
        <w:rPr>
          <w:color w:val="auto"/>
        </w:rPr>
        <w:fldChar w:fldCharType="end"/>
      </w:r>
      <w:r>
        <w:rPr>
          <w:color w:val="auto"/>
        </w:rPr>
        <w:fldChar w:fldCharType="end"/>
      </w:r>
    </w:p>
    <w:p w14:paraId="1C5E8789">
      <w:pPr>
        <w:pStyle w:val="22"/>
        <w:tabs>
          <w:tab w:val="right" w:leader="dot" w:pos="8730"/>
        </w:tabs>
        <w:ind w:left="960"/>
        <w:rPr>
          <w:color w:val="auto"/>
        </w:rPr>
      </w:pPr>
      <w:r>
        <w:fldChar w:fldCharType="begin"/>
      </w:r>
      <w:r>
        <w:instrText xml:space="preserve"> HYPERLINK \l "_Toc19115" </w:instrText>
      </w:r>
      <w:r>
        <w:fldChar w:fldCharType="separate"/>
      </w:r>
      <w:r>
        <w:rPr>
          <w:rFonts w:eastAsia="宋体"/>
          <w:bCs/>
          <w:color w:val="auto"/>
          <w:kern w:val="2"/>
          <w:szCs w:val="32"/>
          <w:lang w:eastAsia="zh-CN" w:bidi="ar-SA"/>
        </w:rPr>
        <w:t xml:space="preserve">3.2 </w:t>
      </w:r>
      <w:r>
        <w:rPr>
          <w:rFonts w:hint="eastAsia" w:eastAsia="宋体"/>
          <w:bCs/>
          <w:color w:val="auto"/>
          <w:kern w:val="2"/>
          <w:szCs w:val="32"/>
          <w:lang w:eastAsia="zh-CN" w:bidi="ar-SA"/>
        </w:rPr>
        <w:t>委托人的指示</w:t>
      </w:r>
      <w:r>
        <w:rPr>
          <w:color w:val="auto"/>
        </w:rPr>
        <w:tab/>
      </w:r>
      <w:r>
        <w:rPr>
          <w:color w:val="auto"/>
        </w:rPr>
        <w:fldChar w:fldCharType="begin"/>
      </w:r>
      <w:r>
        <w:rPr>
          <w:color w:val="auto"/>
        </w:rPr>
        <w:instrText xml:space="preserve"> PAGEREF _Toc19115 \h </w:instrText>
      </w:r>
      <w:r>
        <w:rPr>
          <w:color w:val="auto"/>
        </w:rPr>
        <w:fldChar w:fldCharType="separate"/>
      </w:r>
      <w:r>
        <w:rPr>
          <w:color w:val="auto"/>
        </w:rPr>
        <w:t>69</w:t>
      </w:r>
      <w:r>
        <w:rPr>
          <w:color w:val="auto"/>
        </w:rPr>
        <w:fldChar w:fldCharType="end"/>
      </w:r>
      <w:r>
        <w:rPr>
          <w:color w:val="auto"/>
        </w:rPr>
        <w:fldChar w:fldCharType="end"/>
      </w:r>
    </w:p>
    <w:p w14:paraId="71824664">
      <w:pPr>
        <w:pStyle w:val="22"/>
        <w:tabs>
          <w:tab w:val="right" w:leader="dot" w:pos="8730"/>
        </w:tabs>
        <w:ind w:left="960"/>
        <w:rPr>
          <w:color w:val="auto"/>
        </w:rPr>
      </w:pPr>
      <w:r>
        <w:fldChar w:fldCharType="begin"/>
      </w:r>
      <w:r>
        <w:instrText xml:space="preserve"> HYPERLINK \l "_Toc12854" </w:instrText>
      </w:r>
      <w:r>
        <w:fldChar w:fldCharType="separate"/>
      </w:r>
      <w:r>
        <w:rPr>
          <w:rFonts w:eastAsia="宋体"/>
          <w:bCs/>
          <w:color w:val="auto"/>
          <w:kern w:val="2"/>
          <w:szCs w:val="32"/>
          <w:lang w:eastAsia="zh-CN" w:bidi="ar-SA"/>
        </w:rPr>
        <w:t xml:space="preserve">3.3 </w:t>
      </w:r>
      <w:r>
        <w:rPr>
          <w:rFonts w:hint="eastAsia" w:eastAsia="宋体"/>
          <w:bCs/>
          <w:color w:val="auto"/>
          <w:kern w:val="2"/>
          <w:szCs w:val="32"/>
          <w:lang w:eastAsia="zh-CN" w:bidi="ar-SA"/>
        </w:rPr>
        <w:t>决定或答复</w:t>
      </w:r>
      <w:r>
        <w:rPr>
          <w:color w:val="auto"/>
        </w:rPr>
        <w:tab/>
      </w:r>
      <w:r>
        <w:rPr>
          <w:color w:val="auto"/>
        </w:rPr>
        <w:fldChar w:fldCharType="begin"/>
      </w:r>
      <w:r>
        <w:rPr>
          <w:color w:val="auto"/>
        </w:rPr>
        <w:instrText xml:space="preserve"> PAGEREF _Toc12854 \h </w:instrText>
      </w:r>
      <w:r>
        <w:rPr>
          <w:color w:val="auto"/>
        </w:rPr>
        <w:fldChar w:fldCharType="separate"/>
      </w:r>
      <w:r>
        <w:rPr>
          <w:color w:val="auto"/>
        </w:rPr>
        <w:t>69</w:t>
      </w:r>
      <w:r>
        <w:rPr>
          <w:color w:val="auto"/>
        </w:rPr>
        <w:fldChar w:fldCharType="end"/>
      </w:r>
      <w:r>
        <w:rPr>
          <w:color w:val="auto"/>
        </w:rPr>
        <w:fldChar w:fldCharType="end"/>
      </w:r>
    </w:p>
    <w:p w14:paraId="2DD3704D">
      <w:pPr>
        <w:pStyle w:val="37"/>
        <w:tabs>
          <w:tab w:val="right" w:leader="dot" w:pos="8730"/>
        </w:tabs>
        <w:ind w:left="480"/>
        <w:rPr>
          <w:color w:val="auto"/>
        </w:rPr>
      </w:pPr>
      <w:r>
        <w:fldChar w:fldCharType="begin"/>
      </w:r>
      <w:r>
        <w:instrText xml:space="preserve"> HYPERLINK \l "_Toc13308" </w:instrText>
      </w:r>
      <w:r>
        <w:fldChar w:fldCharType="separate"/>
      </w:r>
      <w:r>
        <w:rPr>
          <w:rFonts w:ascii="Arial" w:hAnsi="Arial" w:eastAsia="宋体"/>
          <w:bCs/>
          <w:color w:val="auto"/>
          <w:kern w:val="2"/>
          <w:szCs w:val="32"/>
          <w:lang w:eastAsia="zh-CN" w:bidi="ar-SA"/>
        </w:rPr>
        <w:t>4. 监理人义务</w:t>
      </w:r>
      <w:r>
        <w:rPr>
          <w:color w:val="auto"/>
        </w:rPr>
        <w:tab/>
      </w:r>
      <w:r>
        <w:rPr>
          <w:color w:val="auto"/>
        </w:rPr>
        <w:fldChar w:fldCharType="begin"/>
      </w:r>
      <w:r>
        <w:rPr>
          <w:color w:val="auto"/>
        </w:rPr>
        <w:instrText xml:space="preserve"> PAGEREF _Toc13308 \h </w:instrText>
      </w:r>
      <w:r>
        <w:rPr>
          <w:color w:val="auto"/>
        </w:rPr>
        <w:fldChar w:fldCharType="separate"/>
      </w:r>
      <w:r>
        <w:rPr>
          <w:color w:val="auto"/>
        </w:rPr>
        <w:t>70</w:t>
      </w:r>
      <w:r>
        <w:rPr>
          <w:color w:val="auto"/>
        </w:rPr>
        <w:fldChar w:fldCharType="end"/>
      </w:r>
      <w:r>
        <w:rPr>
          <w:color w:val="auto"/>
        </w:rPr>
        <w:fldChar w:fldCharType="end"/>
      </w:r>
    </w:p>
    <w:p w14:paraId="23880B1F">
      <w:pPr>
        <w:pStyle w:val="22"/>
        <w:tabs>
          <w:tab w:val="right" w:leader="dot" w:pos="8730"/>
        </w:tabs>
        <w:ind w:left="960"/>
        <w:rPr>
          <w:color w:val="auto"/>
        </w:rPr>
      </w:pPr>
      <w:r>
        <w:fldChar w:fldCharType="begin"/>
      </w:r>
      <w:r>
        <w:instrText xml:space="preserve"> HYPERLINK \l "_Toc26279" </w:instrText>
      </w:r>
      <w:r>
        <w:fldChar w:fldCharType="separate"/>
      </w:r>
      <w:r>
        <w:rPr>
          <w:rFonts w:eastAsia="宋体"/>
          <w:bCs/>
          <w:color w:val="auto"/>
          <w:kern w:val="2"/>
          <w:szCs w:val="32"/>
          <w:lang w:eastAsia="zh-CN" w:bidi="ar-SA"/>
        </w:rPr>
        <w:t xml:space="preserve">4.1 </w:t>
      </w:r>
      <w:r>
        <w:rPr>
          <w:rFonts w:hint="eastAsia" w:eastAsia="宋体"/>
          <w:bCs/>
          <w:color w:val="auto"/>
          <w:kern w:val="2"/>
          <w:szCs w:val="32"/>
          <w:lang w:eastAsia="zh-CN" w:bidi="ar-SA"/>
        </w:rPr>
        <w:t>监理人的一般义务</w:t>
      </w:r>
      <w:r>
        <w:rPr>
          <w:color w:val="auto"/>
        </w:rPr>
        <w:tab/>
      </w:r>
      <w:r>
        <w:rPr>
          <w:color w:val="auto"/>
        </w:rPr>
        <w:fldChar w:fldCharType="begin"/>
      </w:r>
      <w:r>
        <w:rPr>
          <w:color w:val="auto"/>
        </w:rPr>
        <w:instrText xml:space="preserve"> PAGEREF _Toc26279 \h </w:instrText>
      </w:r>
      <w:r>
        <w:rPr>
          <w:color w:val="auto"/>
        </w:rPr>
        <w:fldChar w:fldCharType="separate"/>
      </w:r>
      <w:r>
        <w:rPr>
          <w:color w:val="auto"/>
        </w:rPr>
        <w:t>70</w:t>
      </w:r>
      <w:r>
        <w:rPr>
          <w:color w:val="auto"/>
        </w:rPr>
        <w:fldChar w:fldCharType="end"/>
      </w:r>
      <w:r>
        <w:rPr>
          <w:color w:val="auto"/>
        </w:rPr>
        <w:fldChar w:fldCharType="end"/>
      </w:r>
    </w:p>
    <w:p w14:paraId="351F733D">
      <w:pPr>
        <w:pStyle w:val="22"/>
        <w:tabs>
          <w:tab w:val="right" w:leader="dot" w:pos="8730"/>
        </w:tabs>
        <w:ind w:left="960"/>
        <w:rPr>
          <w:color w:val="auto"/>
        </w:rPr>
      </w:pPr>
      <w:r>
        <w:fldChar w:fldCharType="begin"/>
      </w:r>
      <w:r>
        <w:instrText xml:space="preserve"> HYPERLINK \l "_Toc17185" </w:instrText>
      </w:r>
      <w:r>
        <w:fldChar w:fldCharType="separate"/>
      </w:r>
      <w:r>
        <w:rPr>
          <w:rFonts w:eastAsia="宋体"/>
          <w:bCs/>
          <w:color w:val="auto"/>
          <w:kern w:val="2"/>
          <w:szCs w:val="32"/>
          <w:lang w:eastAsia="zh-CN" w:bidi="ar-SA"/>
        </w:rPr>
        <w:t xml:space="preserve">4.2 </w:t>
      </w:r>
      <w:r>
        <w:rPr>
          <w:rFonts w:hint="eastAsia" w:eastAsia="宋体"/>
          <w:bCs/>
          <w:color w:val="auto"/>
          <w:kern w:val="2"/>
          <w:szCs w:val="32"/>
          <w:lang w:eastAsia="zh-CN" w:bidi="ar-SA"/>
        </w:rPr>
        <w:t>履约保证金</w:t>
      </w:r>
      <w:r>
        <w:rPr>
          <w:color w:val="auto"/>
        </w:rPr>
        <w:tab/>
      </w:r>
      <w:r>
        <w:rPr>
          <w:color w:val="auto"/>
        </w:rPr>
        <w:fldChar w:fldCharType="begin"/>
      </w:r>
      <w:r>
        <w:rPr>
          <w:color w:val="auto"/>
        </w:rPr>
        <w:instrText xml:space="preserve"> PAGEREF _Toc17185 \h </w:instrText>
      </w:r>
      <w:r>
        <w:rPr>
          <w:color w:val="auto"/>
        </w:rPr>
        <w:fldChar w:fldCharType="separate"/>
      </w:r>
      <w:r>
        <w:rPr>
          <w:color w:val="auto"/>
        </w:rPr>
        <w:t>70</w:t>
      </w:r>
      <w:r>
        <w:rPr>
          <w:color w:val="auto"/>
        </w:rPr>
        <w:fldChar w:fldCharType="end"/>
      </w:r>
      <w:r>
        <w:rPr>
          <w:color w:val="auto"/>
        </w:rPr>
        <w:fldChar w:fldCharType="end"/>
      </w:r>
    </w:p>
    <w:p w14:paraId="1294AFDF">
      <w:pPr>
        <w:pStyle w:val="22"/>
        <w:tabs>
          <w:tab w:val="right" w:leader="dot" w:pos="8730"/>
        </w:tabs>
        <w:ind w:left="960"/>
        <w:rPr>
          <w:color w:val="auto"/>
        </w:rPr>
      </w:pPr>
      <w:r>
        <w:fldChar w:fldCharType="begin"/>
      </w:r>
      <w:r>
        <w:instrText xml:space="preserve"> HYPERLINK \l "_Toc15092" </w:instrText>
      </w:r>
      <w:r>
        <w:fldChar w:fldCharType="separate"/>
      </w:r>
      <w:r>
        <w:rPr>
          <w:rFonts w:eastAsia="宋体"/>
          <w:bCs/>
          <w:color w:val="auto"/>
          <w:kern w:val="2"/>
          <w:szCs w:val="32"/>
          <w:lang w:eastAsia="zh-CN" w:bidi="ar-SA"/>
        </w:rPr>
        <w:t xml:space="preserve">4.3 </w:t>
      </w:r>
      <w:r>
        <w:rPr>
          <w:rFonts w:hint="eastAsia" w:eastAsia="宋体"/>
          <w:bCs/>
          <w:color w:val="auto"/>
          <w:kern w:val="2"/>
          <w:szCs w:val="32"/>
          <w:lang w:eastAsia="zh-CN" w:bidi="ar-SA"/>
        </w:rPr>
        <w:t>联合体</w:t>
      </w:r>
      <w:r>
        <w:rPr>
          <w:color w:val="auto"/>
        </w:rPr>
        <w:tab/>
      </w:r>
      <w:r>
        <w:rPr>
          <w:color w:val="auto"/>
        </w:rPr>
        <w:fldChar w:fldCharType="begin"/>
      </w:r>
      <w:r>
        <w:rPr>
          <w:color w:val="auto"/>
        </w:rPr>
        <w:instrText xml:space="preserve"> PAGEREF _Toc15092 \h </w:instrText>
      </w:r>
      <w:r>
        <w:rPr>
          <w:color w:val="auto"/>
        </w:rPr>
        <w:fldChar w:fldCharType="separate"/>
      </w:r>
      <w:r>
        <w:rPr>
          <w:color w:val="auto"/>
        </w:rPr>
        <w:t>70</w:t>
      </w:r>
      <w:r>
        <w:rPr>
          <w:color w:val="auto"/>
        </w:rPr>
        <w:fldChar w:fldCharType="end"/>
      </w:r>
      <w:r>
        <w:rPr>
          <w:color w:val="auto"/>
        </w:rPr>
        <w:fldChar w:fldCharType="end"/>
      </w:r>
    </w:p>
    <w:p w14:paraId="6D2BC724">
      <w:pPr>
        <w:pStyle w:val="22"/>
        <w:tabs>
          <w:tab w:val="right" w:leader="dot" w:pos="8730"/>
        </w:tabs>
        <w:ind w:left="960"/>
        <w:rPr>
          <w:color w:val="auto"/>
        </w:rPr>
      </w:pPr>
      <w:r>
        <w:fldChar w:fldCharType="begin"/>
      </w:r>
      <w:r>
        <w:instrText xml:space="preserve"> HYPERLINK \l "_Toc11181" </w:instrText>
      </w:r>
      <w:r>
        <w:fldChar w:fldCharType="separate"/>
      </w:r>
      <w:r>
        <w:rPr>
          <w:rFonts w:eastAsia="宋体"/>
          <w:bCs/>
          <w:color w:val="auto"/>
          <w:kern w:val="2"/>
          <w:szCs w:val="32"/>
          <w:lang w:eastAsia="zh-CN" w:bidi="ar-SA"/>
        </w:rPr>
        <w:t xml:space="preserve">4.4 </w:t>
      </w:r>
      <w:r>
        <w:rPr>
          <w:rFonts w:hint="eastAsia" w:eastAsia="宋体"/>
          <w:bCs/>
          <w:color w:val="auto"/>
          <w:kern w:val="2"/>
          <w:szCs w:val="32"/>
          <w:lang w:eastAsia="zh-CN" w:bidi="ar-SA"/>
        </w:rPr>
        <w:t>总监理工程师</w:t>
      </w:r>
      <w:r>
        <w:rPr>
          <w:color w:val="auto"/>
        </w:rPr>
        <w:tab/>
      </w:r>
      <w:r>
        <w:rPr>
          <w:color w:val="auto"/>
        </w:rPr>
        <w:fldChar w:fldCharType="begin"/>
      </w:r>
      <w:r>
        <w:rPr>
          <w:color w:val="auto"/>
        </w:rPr>
        <w:instrText xml:space="preserve"> PAGEREF _Toc11181 \h </w:instrText>
      </w:r>
      <w:r>
        <w:rPr>
          <w:color w:val="auto"/>
        </w:rPr>
        <w:fldChar w:fldCharType="separate"/>
      </w:r>
      <w:r>
        <w:rPr>
          <w:color w:val="auto"/>
        </w:rPr>
        <w:t>70</w:t>
      </w:r>
      <w:r>
        <w:rPr>
          <w:color w:val="auto"/>
        </w:rPr>
        <w:fldChar w:fldCharType="end"/>
      </w:r>
      <w:r>
        <w:rPr>
          <w:color w:val="auto"/>
        </w:rPr>
        <w:fldChar w:fldCharType="end"/>
      </w:r>
    </w:p>
    <w:p w14:paraId="438394B5">
      <w:pPr>
        <w:pStyle w:val="22"/>
        <w:tabs>
          <w:tab w:val="right" w:leader="dot" w:pos="8730"/>
        </w:tabs>
        <w:ind w:left="960"/>
        <w:rPr>
          <w:color w:val="auto"/>
        </w:rPr>
      </w:pPr>
      <w:r>
        <w:fldChar w:fldCharType="begin"/>
      </w:r>
      <w:r>
        <w:instrText xml:space="preserve"> HYPERLINK \l "_Toc4378" </w:instrText>
      </w:r>
      <w:r>
        <w:fldChar w:fldCharType="separate"/>
      </w:r>
      <w:r>
        <w:rPr>
          <w:rFonts w:eastAsia="宋体"/>
          <w:bCs/>
          <w:color w:val="auto"/>
          <w:kern w:val="2"/>
          <w:szCs w:val="32"/>
          <w:lang w:eastAsia="zh-CN" w:bidi="ar-SA"/>
        </w:rPr>
        <w:t xml:space="preserve">4.5 </w:t>
      </w:r>
      <w:r>
        <w:rPr>
          <w:rFonts w:hint="eastAsia" w:eastAsia="宋体"/>
          <w:bCs/>
          <w:color w:val="auto"/>
          <w:kern w:val="2"/>
          <w:szCs w:val="32"/>
          <w:lang w:eastAsia="zh-CN" w:bidi="ar-SA"/>
        </w:rPr>
        <w:t>监理人员的管理</w:t>
      </w:r>
      <w:r>
        <w:rPr>
          <w:color w:val="auto"/>
        </w:rPr>
        <w:tab/>
      </w:r>
      <w:r>
        <w:rPr>
          <w:color w:val="auto"/>
        </w:rPr>
        <w:fldChar w:fldCharType="begin"/>
      </w:r>
      <w:r>
        <w:rPr>
          <w:color w:val="auto"/>
        </w:rPr>
        <w:instrText xml:space="preserve"> PAGEREF _Toc4378 \h </w:instrText>
      </w:r>
      <w:r>
        <w:rPr>
          <w:color w:val="auto"/>
        </w:rPr>
        <w:fldChar w:fldCharType="separate"/>
      </w:r>
      <w:r>
        <w:rPr>
          <w:color w:val="auto"/>
        </w:rPr>
        <w:t>71</w:t>
      </w:r>
      <w:r>
        <w:rPr>
          <w:color w:val="auto"/>
        </w:rPr>
        <w:fldChar w:fldCharType="end"/>
      </w:r>
      <w:r>
        <w:rPr>
          <w:color w:val="auto"/>
        </w:rPr>
        <w:fldChar w:fldCharType="end"/>
      </w:r>
    </w:p>
    <w:p w14:paraId="29ECBB7F">
      <w:pPr>
        <w:pStyle w:val="22"/>
        <w:tabs>
          <w:tab w:val="right" w:leader="dot" w:pos="8730"/>
        </w:tabs>
        <w:ind w:left="960"/>
        <w:rPr>
          <w:color w:val="auto"/>
        </w:rPr>
      </w:pPr>
      <w:r>
        <w:fldChar w:fldCharType="begin"/>
      </w:r>
      <w:r>
        <w:instrText xml:space="preserve"> HYPERLINK \l "_Toc14712" </w:instrText>
      </w:r>
      <w:r>
        <w:fldChar w:fldCharType="separate"/>
      </w:r>
      <w:r>
        <w:rPr>
          <w:rFonts w:eastAsia="宋体"/>
          <w:bCs/>
          <w:color w:val="auto"/>
          <w:kern w:val="2"/>
          <w:szCs w:val="32"/>
          <w:lang w:eastAsia="zh-CN" w:bidi="ar-SA"/>
        </w:rPr>
        <w:t xml:space="preserve">4.6 </w:t>
      </w:r>
      <w:r>
        <w:rPr>
          <w:rFonts w:hint="eastAsia" w:eastAsia="宋体"/>
          <w:bCs/>
          <w:color w:val="auto"/>
          <w:kern w:val="2"/>
          <w:szCs w:val="32"/>
          <w:lang w:eastAsia="zh-CN" w:bidi="ar-SA"/>
        </w:rPr>
        <w:t>撤换总监理工程师和其他人员</w:t>
      </w:r>
      <w:r>
        <w:rPr>
          <w:color w:val="auto"/>
        </w:rPr>
        <w:tab/>
      </w:r>
      <w:r>
        <w:rPr>
          <w:color w:val="auto"/>
        </w:rPr>
        <w:fldChar w:fldCharType="begin"/>
      </w:r>
      <w:r>
        <w:rPr>
          <w:color w:val="auto"/>
        </w:rPr>
        <w:instrText xml:space="preserve"> PAGEREF _Toc14712 \h </w:instrText>
      </w:r>
      <w:r>
        <w:rPr>
          <w:color w:val="auto"/>
        </w:rPr>
        <w:fldChar w:fldCharType="separate"/>
      </w:r>
      <w:r>
        <w:rPr>
          <w:color w:val="auto"/>
        </w:rPr>
        <w:t>71</w:t>
      </w:r>
      <w:r>
        <w:rPr>
          <w:color w:val="auto"/>
        </w:rPr>
        <w:fldChar w:fldCharType="end"/>
      </w:r>
      <w:r>
        <w:rPr>
          <w:color w:val="auto"/>
        </w:rPr>
        <w:fldChar w:fldCharType="end"/>
      </w:r>
    </w:p>
    <w:p w14:paraId="79E1C582">
      <w:pPr>
        <w:pStyle w:val="22"/>
        <w:tabs>
          <w:tab w:val="right" w:leader="dot" w:pos="8730"/>
        </w:tabs>
        <w:ind w:left="960"/>
        <w:rPr>
          <w:color w:val="auto"/>
        </w:rPr>
      </w:pPr>
      <w:r>
        <w:fldChar w:fldCharType="begin"/>
      </w:r>
      <w:r>
        <w:instrText xml:space="preserve"> HYPERLINK \l "_Toc30750" </w:instrText>
      </w:r>
      <w:r>
        <w:fldChar w:fldCharType="separate"/>
      </w:r>
      <w:r>
        <w:rPr>
          <w:rFonts w:eastAsia="宋体"/>
          <w:bCs/>
          <w:color w:val="auto"/>
          <w:kern w:val="2"/>
          <w:szCs w:val="32"/>
          <w:lang w:eastAsia="zh-CN" w:bidi="ar-SA"/>
        </w:rPr>
        <w:t xml:space="preserve">4.7 </w:t>
      </w:r>
      <w:r>
        <w:rPr>
          <w:rFonts w:hint="eastAsia" w:eastAsia="宋体"/>
          <w:bCs/>
          <w:color w:val="auto"/>
          <w:kern w:val="2"/>
          <w:szCs w:val="32"/>
          <w:lang w:eastAsia="zh-CN" w:bidi="ar-SA"/>
        </w:rPr>
        <w:t>保障人员的合法权益</w:t>
      </w:r>
      <w:r>
        <w:rPr>
          <w:color w:val="auto"/>
        </w:rPr>
        <w:tab/>
      </w:r>
      <w:r>
        <w:rPr>
          <w:color w:val="auto"/>
        </w:rPr>
        <w:fldChar w:fldCharType="begin"/>
      </w:r>
      <w:r>
        <w:rPr>
          <w:color w:val="auto"/>
        </w:rPr>
        <w:instrText xml:space="preserve"> PAGEREF _Toc30750 \h </w:instrText>
      </w:r>
      <w:r>
        <w:rPr>
          <w:color w:val="auto"/>
        </w:rPr>
        <w:fldChar w:fldCharType="separate"/>
      </w:r>
      <w:r>
        <w:rPr>
          <w:color w:val="auto"/>
        </w:rPr>
        <w:t>71</w:t>
      </w:r>
      <w:r>
        <w:rPr>
          <w:color w:val="auto"/>
        </w:rPr>
        <w:fldChar w:fldCharType="end"/>
      </w:r>
      <w:r>
        <w:rPr>
          <w:color w:val="auto"/>
        </w:rPr>
        <w:fldChar w:fldCharType="end"/>
      </w:r>
    </w:p>
    <w:p w14:paraId="65630C47">
      <w:pPr>
        <w:pStyle w:val="22"/>
        <w:tabs>
          <w:tab w:val="right" w:leader="dot" w:pos="8730"/>
        </w:tabs>
        <w:ind w:left="960"/>
        <w:rPr>
          <w:color w:val="auto"/>
        </w:rPr>
      </w:pPr>
      <w:r>
        <w:fldChar w:fldCharType="begin"/>
      </w:r>
      <w:r>
        <w:instrText xml:space="preserve"> HYPERLINK \l "_Toc4055" </w:instrText>
      </w:r>
      <w:r>
        <w:fldChar w:fldCharType="separate"/>
      </w:r>
      <w:r>
        <w:rPr>
          <w:rFonts w:eastAsia="宋体"/>
          <w:bCs/>
          <w:color w:val="auto"/>
          <w:kern w:val="2"/>
          <w:szCs w:val="32"/>
          <w:lang w:eastAsia="zh-CN" w:bidi="ar-SA"/>
        </w:rPr>
        <w:t xml:space="preserve">4.8 </w:t>
      </w:r>
      <w:r>
        <w:rPr>
          <w:rFonts w:hint="eastAsia" w:eastAsia="宋体"/>
          <w:bCs/>
          <w:color w:val="auto"/>
          <w:kern w:val="2"/>
          <w:szCs w:val="32"/>
          <w:lang w:eastAsia="zh-CN" w:bidi="ar-SA"/>
        </w:rPr>
        <w:t>合同价款应专款专用</w:t>
      </w:r>
      <w:r>
        <w:rPr>
          <w:color w:val="auto"/>
        </w:rPr>
        <w:tab/>
      </w:r>
      <w:r>
        <w:rPr>
          <w:color w:val="auto"/>
        </w:rPr>
        <w:fldChar w:fldCharType="begin"/>
      </w:r>
      <w:r>
        <w:rPr>
          <w:color w:val="auto"/>
        </w:rPr>
        <w:instrText xml:space="preserve"> PAGEREF _Toc4055 \h </w:instrText>
      </w:r>
      <w:r>
        <w:rPr>
          <w:color w:val="auto"/>
        </w:rPr>
        <w:fldChar w:fldCharType="separate"/>
      </w:r>
      <w:r>
        <w:rPr>
          <w:color w:val="auto"/>
        </w:rPr>
        <w:t>71</w:t>
      </w:r>
      <w:r>
        <w:rPr>
          <w:color w:val="auto"/>
        </w:rPr>
        <w:fldChar w:fldCharType="end"/>
      </w:r>
      <w:r>
        <w:rPr>
          <w:color w:val="auto"/>
        </w:rPr>
        <w:fldChar w:fldCharType="end"/>
      </w:r>
    </w:p>
    <w:p w14:paraId="23DAE9F8">
      <w:pPr>
        <w:pStyle w:val="37"/>
        <w:tabs>
          <w:tab w:val="right" w:leader="dot" w:pos="8730"/>
        </w:tabs>
        <w:ind w:left="480"/>
        <w:rPr>
          <w:color w:val="auto"/>
        </w:rPr>
      </w:pPr>
      <w:r>
        <w:fldChar w:fldCharType="begin"/>
      </w:r>
      <w:r>
        <w:instrText xml:space="preserve"> HYPERLINK \l "_Toc7392" </w:instrText>
      </w:r>
      <w:r>
        <w:fldChar w:fldCharType="separate"/>
      </w:r>
      <w:r>
        <w:rPr>
          <w:rFonts w:ascii="Arial" w:hAnsi="Arial" w:eastAsia="宋体"/>
          <w:bCs/>
          <w:color w:val="auto"/>
          <w:kern w:val="2"/>
          <w:szCs w:val="32"/>
          <w:lang w:eastAsia="zh-CN" w:bidi="ar-SA"/>
        </w:rPr>
        <w:t>5. 监理要求</w:t>
      </w:r>
      <w:r>
        <w:rPr>
          <w:color w:val="auto"/>
        </w:rPr>
        <w:tab/>
      </w:r>
      <w:r>
        <w:rPr>
          <w:color w:val="auto"/>
        </w:rPr>
        <w:fldChar w:fldCharType="begin"/>
      </w:r>
      <w:r>
        <w:rPr>
          <w:color w:val="auto"/>
        </w:rPr>
        <w:instrText xml:space="preserve"> PAGEREF _Toc7392 \h </w:instrText>
      </w:r>
      <w:r>
        <w:rPr>
          <w:color w:val="auto"/>
        </w:rPr>
        <w:fldChar w:fldCharType="separate"/>
      </w:r>
      <w:r>
        <w:rPr>
          <w:color w:val="auto"/>
        </w:rPr>
        <w:t>71</w:t>
      </w:r>
      <w:r>
        <w:rPr>
          <w:color w:val="auto"/>
        </w:rPr>
        <w:fldChar w:fldCharType="end"/>
      </w:r>
      <w:r>
        <w:rPr>
          <w:color w:val="auto"/>
        </w:rPr>
        <w:fldChar w:fldCharType="end"/>
      </w:r>
    </w:p>
    <w:p w14:paraId="204E9155">
      <w:pPr>
        <w:pStyle w:val="22"/>
        <w:tabs>
          <w:tab w:val="right" w:leader="dot" w:pos="8730"/>
        </w:tabs>
        <w:ind w:left="960"/>
        <w:rPr>
          <w:color w:val="auto"/>
        </w:rPr>
      </w:pPr>
      <w:r>
        <w:fldChar w:fldCharType="begin"/>
      </w:r>
      <w:r>
        <w:instrText xml:space="preserve"> HYPERLINK \l "_Toc19359" </w:instrText>
      </w:r>
      <w:r>
        <w:fldChar w:fldCharType="separate"/>
      </w:r>
      <w:r>
        <w:rPr>
          <w:rFonts w:eastAsia="宋体"/>
          <w:bCs/>
          <w:color w:val="auto"/>
          <w:kern w:val="2"/>
          <w:szCs w:val="32"/>
          <w:lang w:eastAsia="zh-CN" w:bidi="ar-SA"/>
        </w:rPr>
        <w:t xml:space="preserve">5.1 </w:t>
      </w:r>
      <w:r>
        <w:rPr>
          <w:rFonts w:hint="eastAsia" w:eastAsia="宋体"/>
          <w:bCs/>
          <w:color w:val="auto"/>
          <w:kern w:val="2"/>
          <w:szCs w:val="32"/>
          <w:lang w:eastAsia="zh-CN" w:bidi="ar-SA"/>
        </w:rPr>
        <w:t>监理范围</w:t>
      </w:r>
      <w:r>
        <w:rPr>
          <w:color w:val="auto"/>
        </w:rPr>
        <w:tab/>
      </w:r>
      <w:r>
        <w:rPr>
          <w:color w:val="auto"/>
        </w:rPr>
        <w:fldChar w:fldCharType="begin"/>
      </w:r>
      <w:r>
        <w:rPr>
          <w:color w:val="auto"/>
        </w:rPr>
        <w:instrText xml:space="preserve"> PAGEREF _Toc19359 \h </w:instrText>
      </w:r>
      <w:r>
        <w:rPr>
          <w:color w:val="auto"/>
        </w:rPr>
        <w:fldChar w:fldCharType="separate"/>
      </w:r>
      <w:r>
        <w:rPr>
          <w:color w:val="auto"/>
        </w:rPr>
        <w:t>71</w:t>
      </w:r>
      <w:r>
        <w:rPr>
          <w:color w:val="auto"/>
        </w:rPr>
        <w:fldChar w:fldCharType="end"/>
      </w:r>
      <w:r>
        <w:rPr>
          <w:color w:val="auto"/>
        </w:rPr>
        <w:fldChar w:fldCharType="end"/>
      </w:r>
    </w:p>
    <w:p w14:paraId="012A333D">
      <w:pPr>
        <w:pStyle w:val="22"/>
        <w:tabs>
          <w:tab w:val="right" w:leader="dot" w:pos="8730"/>
        </w:tabs>
        <w:ind w:left="960"/>
        <w:rPr>
          <w:color w:val="auto"/>
        </w:rPr>
      </w:pPr>
      <w:r>
        <w:fldChar w:fldCharType="begin"/>
      </w:r>
      <w:r>
        <w:instrText xml:space="preserve"> HYPERLINK \l "_Toc1665" </w:instrText>
      </w:r>
      <w:r>
        <w:fldChar w:fldCharType="separate"/>
      </w:r>
      <w:r>
        <w:rPr>
          <w:rFonts w:eastAsia="宋体"/>
          <w:bCs/>
          <w:color w:val="auto"/>
          <w:kern w:val="2"/>
          <w:szCs w:val="32"/>
          <w:lang w:eastAsia="zh-CN" w:bidi="ar-SA"/>
        </w:rPr>
        <w:t xml:space="preserve">5.2 </w:t>
      </w:r>
      <w:r>
        <w:rPr>
          <w:rFonts w:hint="eastAsia" w:eastAsia="宋体"/>
          <w:bCs/>
          <w:color w:val="auto"/>
          <w:kern w:val="2"/>
          <w:szCs w:val="32"/>
          <w:lang w:eastAsia="zh-CN" w:bidi="ar-SA"/>
        </w:rPr>
        <w:t>监理依据</w:t>
      </w:r>
      <w:r>
        <w:rPr>
          <w:color w:val="auto"/>
        </w:rPr>
        <w:tab/>
      </w:r>
      <w:r>
        <w:rPr>
          <w:color w:val="auto"/>
        </w:rPr>
        <w:fldChar w:fldCharType="begin"/>
      </w:r>
      <w:r>
        <w:rPr>
          <w:color w:val="auto"/>
        </w:rPr>
        <w:instrText xml:space="preserve"> PAGEREF _Toc1665 \h </w:instrText>
      </w:r>
      <w:r>
        <w:rPr>
          <w:color w:val="auto"/>
        </w:rPr>
        <w:fldChar w:fldCharType="separate"/>
      </w:r>
      <w:r>
        <w:rPr>
          <w:color w:val="auto"/>
        </w:rPr>
        <w:t>72</w:t>
      </w:r>
      <w:r>
        <w:rPr>
          <w:color w:val="auto"/>
        </w:rPr>
        <w:fldChar w:fldCharType="end"/>
      </w:r>
      <w:r>
        <w:rPr>
          <w:color w:val="auto"/>
        </w:rPr>
        <w:fldChar w:fldCharType="end"/>
      </w:r>
    </w:p>
    <w:p w14:paraId="4AFC57F8">
      <w:pPr>
        <w:pStyle w:val="22"/>
        <w:tabs>
          <w:tab w:val="right" w:leader="dot" w:pos="8730"/>
        </w:tabs>
        <w:ind w:left="960"/>
        <w:rPr>
          <w:color w:val="auto"/>
        </w:rPr>
      </w:pPr>
      <w:r>
        <w:fldChar w:fldCharType="begin"/>
      </w:r>
      <w:r>
        <w:instrText xml:space="preserve"> HYPERLINK \l "_Toc26216" </w:instrText>
      </w:r>
      <w:r>
        <w:fldChar w:fldCharType="separate"/>
      </w:r>
      <w:r>
        <w:rPr>
          <w:rFonts w:eastAsia="宋体"/>
          <w:bCs/>
          <w:color w:val="auto"/>
          <w:kern w:val="2"/>
          <w:szCs w:val="32"/>
          <w:lang w:eastAsia="zh-CN" w:bidi="ar-SA"/>
        </w:rPr>
        <w:t xml:space="preserve">5.3 </w:t>
      </w:r>
      <w:r>
        <w:rPr>
          <w:rFonts w:hint="eastAsia" w:eastAsia="宋体"/>
          <w:bCs/>
          <w:color w:val="auto"/>
          <w:kern w:val="2"/>
          <w:szCs w:val="32"/>
          <w:lang w:eastAsia="zh-CN" w:bidi="ar-SA"/>
        </w:rPr>
        <w:t>监理内容</w:t>
      </w:r>
      <w:r>
        <w:rPr>
          <w:color w:val="auto"/>
        </w:rPr>
        <w:tab/>
      </w:r>
      <w:r>
        <w:rPr>
          <w:color w:val="auto"/>
        </w:rPr>
        <w:fldChar w:fldCharType="begin"/>
      </w:r>
      <w:r>
        <w:rPr>
          <w:color w:val="auto"/>
        </w:rPr>
        <w:instrText xml:space="preserve"> PAGEREF _Toc26216 \h </w:instrText>
      </w:r>
      <w:r>
        <w:rPr>
          <w:color w:val="auto"/>
        </w:rPr>
        <w:fldChar w:fldCharType="separate"/>
      </w:r>
      <w:r>
        <w:rPr>
          <w:color w:val="auto"/>
        </w:rPr>
        <w:t>72</w:t>
      </w:r>
      <w:r>
        <w:rPr>
          <w:color w:val="auto"/>
        </w:rPr>
        <w:fldChar w:fldCharType="end"/>
      </w:r>
      <w:r>
        <w:rPr>
          <w:color w:val="auto"/>
        </w:rPr>
        <w:fldChar w:fldCharType="end"/>
      </w:r>
    </w:p>
    <w:p w14:paraId="4DC79066">
      <w:pPr>
        <w:pStyle w:val="22"/>
        <w:tabs>
          <w:tab w:val="right" w:leader="dot" w:pos="8730"/>
        </w:tabs>
        <w:ind w:left="960"/>
        <w:rPr>
          <w:color w:val="auto"/>
        </w:rPr>
      </w:pPr>
      <w:r>
        <w:fldChar w:fldCharType="begin"/>
      </w:r>
      <w:r>
        <w:instrText xml:space="preserve"> HYPERLINK \l "_Toc9018" </w:instrText>
      </w:r>
      <w:r>
        <w:fldChar w:fldCharType="separate"/>
      </w:r>
      <w:r>
        <w:rPr>
          <w:rFonts w:eastAsia="宋体"/>
          <w:bCs/>
          <w:color w:val="auto"/>
          <w:kern w:val="2"/>
          <w:szCs w:val="32"/>
          <w:lang w:eastAsia="zh-CN" w:bidi="ar-SA"/>
        </w:rPr>
        <w:t xml:space="preserve">5.4 </w:t>
      </w:r>
      <w:r>
        <w:rPr>
          <w:rFonts w:hint="eastAsia" w:eastAsia="宋体"/>
          <w:bCs/>
          <w:color w:val="auto"/>
          <w:kern w:val="2"/>
          <w:szCs w:val="32"/>
          <w:lang w:eastAsia="zh-CN" w:bidi="ar-SA"/>
        </w:rPr>
        <w:t>监理文件要求</w:t>
      </w:r>
      <w:r>
        <w:rPr>
          <w:color w:val="auto"/>
        </w:rPr>
        <w:tab/>
      </w:r>
      <w:r>
        <w:rPr>
          <w:color w:val="auto"/>
        </w:rPr>
        <w:fldChar w:fldCharType="begin"/>
      </w:r>
      <w:r>
        <w:rPr>
          <w:color w:val="auto"/>
        </w:rPr>
        <w:instrText xml:space="preserve"> PAGEREF _Toc9018 \h </w:instrText>
      </w:r>
      <w:r>
        <w:rPr>
          <w:color w:val="auto"/>
        </w:rPr>
        <w:fldChar w:fldCharType="separate"/>
      </w:r>
      <w:r>
        <w:rPr>
          <w:color w:val="auto"/>
        </w:rPr>
        <w:t>73</w:t>
      </w:r>
      <w:r>
        <w:rPr>
          <w:color w:val="auto"/>
        </w:rPr>
        <w:fldChar w:fldCharType="end"/>
      </w:r>
      <w:r>
        <w:rPr>
          <w:color w:val="auto"/>
        </w:rPr>
        <w:fldChar w:fldCharType="end"/>
      </w:r>
    </w:p>
    <w:p w14:paraId="7BFB6D0C">
      <w:pPr>
        <w:pStyle w:val="22"/>
        <w:tabs>
          <w:tab w:val="right" w:leader="dot" w:pos="8730"/>
        </w:tabs>
        <w:ind w:left="960"/>
        <w:rPr>
          <w:color w:val="auto"/>
        </w:rPr>
      </w:pPr>
      <w:r>
        <w:fldChar w:fldCharType="begin"/>
      </w:r>
      <w:r>
        <w:instrText xml:space="preserve"> HYPERLINK \l "_Toc27808" </w:instrText>
      </w:r>
      <w:r>
        <w:fldChar w:fldCharType="separate"/>
      </w:r>
      <w:r>
        <w:rPr>
          <w:rFonts w:eastAsia="宋体"/>
          <w:bCs/>
          <w:color w:val="auto"/>
          <w:kern w:val="2"/>
          <w:szCs w:val="32"/>
          <w:lang w:eastAsia="zh-CN" w:bidi="ar-SA"/>
        </w:rPr>
        <w:t>6. 开始监理和完成监理</w:t>
      </w:r>
      <w:r>
        <w:rPr>
          <w:color w:val="auto"/>
        </w:rPr>
        <w:tab/>
      </w:r>
      <w:r>
        <w:rPr>
          <w:color w:val="auto"/>
        </w:rPr>
        <w:fldChar w:fldCharType="begin"/>
      </w:r>
      <w:r>
        <w:rPr>
          <w:color w:val="auto"/>
        </w:rPr>
        <w:instrText xml:space="preserve"> PAGEREF _Toc27808 \h </w:instrText>
      </w:r>
      <w:r>
        <w:rPr>
          <w:color w:val="auto"/>
        </w:rPr>
        <w:fldChar w:fldCharType="separate"/>
      </w:r>
      <w:r>
        <w:rPr>
          <w:color w:val="auto"/>
        </w:rPr>
        <w:t>73</w:t>
      </w:r>
      <w:r>
        <w:rPr>
          <w:color w:val="auto"/>
        </w:rPr>
        <w:fldChar w:fldCharType="end"/>
      </w:r>
      <w:r>
        <w:rPr>
          <w:color w:val="auto"/>
        </w:rPr>
        <w:fldChar w:fldCharType="end"/>
      </w:r>
    </w:p>
    <w:p w14:paraId="779356F3">
      <w:pPr>
        <w:pStyle w:val="22"/>
        <w:tabs>
          <w:tab w:val="right" w:leader="dot" w:pos="8730"/>
        </w:tabs>
        <w:ind w:left="960"/>
        <w:rPr>
          <w:color w:val="auto"/>
        </w:rPr>
      </w:pPr>
      <w:r>
        <w:fldChar w:fldCharType="begin"/>
      </w:r>
      <w:r>
        <w:instrText xml:space="preserve"> HYPERLINK \l "_Toc4234" </w:instrText>
      </w:r>
      <w:r>
        <w:fldChar w:fldCharType="separate"/>
      </w:r>
      <w:r>
        <w:rPr>
          <w:rFonts w:eastAsia="宋体"/>
          <w:bCs/>
          <w:color w:val="auto"/>
          <w:kern w:val="2"/>
          <w:szCs w:val="32"/>
          <w:lang w:eastAsia="zh-CN" w:bidi="ar-SA"/>
        </w:rPr>
        <w:t xml:space="preserve">6.1 </w:t>
      </w:r>
      <w:r>
        <w:rPr>
          <w:rFonts w:hint="eastAsia" w:eastAsia="宋体"/>
          <w:bCs/>
          <w:color w:val="auto"/>
          <w:kern w:val="2"/>
          <w:szCs w:val="32"/>
          <w:lang w:eastAsia="zh-CN" w:bidi="ar-SA"/>
        </w:rPr>
        <w:t>开始监理</w:t>
      </w:r>
      <w:r>
        <w:rPr>
          <w:color w:val="auto"/>
        </w:rPr>
        <w:tab/>
      </w:r>
      <w:r>
        <w:rPr>
          <w:color w:val="auto"/>
        </w:rPr>
        <w:fldChar w:fldCharType="begin"/>
      </w:r>
      <w:r>
        <w:rPr>
          <w:color w:val="auto"/>
        </w:rPr>
        <w:instrText xml:space="preserve"> PAGEREF _Toc4234 \h </w:instrText>
      </w:r>
      <w:r>
        <w:rPr>
          <w:color w:val="auto"/>
        </w:rPr>
        <w:fldChar w:fldCharType="separate"/>
      </w:r>
      <w:r>
        <w:rPr>
          <w:color w:val="auto"/>
        </w:rPr>
        <w:t>73</w:t>
      </w:r>
      <w:r>
        <w:rPr>
          <w:color w:val="auto"/>
        </w:rPr>
        <w:fldChar w:fldCharType="end"/>
      </w:r>
      <w:r>
        <w:rPr>
          <w:color w:val="auto"/>
        </w:rPr>
        <w:fldChar w:fldCharType="end"/>
      </w:r>
    </w:p>
    <w:p w14:paraId="6A7B9033">
      <w:pPr>
        <w:pStyle w:val="22"/>
        <w:tabs>
          <w:tab w:val="right" w:leader="dot" w:pos="8730"/>
        </w:tabs>
        <w:ind w:left="960"/>
        <w:rPr>
          <w:color w:val="auto"/>
        </w:rPr>
      </w:pPr>
      <w:r>
        <w:fldChar w:fldCharType="begin"/>
      </w:r>
      <w:r>
        <w:instrText xml:space="preserve"> HYPERLINK \l "_Toc25963" </w:instrText>
      </w:r>
      <w:r>
        <w:fldChar w:fldCharType="separate"/>
      </w:r>
      <w:r>
        <w:rPr>
          <w:rFonts w:eastAsia="宋体"/>
          <w:bCs/>
          <w:color w:val="auto"/>
          <w:kern w:val="2"/>
          <w:szCs w:val="32"/>
          <w:lang w:eastAsia="zh-CN" w:bidi="ar-SA"/>
        </w:rPr>
        <w:t xml:space="preserve">6.2 </w:t>
      </w:r>
      <w:r>
        <w:rPr>
          <w:rFonts w:hint="eastAsia" w:eastAsia="宋体"/>
          <w:bCs/>
          <w:color w:val="auto"/>
          <w:kern w:val="2"/>
          <w:szCs w:val="32"/>
          <w:lang w:eastAsia="zh-CN" w:bidi="ar-SA"/>
        </w:rPr>
        <w:t>监理周期延误</w:t>
      </w:r>
      <w:r>
        <w:rPr>
          <w:color w:val="auto"/>
        </w:rPr>
        <w:tab/>
      </w:r>
      <w:r>
        <w:rPr>
          <w:color w:val="auto"/>
        </w:rPr>
        <w:fldChar w:fldCharType="begin"/>
      </w:r>
      <w:r>
        <w:rPr>
          <w:color w:val="auto"/>
        </w:rPr>
        <w:instrText xml:space="preserve"> PAGEREF _Toc25963 \h </w:instrText>
      </w:r>
      <w:r>
        <w:rPr>
          <w:color w:val="auto"/>
        </w:rPr>
        <w:fldChar w:fldCharType="separate"/>
      </w:r>
      <w:r>
        <w:rPr>
          <w:color w:val="auto"/>
        </w:rPr>
        <w:t>73</w:t>
      </w:r>
      <w:r>
        <w:rPr>
          <w:color w:val="auto"/>
        </w:rPr>
        <w:fldChar w:fldCharType="end"/>
      </w:r>
      <w:r>
        <w:rPr>
          <w:color w:val="auto"/>
        </w:rPr>
        <w:fldChar w:fldCharType="end"/>
      </w:r>
    </w:p>
    <w:p w14:paraId="2157F256">
      <w:pPr>
        <w:pStyle w:val="22"/>
        <w:tabs>
          <w:tab w:val="right" w:leader="dot" w:pos="8730"/>
        </w:tabs>
        <w:ind w:left="960"/>
        <w:rPr>
          <w:color w:val="auto"/>
        </w:rPr>
      </w:pPr>
      <w:r>
        <w:fldChar w:fldCharType="begin"/>
      </w:r>
      <w:r>
        <w:instrText xml:space="preserve"> HYPERLINK \l "_Toc8735" </w:instrText>
      </w:r>
      <w:r>
        <w:fldChar w:fldCharType="separate"/>
      </w:r>
      <w:r>
        <w:rPr>
          <w:rFonts w:eastAsia="宋体"/>
          <w:bCs/>
          <w:color w:val="auto"/>
          <w:kern w:val="2"/>
          <w:szCs w:val="32"/>
          <w:lang w:eastAsia="zh-CN" w:bidi="ar-SA"/>
        </w:rPr>
        <w:t xml:space="preserve">6.3 </w:t>
      </w:r>
      <w:r>
        <w:rPr>
          <w:rFonts w:hint="eastAsia" w:eastAsia="宋体"/>
          <w:bCs/>
          <w:color w:val="auto"/>
          <w:kern w:val="2"/>
          <w:szCs w:val="32"/>
          <w:lang w:eastAsia="zh-CN" w:bidi="ar-SA"/>
        </w:rPr>
        <w:t>完成监理</w:t>
      </w:r>
      <w:r>
        <w:rPr>
          <w:color w:val="auto"/>
        </w:rPr>
        <w:tab/>
      </w:r>
      <w:r>
        <w:rPr>
          <w:color w:val="auto"/>
        </w:rPr>
        <w:fldChar w:fldCharType="begin"/>
      </w:r>
      <w:r>
        <w:rPr>
          <w:color w:val="auto"/>
        </w:rPr>
        <w:instrText xml:space="preserve"> PAGEREF _Toc8735 \h </w:instrText>
      </w:r>
      <w:r>
        <w:rPr>
          <w:color w:val="auto"/>
        </w:rPr>
        <w:fldChar w:fldCharType="separate"/>
      </w:r>
      <w:r>
        <w:rPr>
          <w:color w:val="auto"/>
        </w:rPr>
        <w:t>73</w:t>
      </w:r>
      <w:r>
        <w:rPr>
          <w:color w:val="auto"/>
        </w:rPr>
        <w:fldChar w:fldCharType="end"/>
      </w:r>
      <w:r>
        <w:rPr>
          <w:color w:val="auto"/>
        </w:rPr>
        <w:fldChar w:fldCharType="end"/>
      </w:r>
    </w:p>
    <w:p w14:paraId="45F87FBE">
      <w:pPr>
        <w:pStyle w:val="37"/>
        <w:tabs>
          <w:tab w:val="right" w:leader="dot" w:pos="8730"/>
        </w:tabs>
        <w:ind w:left="480"/>
        <w:rPr>
          <w:color w:val="auto"/>
        </w:rPr>
      </w:pPr>
      <w:r>
        <w:fldChar w:fldCharType="begin"/>
      </w:r>
      <w:r>
        <w:instrText xml:space="preserve"> HYPERLINK \l "_Toc619" </w:instrText>
      </w:r>
      <w:r>
        <w:fldChar w:fldCharType="separate"/>
      </w:r>
      <w:r>
        <w:rPr>
          <w:rFonts w:ascii="Arial" w:hAnsi="Arial" w:eastAsia="宋体"/>
          <w:bCs/>
          <w:color w:val="auto"/>
          <w:kern w:val="2"/>
          <w:szCs w:val="32"/>
          <w:lang w:eastAsia="zh-CN" w:bidi="ar-SA"/>
        </w:rPr>
        <w:t>7. 监理责任与保险</w:t>
      </w:r>
      <w:r>
        <w:rPr>
          <w:color w:val="auto"/>
        </w:rPr>
        <w:tab/>
      </w:r>
      <w:r>
        <w:rPr>
          <w:color w:val="auto"/>
        </w:rPr>
        <w:fldChar w:fldCharType="begin"/>
      </w:r>
      <w:r>
        <w:rPr>
          <w:color w:val="auto"/>
        </w:rPr>
        <w:instrText xml:space="preserve"> PAGEREF _Toc619 \h </w:instrText>
      </w:r>
      <w:r>
        <w:rPr>
          <w:color w:val="auto"/>
        </w:rPr>
        <w:fldChar w:fldCharType="separate"/>
      </w:r>
      <w:r>
        <w:rPr>
          <w:color w:val="auto"/>
        </w:rPr>
        <w:t>74</w:t>
      </w:r>
      <w:r>
        <w:rPr>
          <w:color w:val="auto"/>
        </w:rPr>
        <w:fldChar w:fldCharType="end"/>
      </w:r>
      <w:r>
        <w:rPr>
          <w:color w:val="auto"/>
        </w:rPr>
        <w:fldChar w:fldCharType="end"/>
      </w:r>
    </w:p>
    <w:p w14:paraId="69498632">
      <w:pPr>
        <w:pStyle w:val="22"/>
        <w:tabs>
          <w:tab w:val="right" w:leader="dot" w:pos="8730"/>
        </w:tabs>
        <w:ind w:left="960"/>
        <w:rPr>
          <w:color w:val="auto"/>
        </w:rPr>
      </w:pPr>
      <w:r>
        <w:fldChar w:fldCharType="begin"/>
      </w:r>
      <w:r>
        <w:instrText xml:space="preserve"> HYPERLINK \l "_Toc1275" </w:instrText>
      </w:r>
      <w:r>
        <w:fldChar w:fldCharType="separate"/>
      </w:r>
      <w:r>
        <w:rPr>
          <w:rFonts w:eastAsia="宋体"/>
          <w:bCs/>
          <w:color w:val="auto"/>
          <w:kern w:val="2"/>
          <w:szCs w:val="32"/>
          <w:lang w:eastAsia="zh-CN" w:bidi="ar-SA"/>
        </w:rPr>
        <w:t xml:space="preserve">7.1 </w:t>
      </w:r>
      <w:r>
        <w:rPr>
          <w:rFonts w:hint="eastAsia" w:eastAsia="宋体"/>
          <w:bCs/>
          <w:color w:val="auto"/>
          <w:kern w:val="2"/>
          <w:szCs w:val="32"/>
          <w:lang w:eastAsia="zh-CN" w:bidi="ar-SA"/>
        </w:rPr>
        <w:t>监理责任主体</w:t>
      </w:r>
      <w:r>
        <w:rPr>
          <w:color w:val="auto"/>
        </w:rPr>
        <w:tab/>
      </w:r>
      <w:r>
        <w:rPr>
          <w:color w:val="auto"/>
        </w:rPr>
        <w:fldChar w:fldCharType="begin"/>
      </w:r>
      <w:r>
        <w:rPr>
          <w:color w:val="auto"/>
        </w:rPr>
        <w:instrText xml:space="preserve"> PAGEREF _Toc1275 \h </w:instrText>
      </w:r>
      <w:r>
        <w:rPr>
          <w:color w:val="auto"/>
        </w:rPr>
        <w:fldChar w:fldCharType="separate"/>
      </w:r>
      <w:r>
        <w:rPr>
          <w:color w:val="auto"/>
        </w:rPr>
        <w:t>74</w:t>
      </w:r>
      <w:r>
        <w:rPr>
          <w:color w:val="auto"/>
        </w:rPr>
        <w:fldChar w:fldCharType="end"/>
      </w:r>
      <w:r>
        <w:rPr>
          <w:color w:val="auto"/>
        </w:rPr>
        <w:fldChar w:fldCharType="end"/>
      </w:r>
    </w:p>
    <w:p w14:paraId="44AE14C4">
      <w:pPr>
        <w:pStyle w:val="22"/>
        <w:tabs>
          <w:tab w:val="right" w:leader="dot" w:pos="8730"/>
        </w:tabs>
        <w:ind w:left="960"/>
        <w:rPr>
          <w:color w:val="auto"/>
        </w:rPr>
      </w:pPr>
      <w:r>
        <w:fldChar w:fldCharType="begin"/>
      </w:r>
      <w:r>
        <w:instrText xml:space="preserve"> HYPERLINK \l "_Toc7908" </w:instrText>
      </w:r>
      <w:r>
        <w:fldChar w:fldCharType="separate"/>
      </w:r>
      <w:r>
        <w:rPr>
          <w:rFonts w:eastAsia="宋体"/>
          <w:bCs/>
          <w:color w:val="auto"/>
          <w:kern w:val="2"/>
          <w:szCs w:val="32"/>
          <w:lang w:eastAsia="zh-CN" w:bidi="ar-SA"/>
        </w:rPr>
        <w:t xml:space="preserve">7.2 </w:t>
      </w:r>
      <w:r>
        <w:rPr>
          <w:rFonts w:hint="eastAsia" w:eastAsia="宋体"/>
          <w:bCs/>
          <w:color w:val="auto"/>
          <w:kern w:val="2"/>
          <w:szCs w:val="32"/>
          <w:lang w:eastAsia="zh-CN" w:bidi="ar-SA"/>
        </w:rPr>
        <w:t>监理责任保险</w:t>
      </w:r>
      <w:r>
        <w:rPr>
          <w:color w:val="auto"/>
        </w:rPr>
        <w:tab/>
      </w:r>
      <w:r>
        <w:rPr>
          <w:color w:val="auto"/>
        </w:rPr>
        <w:fldChar w:fldCharType="begin"/>
      </w:r>
      <w:r>
        <w:rPr>
          <w:color w:val="auto"/>
        </w:rPr>
        <w:instrText xml:space="preserve"> PAGEREF _Toc7908 \h </w:instrText>
      </w:r>
      <w:r>
        <w:rPr>
          <w:color w:val="auto"/>
        </w:rPr>
        <w:fldChar w:fldCharType="separate"/>
      </w:r>
      <w:r>
        <w:rPr>
          <w:color w:val="auto"/>
        </w:rPr>
        <w:t>74</w:t>
      </w:r>
      <w:r>
        <w:rPr>
          <w:color w:val="auto"/>
        </w:rPr>
        <w:fldChar w:fldCharType="end"/>
      </w:r>
      <w:r>
        <w:rPr>
          <w:color w:val="auto"/>
        </w:rPr>
        <w:fldChar w:fldCharType="end"/>
      </w:r>
    </w:p>
    <w:p w14:paraId="655F6C8E">
      <w:pPr>
        <w:pStyle w:val="37"/>
        <w:tabs>
          <w:tab w:val="right" w:leader="dot" w:pos="8730"/>
        </w:tabs>
        <w:ind w:left="480"/>
        <w:rPr>
          <w:color w:val="auto"/>
        </w:rPr>
      </w:pPr>
      <w:r>
        <w:fldChar w:fldCharType="begin"/>
      </w:r>
      <w:r>
        <w:instrText xml:space="preserve"> HYPERLINK \l "_Toc2189" </w:instrText>
      </w:r>
      <w:r>
        <w:fldChar w:fldCharType="separate"/>
      </w:r>
      <w:r>
        <w:rPr>
          <w:rFonts w:ascii="Arial" w:hAnsi="Arial" w:eastAsia="宋体"/>
          <w:bCs/>
          <w:color w:val="auto"/>
          <w:kern w:val="2"/>
          <w:szCs w:val="32"/>
          <w:lang w:eastAsia="zh-CN" w:bidi="ar-SA"/>
        </w:rPr>
        <w:t>8. 合同变更</w:t>
      </w:r>
      <w:r>
        <w:rPr>
          <w:color w:val="auto"/>
        </w:rPr>
        <w:tab/>
      </w:r>
      <w:r>
        <w:rPr>
          <w:color w:val="auto"/>
        </w:rPr>
        <w:fldChar w:fldCharType="begin"/>
      </w:r>
      <w:r>
        <w:rPr>
          <w:color w:val="auto"/>
        </w:rPr>
        <w:instrText xml:space="preserve"> PAGEREF _Toc2189 \h </w:instrText>
      </w:r>
      <w:r>
        <w:rPr>
          <w:color w:val="auto"/>
        </w:rPr>
        <w:fldChar w:fldCharType="separate"/>
      </w:r>
      <w:r>
        <w:rPr>
          <w:color w:val="auto"/>
        </w:rPr>
        <w:t>74</w:t>
      </w:r>
      <w:r>
        <w:rPr>
          <w:color w:val="auto"/>
        </w:rPr>
        <w:fldChar w:fldCharType="end"/>
      </w:r>
      <w:r>
        <w:rPr>
          <w:color w:val="auto"/>
        </w:rPr>
        <w:fldChar w:fldCharType="end"/>
      </w:r>
    </w:p>
    <w:p w14:paraId="18D47D1F">
      <w:pPr>
        <w:pStyle w:val="22"/>
        <w:tabs>
          <w:tab w:val="right" w:leader="dot" w:pos="8730"/>
        </w:tabs>
        <w:ind w:left="960"/>
        <w:rPr>
          <w:color w:val="auto"/>
        </w:rPr>
      </w:pPr>
      <w:r>
        <w:fldChar w:fldCharType="begin"/>
      </w:r>
      <w:r>
        <w:instrText xml:space="preserve"> HYPERLINK \l "_Toc4309" </w:instrText>
      </w:r>
      <w:r>
        <w:fldChar w:fldCharType="separate"/>
      </w:r>
      <w:r>
        <w:rPr>
          <w:rFonts w:eastAsia="宋体"/>
          <w:bCs/>
          <w:color w:val="auto"/>
          <w:kern w:val="2"/>
          <w:szCs w:val="32"/>
          <w:lang w:eastAsia="zh-CN" w:bidi="ar-SA"/>
        </w:rPr>
        <w:t xml:space="preserve">8.1 </w:t>
      </w:r>
      <w:r>
        <w:rPr>
          <w:rFonts w:hint="eastAsia" w:eastAsia="宋体"/>
          <w:bCs/>
          <w:color w:val="auto"/>
          <w:kern w:val="2"/>
          <w:szCs w:val="32"/>
          <w:lang w:eastAsia="zh-CN" w:bidi="ar-SA"/>
        </w:rPr>
        <w:t>变更情形</w:t>
      </w:r>
      <w:r>
        <w:rPr>
          <w:color w:val="auto"/>
        </w:rPr>
        <w:tab/>
      </w:r>
      <w:r>
        <w:rPr>
          <w:color w:val="auto"/>
        </w:rPr>
        <w:fldChar w:fldCharType="begin"/>
      </w:r>
      <w:r>
        <w:rPr>
          <w:color w:val="auto"/>
        </w:rPr>
        <w:instrText xml:space="preserve"> PAGEREF _Toc4309 \h </w:instrText>
      </w:r>
      <w:r>
        <w:rPr>
          <w:color w:val="auto"/>
        </w:rPr>
        <w:fldChar w:fldCharType="separate"/>
      </w:r>
      <w:r>
        <w:rPr>
          <w:color w:val="auto"/>
        </w:rPr>
        <w:t>74</w:t>
      </w:r>
      <w:r>
        <w:rPr>
          <w:color w:val="auto"/>
        </w:rPr>
        <w:fldChar w:fldCharType="end"/>
      </w:r>
      <w:r>
        <w:rPr>
          <w:color w:val="auto"/>
        </w:rPr>
        <w:fldChar w:fldCharType="end"/>
      </w:r>
    </w:p>
    <w:p w14:paraId="2AD0D991">
      <w:pPr>
        <w:pStyle w:val="22"/>
        <w:tabs>
          <w:tab w:val="right" w:leader="dot" w:pos="8730"/>
        </w:tabs>
        <w:ind w:left="960"/>
        <w:rPr>
          <w:color w:val="auto"/>
        </w:rPr>
      </w:pPr>
      <w:r>
        <w:fldChar w:fldCharType="begin"/>
      </w:r>
      <w:r>
        <w:instrText xml:space="preserve"> HYPERLINK \l "_Toc9698" </w:instrText>
      </w:r>
      <w:r>
        <w:fldChar w:fldCharType="separate"/>
      </w:r>
      <w:r>
        <w:rPr>
          <w:rFonts w:eastAsia="宋体"/>
          <w:bCs/>
          <w:color w:val="auto"/>
          <w:kern w:val="2"/>
          <w:szCs w:val="32"/>
          <w:lang w:eastAsia="zh-CN" w:bidi="ar-SA"/>
        </w:rPr>
        <w:t xml:space="preserve">8.2 </w:t>
      </w:r>
      <w:r>
        <w:rPr>
          <w:rFonts w:hint="eastAsia" w:eastAsia="宋体"/>
          <w:bCs/>
          <w:color w:val="auto"/>
          <w:kern w:val="2"/>
          <w:szCs w:val="32"/>
          <w:lang w:eastAsia="zh-CN" w:bidi="ar-SA"/>
        </w:rPr>
        <w:t>合理化建议</w:t>
      </w:r>
      <w:r>
        <w:rPr>
          <w:color w:val="auto"/>
        </w:rPr>
        <w:tab/>
      </w:r>
      <w:r>
        <w:rPr>
          <w:color w:val="auto"/>
        </w:rPr>
        <w:fldChar w:fldCharType="begin"/>
      </w:r>
      <w:r>
        <w:rPr>
          <w:color w:val="auto"/>
        </w:rPr>
        <w:instrText xml:space="preserve"> PAGEREF _Toc9698 \h </w:instrText>
      </w:r>
      <w:r>
        <w:rPr>
          <w:color w:val="auto"/>
        </w:rPr>
        <w:fldChar w:fldCharType="separate"/>
      </w:r>
      <w:r>
        <w:rPr>
          <w:color w:val="auto"/>
        </w:rPr>
        <w:t>75</w:t>
      </w:r>
      <w:r>
        <w:rPr>
          <w:color w:val="auto"/>
        </w:rPr>
        <w:fldChar w:fldCharType="end"/>
      </w:r>
      <w:r>
        <w:rPr>
          <w:color w:val="auto"/>
        </w:rPr>
        <w:fldChar w:fldCharType="end"/>
      </w:r>
    </w:p>
    <w:p w14:paraId="29375835">
      <w:pPr>
        <w:pStyle w:val="37"/>
        <w:tabs>
          <w:tab w:val="right" w:leader="dot" w:pos="8730"/>
        </w:tabs>
        <w:ind w:left="480"/>
        <w:rPr>
          <w:color w:val="auto"/>
        </w:rPr>
      </w:pPr>
      <w:r>
        <w:fldChar w:fldCharType="begin"/>
      </w:r>
      <w:r>
        <w:instrText xml:space="preserve"> HYPERLINK \l "_Toc9211" </w:instrText>
      </w:r>
      <w:r>
        <w:fldChar w:fldCharType="separate"/>
      </w:r>
      <w:r>
        <w:rPr>
          <w:rFonts w:ascii="Arial" w:hAnsi="Arial" w:eastAsia="宋体"/>
          <w:bCs/>
          <w:color w:val="auto"/>
          <w:kern w:val="2"/>
          <w:szCs w:val="32"/>
          <w:lang w:eastAsia="zh-CN" w:bidi="ar-SA"/>
        </w:rPr>
        <w:t>9. 合同价格与支付</w:t>
      </w:r>
      <w:r>
        <w:rPr>
          <w:color w:val="auto"/>
        </w:rPr>
        <w:tab/>
      </w:r>
      <w:r>
        <w:rPr>
          <w:color w:val="auto"/>
        </w:rPr>
        <w:fldChar w:fldCharType="begin"/>
      </w:r>
      <w:r>
        <w:rPr>
          <w:color w:val="auto"/>
        </w:rPr>
        <w:instrText xml:space="preserve"> PAGEREF _Toc9211 \h </w:instrText>
      </w:r>
      <w:r>
        <w:rPr>
          <w:color w:val="auto"/>
        </w:rPr>
        <w:fldChar w:fldCharType="separate"/>
      </w:r>
      <w:r>
        <w:rPr>
          <w:color w:val="auto"/>
        </w:rPr>
        <w:t>75</w:t>
      </w:r>
      <w:r>
        <w:rPr>
          <w:color w:val="auto"/>
        </w:rPr>
        <w:fldChar w:fldCharType="end"/>
      </w:r>
      <w:r>
        <w:rPr>
          <w:color w:val="auto"/>
        </w:rPr>
        <w:fldChar w:fldCharType="end"/>
      </w:r>
    </w:p>
    <w:p w14:paraId="4B3FBC80">
      <w:pPr>
        <w:pStyle w:val="22"/>
        <w:tabs>
          <w:tab w:val="right" w:leader="dot" w:pos="8730"/>
        </w:tabs>
        <w:ind w:left="960"/>
        <w:rPr>
          <w:color w:val="auto"/>
        </w:rPr>
      </w:pPr>
      <w:r>
        <w:fldChar w:fldCharType="begin"/>
      </w:r>
      <w:r>
        <w:instrText xml:space="preserve"> HYPERLINK \l "_Toc23838" </w:instrText>
      </w:r>
      <w:r>
        <w:fldChar w:fldCharType="separate"/>
      </w:r>
      <w:r>
        <w:rPr>
          <w:rFonts w:eastAsia="宋体"/>
          <w:bCs/>
          <w:color w:val="auto"/>
          <w:kern w:val="2"/>
          <w:szCs w:val="32"/>
          <w:lang w:eastAsia="zh-CN" w:bidi="ar-SA"/>
        </w:rPr>
        <w:t xml:space="preserve">9.1 </w:t>
      </w:r>
      <w:r>
        <w:rPr>
          <w:rFonts w:hint="eastAsia" w:eastAsia="宋体"/>
          <w:bCs/>
          <w:color w:val="auto"/>
          <w:kern w:val="2"/>
          <w:szCs w:val="32"/>
          <w:lang w:eastAsia="zh-CN" w:bidi="ar-SA"/>
        </w:rPr>
        <w:t>合同价格</w:t>
      </w:r>
      <w:r>
        <w:rPr>
          <w:color w:val="auto"/>
        </w:rPr>
        <w:tab/>
      </w:r>
      <w:r>
        <w:rPr>
          <w:color w:val="auto"/>
        </w:rPr>
        <w:fldChar w:fldCharType="begin"/>
      </w:r>
      <w:r>
        <w:rPr>
          <w:color w:val="auto"/>
        </w:rPr>
        <w:instrText xml:space="preserve"> PAGEREF _Toc23838 \h </w:instrText>
      </w:r>
      <w:r>
        <w:rPr>
          <w:color w:val="auto"/>
        </w:rPr>
        <w:fldChar w:fldCharType="separate"/>
      </w:r>
      <w:r>
        <w:rPr>
          <w:color w:val="auto"/>
        </w:rPr>
        <w:t>75</w:t>
      </w:r>
      <w:r>
        <w:rPr>
          <w:color w:val="auto"/>
        </w:rPr>
        <w:fldChar w:fldCharType="end"/>
      </w:r>
      <w:r>
        <w:rPr>
          <w:color w:val="auto"/>
        </w:rPr>
        <w:fldChar w:fldCharType="end"/>
      </w:r>
    </w:p>
    <w:p w14:paraId="672F4CC5">
      <w:pPr>
        <w:pStyle w:val="22"/>
        <w:tabs>
          <w:tab w:val="right" w:leader="dot" w:pos="8730"/>
        </w:tabs>
        <w:ind w:left="960"/>
        <w:rPr>
          <w:color w:val="auto"/>
        </w:rPr>
      </w:pPr>
      <w:r>
        <w:fldChar w:fldCharType="begin"/>
      </w:r>
      <w:r>
        <w:instrText xml:space="preserve"> HYPERLINK \l "_Toc5600" </w:instrText>
      </w:r>
      <w:r>
        <w:fldChar w:fldCharType="separate"/>
      </w:r>
      <w:r>
        <w:rPr>
          <w:rFonts w:eastAsia="宋体"/>
          <w:bCs/>
          <w:color w:val="auto"/>
          <w:kern w:val="2"/>
          <w:szCs w:val="32"/>
          <w:lang w:eastAsia="zh-CN" w:bidi="ar-SA"/>
        </w:rPr>
        <w:t xml:space="preserve">9.2 </w:t>
      </w:r>
      <w:r>
        <w:rPr>
          <w:rFonts w:hint="eastAsia" w:eastAsia="宋体"/>
          <w:bCs/>
          <w:color w:val="auto"/>
          <w:kern w:val="2"/>
          <w:szCs w:val="32"/>
          <w:lang w:eastAsia="zh-CN" w:bidi="ar-SA"/>
        </w:rPr>
        <w:t>预付款</w:t>
      </w:r>
      <w:r>
        <w:rPr>
          <w:color w:val="auto"/>
        </w:rPr>
        <w:tab/>
      </w:r>
      <w:r>
        <w:rPr>
          <w:color w:val="auto"/>
        </w:rPr>
        <w:fldChar w:fldCharType="begin"/>
      </w:r>
      <w:r>
        <w:rPr>
          <w:color w:val="auto"/>
        </w:rPr>
        <w:instrText xml:space="preserve"> PAGEREF _Toc5600 \h </w:instrText>
      </w:r>
      <w:r>
        <w:rPr>
          <w:color w:val="auto"/>
        </w:rPr>
        <w:fldChar w:fldCharType="separate"/>
      </w:r>
      <w:r>
        <w:rPr>
          <w:color w:val="auto"/>
        </w:rPr>
        <w:t>75</w:t>
      </w:r>
      <w:r>
        <w:rPr>
          <w:color w:val="auto"/>
        </w:rPr>
        <w:fldChar w:fldCharType="end"/>
      </w:r>
      <w:r>
        <w:rPr>
          <w:color w:val="auto"/>
        </w:rPr>
        <w:fldChar w:fldCharType="end"/>
      </w:r>
    </w:p>
    <w:p w14:paraId="1CA10C57">
      <w:pPr>
        <w:pStyle w:val="22"/>
        <w:tabs>
          <w:tab w:val="right" w:leader="dot" w:pos="8730"/>
        </w:tabs>
        <w:ind w:left="960"/>
        <w:rPr>
          <w:color w:val="auto"/>
        </w:rPr>
      </w:pPr>
      <w:r>
        <w:fldChar w:fldCharType="begin"/>
      </w:r>
      <w:r>
        <w:instrText xml:space="preserve"> HYPERLINK \l "_Toc972" </w:instrText>
      </w:r>
      <w:r>
        <w:fldChar w:fldCharType="separate"/>
      </w:r>
      <w:r>
        <w:rPr>
          <w:rFonts w:eastAsia="宋体"/>
          <w:bCs/>
          <w:color w:val="auto"/>
          <w:kern w:val="2"/>
          <w:szCs w:val="32"/>
          <w:lang w:eastAsia="zh-CN" w:bidi="ar-SA"/>
        </w:rPr>
        <w:t xml:space="preserve">9.3 </w:t>
      </w:r>
      <w:r>
        <w:rPr>
          <w:rFonts w:hint="eastAsia" w:eastAsia="宋体"/>
          <w:bCs/>
          <w:color w:val="auto"/>
          <w:kern w:val="2"/>
          <w:szCs w:val="32"/>
          <w:lang w:eastAsia="zh-CN" w:bidi="ar-SA"/>
        </w:rPr>
        <w:t>中期支付</w:t>
      </w:r>
      <w:r>
        <w:rPr>
          <w:color w:val="auto"/>
        </w:rPr>
        <w:tab/>
      </w:r>
      <w:r>
        <w:rPr>
          <w:color w:val="auto"/>
        </w:rPr>
        <w:fldChar w:fldCharType="begin"/>
      </w:r>
      <w:r>
        <w:rPr>
          <w:color w:val="auto"/>
        </w:rPr>
        <w:instrText xml:space="preserve"> PAGEREF _Toc972 \h </w:instrText>
      </w:r>
      <w:r>
        <w:rPr>
          <w:color w:val="auto"/>
        </w:rPr>
        <w:fldChar w:fldCharType="separate"/>
      </w:r>
      <w:r>
        <w:rPr>
          <w:color w:val="auto"/>
        </w:rPr>
        <w:t>75</w:t>
      </w:r>
      <w:r>
        <w:rPr>
          <w:color w:val="auto"/>
        </w:rPr>
        <w:fldChar w:fldCharType="end"/>
      </w:r>
      <w:r>
        <w:rPr>
          <w:color w:val="auto"/>
        </w:rPr>
        <w:fldChar w:fldCharType="end"/>
      </w:r>
    </w:p>
    <w:p w14:paraId="69633939">
      <w:pPr>
        <w:pStyle w:val="22"/>
        <w:tabs>
          <w:tab w:val="right" w:leader="dot" w:pos="8730"/>
        </w:tabs>
        <w:ind w:left="960"/>
        <w:rPr>
          <w:color w:val="auto"/>
        </w:rPr>
      </w:pPr>
      <w:r>
        <w:fldChar w:fldCharType="begin"/>
      </w:r>
      <w:r>
        <w:instrText xml:space="preserve"> HYPERLINK \l "_Toc25437" </w:instrText>
      </w:r>
      <w:r>
        <w:fldChar w:fldCharType="separate"/>
      </w:r>
      <w:r>
        <w:rPr>
          <w:rFonts w:eastAsia="宋体"/>
          <w:bCs/>
          <w:color w:val="auto"/>
          <w:kern w:val="2"/>
          <w:szCs w:val="32"/>
          <w:lang w:eastAsia="zh-CN" w:bidi="ar-SA"/>
        </w:rPr>
        <w:t xml:space="preserve">9.4 </w:t>
      </w:r>
      <w:r>
        <w:rPr>
          <w:rFonts w:hint="eastAsia" w:eastAsia="宋体"/>
          <w:bCs/>
          <w:color w:val="auto"/>
          <w:kern w:val="2"/>
          <w:szCs w:val="32"/>
          <w:lang w:eastAsia="zh-CN" w:bidi="ar-SA"/>
        </w:rPr>
        <w:t>费用结算</w:t>
      </w:r>
      <w:r>
        <w:rPr>
          <w:color w:val="auto"/>
        </w:rPr>
        <w:tab/>
      </w:r>
      <w:r>
        <w:rPr>
          <w:color w:val="auto"/>
        </w:rPr>
        <w:fldChar w:fldCharType="begin"/>
      </w:r>
      <w:r>
        <w:rPr>
          <w:color w:val="auto"/>
        </w:rPr>
        <w:instrText xml:space="preserve"> PAGEREF _Toc25437 \h </w:instrText>
      </w:r>
      <w:r>
        <w:rPr>
          <w:color w:val="auto"/>
        </w:rPr>
        <w:fldChar w:fldCharType="separate"/>
      </w:r>
      <w:r>
        <w:rPr>
          <w:color w:val="auto"/>
        </w:rPr>
        <w:t>75</w:t>
      </w:r>
      <w:r>
        <w:rPr>
          <w:color w:val="auto"/>
        </w:rPr>
        <w:fldChar w:fldCharType="end"/>
      </w:r>
      <w:r>
        <w:rPr>
          <w:color w:val="auto"/>
        </w:rPr>
        <w:fldChar w:fldCharType="end"/>
      </w:r>
    </w:p>
    <w:p w14:paraId="1E9734D3">
      <w:pPr>
        <w:pStyle w:val="37"/>
        <w:tabs>
          <w:tab w:val="right" w:leader="dot" w:pos="8730"/>
        </w:tabs>
        <w:ind w:left="480"/>
        <w:rPr>
          <w:color w:val="auto"/>
        </w:rPr>
      </w:pPr>
      <w:r>
        <w:fldChar w:fldCharType="begin"/>
      </w:r>
      <w:r>
        <w:instrText xml:space="preserve"> HYPERLINK \l "_Toc13019" </w:instrText>
      </w:r>
      <w:r>
        <w:fldChar w:fldCharType="separate"/>
      </w:r>
      <w:r>
        <w:rPr>
          <w:rFonts w:ascii="Arial" w:hAnsi="Arial" w:eastAsia="宋体"/>
          <w:bCs/>
          <w:color w:val="auto"/>
          <w:kern w:val="2"/>
          <w:szCs w:val="32"/>
          <w:lang w:eastAsia="zh-CN" w:bidi="ar-SA"/>
        </w:rPr>
        <w:t>10. 不可抗力</w:t>
      </w:r>
      <w:r>
        <w:rPr>
          <w:color w:val="auto"/>
        </w:rPr>
        <w:tab/>
      </w:r>
      <w:r>
        <w:rPr>
          <w:color w:val="auto"/>
        </w:rPr>
        <w:fldChar w:fldCharType="begin"/>
      </w:r>
      <w:r>
        <w:rPr>
          <w:color w:val="auto"/>
        </w:rPr>
        <w:instrText xml:space="preserve"> PAGEREF _Toc13019 \h </w:instrText>
      </w:r>
      <w:r>
        <w:rPr>
          <w:color w:val="auto"/>
        </w:rPr>
        <w:fldChar w:fldCharType="separate"/>
      </w:r>
      <w:r>
        <w:rPr>
          <w:color w:val="auto"/>
        </w:rPr>
        <w:t>76</w:t>
      </w:r>
      <w:r>
        <w:rPr>
          <w:color w:val="auto"/>
        </w:rPr>
        <w:fldChar w:fldCharType="end"/>
      </w:r>
      <w:r>
        <w:rPr>
          <w:color w:val="auto"/>
        </w:rPr>
        <w:fldChar w:fldCharType="end"/>
      </w:r>
    </w:p>
    <w:p w14:paraId="29D23275">
      <w:pPr>
        <w:pStyle w:val="22"/>
        <w:tabs>
          <w:tab w:val="right" w:leader="dot" w:pos="8730"/>
        </w:tabs>
        <w:ind w:left="960"/>
        <w:rPr>
          <w:color w:val="auto"/>
        </w:rPr>
      </w:pPr>
      <w:r>
        <w:fldChar w:fldCharType="begin"/>
      </w:r>
      <w:r>
        <w:instrText xml:space="preserve"> HYPERLINK \l "_Toc31549" </w:instrText>
      </w:r>
      <w:r>
        <w:fldChar w:fldCharType="separate"/>
      </w:r>
      <w:r>
        <w:rPr>
          <w:rFonts w:eastAsia="宋体"/>
          <w:bCs/>
          <w:color w:val="auto"/>
          <w:kern w:val="2"/>
          <w:szCs w:val="32"/>
          <w:lang w:eastAsia="zh-CN" w:bidi="ar-SA"/>
        </w:rPr>
        <w:t xml:space="preserve">10.1 </w:t>
      </w:r>
      <w:r>
        <w:rPr>
          <w:rFonts w:hint="eastAsia" w:eastAsia="宋体"/>
          <w:bCs/>
          <w:color w:val="auto"/>
          <w:kern w:val="2"/>
          <w:szCs w:val="32"/>
          <w:lang w:eastAsia="zh-CN" w:bidi="ar-SA"/>
        </w:rPr>
        <w:t>不可抗力的确认</w:t>
      </w:r>
      <w:r>
        <w:rPr>
          <w:color w:val="auto"/>
        </w:rPr>
        <w:tab/>
      </w:r>
      <w:r>
        <w:rPr>
          <w:color w:val="auto"/>
        </w:rPr>
        <w:fldChar w:fldCharType="begin"/>
      </w:r>
      <w:r>
        <w:rPr>
          <w:color w:val="auto"/>
        </w:rPr>
        <w:instrText xml:space="preserve"> PAGEREF _Toc31549 \h </w:instrText>
      </w:r>
      <w:r>
        <w:rPr>
          <w:color w:val="auto"/>
        </w:rPr>
        <w:fldChar w:fldCharType="separate"/>
      </w:r>
      <w:r>
        <w:rPr>
          <w:color w:val="auto"/>
        </w:rPr>
        <w:t>76</w:t>
      </w:r>
      <w:r>
        <w:rPr>
          <w:color w:val="auto"/>
        </w:rPr>
        <w:fldChar w:fldCharType="end"/>
      </w:r>
      <w:r>
        <w:rPr>
          <w:color w:val="auto"/>
        </w:rPr>
        <w:fldChar w:fldCharType="end"/>
      </w:r>
    </w:p>
    <w:p w14:paraId="7FE687FE">
      <w:pPr>
        <w:pStyle w:val="22"/>
        <w:tabs>
          <w:tab w:val="right" w:leader="dot" w:pos="8730"/>
        </w:tabs>
        <w:ind w:left="960"/>
        <w:rPr>
          <w:color w:val="auto"/>
        </w:rPr>
      </w:pPr>
      <w:r>
        <w:fldChar w:fldCharType="begin"/>
      </w:r>
      <w:r>
        <w:instrText xml:space="preserve"> HYPERLINK \l "_Toc14646" </w:instrText>
      </w:r>
      <w:r>
        <w:fldChar w:fldCharType="separate"/>
      </w:r>
      <w:r>
        <w:rPr>
          <w:rFonts w:eastAsia="宋体"/>
          <w:bCs/>
          <w:color w:val="auto"/>
          <w:kern w:val="2"/>
          <w:szCs w:val="32"/>
          <w:lang w:eastAsia="zh-CN" w:bidi="ar-SA"/>
        </w:rPr>
        <w:t xml:space="preserve">10.2 </w:t>
      </w:r>
      <w:r>
        <w:rPr>
          <w:rFonts w:hint="eastAsia" w:eastAsia="宋体"/>
          <w:bCs/>
          <w:color w:val="auto"/>
          <w:kern w:val="2"/>
          <w:szCs w:val="32"/>
          <w:lang w:eastAsia="zh-CN" w:bidi="ar-SA"/>
        </w:rPr>
        <w:t>不可抗力的通知</w:t>
      </w:r>
      <w:r>
        <w:rPr>
          <w:color w:val="auto"/>
        </w:rPr>
        <w:tab/>
      </w:r>
      <w:r>
        <w:rPr>
          <w:color w:val="auto"/>
        </w:rPr>
        <w:fldChar w:fldCharType="begin"/>
      </w:r>
      <w:r>
        <w:rPr>
          <w:color w:val="auto"/>
        </w:rPr>
        <w:instrText xml:space="preserve"> PAGEREF _Toc14646 \h </w:instrText>
      </w:r>
      <w:r>
        <w:rPr>
          <w:color w:val="auto"/>
        </w:rPr>
        <w:fldChar w:fldCharType="separate"/>
      </w:r>
      <w:r>
        <w:rPr>
          <w:color w:val="auto"/>
        </w:rPr>
        <w:t>76</w:t>
      </w:r>
      <w:r>
        <w:rPr>
          <w:color w:val="auto"/>
        </w:rPr>
        <w:fldChar w:fldCharType="end"/>
      </w:r>
      <w:r>
        <w:rPr>
          <w:color w:val="auto"/>
        </w:rPr>
        <w:fldChar w:fldCharType="end"/>
      </w:r>
    </w:p>
    <w:p w14:paraId="49FC2524">
      <w:pPr>
        <w:pStyle w:val="22"/>
        <w:tabs>
          <w:tab w:val="right" w:leader="dot" w:pos="8730"/>
        </w:tabs>
        <w:ind w:left="960"/>
        <w:rPr>
          <w:color w:val="auto"/>
        </w:rPr>
      </w:pPr>
      <w:r>
        <w:fldChar w:fldCharType="begin"/>
      </w:r>
      <w:r>
        <w:instrText xml:space="preserve"> HYPERLINK \l "_Toc18144" </w:instrText>
      </w:r>
      <w:r>
        <w:fldChar w:fldCharType="separate"/>
      </w:r>
      <w:r>
        <w:rPr>
          <w:rFonts w:eastAsia="宋体"/>
          <w:bCs/>
          <w:color w:val="auto"/>
          <w:kern w:val="2"/>
          <w:szCs w:val="32"/>
          <w:lang w:eastAsia="zh-CN" w:bidi="ar-SA"/>
        </w:rPr>
        <w:t xml:space="preserve">10.3 </w:t>
      </w:r>
      <w:r>
        <w:rPr>
          <w:rFonts w:hint="eastAsia" w:eastAsia="宋体"/>
          <w:bCs/>
          <w:color w:val="auto"/>
          <w:kern w:val="2"/>
          <w:szCs w:val="32"/>
          <w:lang w:eastAsia="zh-CN" w:bidi="ar-SA"/>
        </w:rPr>
        <w:t>不可抗力后果及其处理</w:t>
      </w:r>
      <w:r>
        <w:rPr>
          <w:color w:val="auto"/>
        </w:rPr>
        <w:tab/>
      </w:r>
      <w:r>
        <w:rPr>
          <w:color w:val="auto"/>
        </w:rPr>
        <w:fldChar w:fldCharType="begin"/>
      </w:r>
      <w:r>
        <w:rPr>
          <w:color w:val="auto"/>
        </w:rPr>
        <w:instrText xml:space="preserve"> PAGEREF _Toc18144 \h </w:instrText>
      </w:r>
      <w:r>
        <w:rPr>
          <w:color w:val="auto"/>
        </w:rPr>
        <w:fldChar w:fldCharType="separate"/>
      </w:r>
      <w:r>
        <w:rPr>
          <w:color w:val="auto"/>
        </w:rPr>
        <w:t>76</w:t>
      </w:r>
      <w:r>
        <w:rPr>
          <w:color w:val="auto"/>
        </w:rPr>
        <w:fldChar w:fldCharType="end"/>
      </w:r>
      <w:r>
        <w:rPr>
          <w:color w:val="auto"/>
        </w:rPr>
        <w:fldChar w:fldCharType="end"/>
      </w:r>
    </w:p>
    <w:p w14:paraId="6929B84F">
      <w:pPr>
        <w:pStyle w:val="37"/>
        <w:tabs>
          <w:tab w:val="right" w:leader="dot" w:pos="8730"/>
        </w:tabs>
        <w:ind w:left="480"/>
        <w:rPr>
          <w:color w:val="auto"/>
        </w:rPr>
      </w:pPr>
      <w:r>
        <w:fldChar w:fldCharType="begin"/>
      </w:r>
      <w:r>
        <w:instrText xml:space="preserve"> HYPERLINK \l "_Toc24660" </w:instrText>
      </w:r>
      <w:r>
        <w:fldChar w:fldCharType="separate"/>
      </w:r>
      <w:r>
        <w:rPr>
          <w:rFonts w:ascii="Arial" w:hAnsi="Arial" w:eastAsia="宋体"/>
          <w:bCs/>
          <w:color w:val="auto"/>
          <w:kern w:val="2"/>
          <w:szCs w:val="32"/>
          <w:lang w:eastAsia="zh-CN" w:bidi="ar-SA"/>
        </w:rPr>
        <w:t>11. 违约</w:t>
      </w:r>
      <w:r>
        <w:rPr>
          <w:color w:val="auto"/>
        </w:rPr>
        <w:tab/>
      </w:r>
      <w:r>
        <w:rPr>
          <w:color w:val="auto"/>
        </w:rPr>
        <w:fldChar w:fldCharType="begin"/>
      </w:r>
      <w:r>
        <w:rPr>
          <w:color w:val="auto"/>
        </w:rPr>
        <w:instrText xml:space="preserve"> PAGEREF _Toc24660 \h </w:instrText>
      </w:r>
      <w:r>
        <w:rPr>
          <w:color w:val="auto"/>
        </w:rPr>
        <w:fldChar w:fldCharType="separate"/>
      </w:r>
      <w:r>
        <w:rPr>
          <w:color w:val="auto"/>
        </w:rPr>
        <w:t>76</w:t>
      </w:r>
      <w:r>
        <w:rPr>
          <w:color w:val="auto"/>
        </w:rPr>
        <w:fldChar w:fldCharType="end"/>
      </w:r>
      <w:r>
        <w:rPr>
          <w:color w:val="auto"/>
        </w:rPr>
        <w:fldChar w:fldCharType="end"/>
      </w:r>
    </w:p>
    <w:p w14:paraId="00908D90">
      <w:pPr>
        <w:pStyle w:val="22"/>
        <w:tabs>
          <w:tab w:val="right" w:leader="dot" w:pos="8730"/>
        </w:tabs>
        <w:ind w:left="960"/>
        <w:rPr>
          <w:color w:val="auto"/>
        </w:rPr>
      </w:pPr>
      <w:r>
        <w:fldChar w:fldCharType="begin"/>
      </w:r>
      <w:r>
        <w:instrText xml:space="preserve"> HYPERLINK \l "_Toc16655" </w:instrText>
      </w:r>
      <w:r>
        <w:fldChar w:fldCharType="separate"/>
      </w:r>
      <w:r>
        <w:rPr>
          <w:rFonts w:eastAsia="宋体"/>
          <w:bCs/>
          <w:color w:val="auto"/>
          <w:kern w:val="2"/>
          <w:szCs w:val="32"/>
          <w:lang w:eastAsia="zh-CN" w:bidi="ar-SA"/>
        </w:rPr>
        <w:t xml:space="preserve">11.1 </w:t>
      </w:r>
      <w:r>
        <w:rPr>
          <w:rFonts w:hint="eastAsia" w:eastAsia="宋体"/>
          <w:bCs/>
          <w:color w:val="auto"/>
          <w:kern w:val="2"/>
          <w:szCs w:val="32"/>
          <w:lang w:eastAsia="zh-CN" w:bidi="ar-SA"/>
        </w:rPr>
        <w:t>监理人违约</w:t>
      </w:r>
      <w:r>
        <w:rPr>
          <w:color w:val="auto"/>
        </w:rPr>
        <w:tab/>
      </w:r>
      <w:r>
        <w:rPr>
          <w:color w:val="auto"/>
        </w:rPr>
        <w:fldChar w:fldCharType="begin"/>
      </w:r>
      <w:r>
        <w:rPr>
          <w:color w:val="auto"/>
        </w:rPr>
        <w:instrText xml:space="preserve"> PAGEREF _Toc16655 \h </w:instrText>
      </w:r>
      <w:r>
        <w:rPr>
          <w:color w:val="auto"/>
        </w:rPr>
        <w:fldChar w:fldCharType="separate"/>
      </w:r>
      <w:r>
        <w:rPr>
          <w:color w:val="auto"/>
        </w:rPr>
        <w:t>76</w:t>
      </w:r>
      <w:r>
        <w:rPr>
          <w:color w:val="auto"/>
        </w:rPr>
        <w:fldChar w:fldCharType="end"/>
      </w:r>
      <w:r>
        <w:rPr>
          <w:color w:val="auto"/>
        </w:rPr>
        <w:fldChar w:fldCharType="end"/>
      </w:r>
    </w:p>
    <w:p w14:paraId="44937F24">
      <w:pPr>
        <w:pStyle w:val="22"/>
        <w:tabs>
          <w:tab w:val="right" w:leader="dot" w:pos="8730"/>
        </w:tabs>
        <w:ind w:left="960"/>
        <w:rPr>
          <w:color w:val="auto"/>
        </w:rPr>
      </w:pPr>
      <w:r>
        <w:fldChar w:fldCharType="begin"/>
      </w:r>
      <w:r>
        <w:instrText xml:space="preserve"> HYPERLINK \l "_Toc31300" </w:instrText>
      </w:r>
      <w:r>
        <w:fldChar w:fldCharType="separate"/>
      </w:r>
      <w:r>
        <w:rPr>
          <w:rFonts w:eastAsia="宋体"/>
          <w:bCs/>
          <w:color w:val="auto"/>
          <w:kern w:val="2"/>
          <w:szCs w:val="32"/>
          <w:lang w:eastAsia="zh-CN" w:bidi="ar-SA"/>
        </w:rPr>
        <w:t xml:space="preserve">11.2 </w:t>
      </w:r>
      <w:r>
        <w:rPr>
          <w:rFonts w:hint="eastAsia" w:eastAsia="宋体"/>
          <w:bCs/>
          <w:color w:val="auto"/>
          <w:kern w:val="2"/>
          <w:szCs w:val="32"/>
          <w:lang w:eastAsia="zh-CN" w:bidi="ar-SA"/>
        </w:rPr>
        <w:t>委托人违约</w:t>
      </w:r>
      <w:r>
        <w:rPr>
          <w:color w:val="auto"/>
        </w:rPr>
        <w:tab/>
      </w:r>
      <w:r>
        <w:rPr>
          <w:color w:val="auto"/>
        </w:rPr>
        <w:fldChar w:fldCharType="begin"/>
      </w:r>
      <w:r>
        <w:rPr>
          <w:color w:val="auto"/>
        </w:rPr>
        <w:instrText xml:space="preserve"> PAGEREF _Toc31300 \h </w:instrText>
      </w:r>
      <w:r>
        <w:rPr>
          <w:color w:val="auto"/>
        </w:rPr>
        <w:fldChar w:fldCharType="separate"/>
      </w:r>
      <w:r>
        <w:rPr>
          <w:color w:val="auto"/>
        </w:rPr>
        <w:t>77</w:t>
      </w:r>
      <w:r>
        <w:rPr>
          <w:color w:val="auto"/>
        </w:rPr>
        <w:fldChar w:fldCharType="end"/>
      </w:r>
      <w:r>
        <w:rPr>
          <w:color w:val="auto"/>
        </w:rPr>
        <w:fldChar w:fldCharType="end"/>
      </w:r>
    </w:p>
    <w:p w14:paraId="698159E6">
      <w:pPr>
        <w:pStyle w:val="22"/>
        <w:tabs>
          <w:tab w:val="right" w:leader="dot" w:pos="8730"/>
        </w:tabs>
        <w:ind w:left="960"/>
        <w:rPr>
          <w:color w:val="auto"/>
        </w:rPr>
      </w:pPr>
      <w:r>
        <w:fldChar w:fldCharType="begin"/>
      </w:r>
      <w:r>
        <w:instrText xml:space="preserve"> HYPERLINK \l "_Toc21606" </w:instrText>
      </w:r>
      <w:r>
        <w:fldChar w:fldCharType="separate"/>
      </w:r>
      <w:r>
        <w:rPr>
          <w:rFonts w:eastAsia="宋体"/>
          <w:bCs/>
          <w:color w:val="auto"/>
          <w:kern w:val="2"/>
          <w:szCs w:val="32"/>
          <w:lang w:eastAsia="zh-CN" w:bidi="ar-SA"/>
        </w:rPr>
        <w:t xml:space="preserve">11.3 </w:t>
      </w:r>
      <w:r>
        <w:rPr>
          <w:rFonts w:hint="eastAsia" w:eastAsia="宋体"/>
          <w:bCs/>
          <w:color w:val="auto"/>
          <w:kern w:val="2"/>
          <w:szCs w:val="32"/>
          <w:lang w:eastAsia="zh-CN" w:bidi="ar-SA"/>
        </w:rPr>
        <w:t>第三人造成的违约</w:t>
      </w:r>
      <w:r>
        <w:rPr>
          <w:color w:val="auto"/>
        </w:rPr>
        <w:tab/>
      </w:r>
      <w:r>
        <w:rPr>
          <w:color w:val="auto"/>
        </w:rPr>
        <w:fldChar w:fldCharType="begin"/>
      </w:r>
      <w:r>
        <w:rPr>
          <w:color w:val="auto"/>
        </w:rPr>
        <w:instrText xml:space="preserve"> PAGEREF _Toc21606 \h </w:instrText>
      </w:r>
      <w:r>
        <w:rPr>
          <w:color w:val="auto"/>
        </w:rPr>
        <w:fldChar w:fldCharType="separate"/>
      </w:r>
      <w:r>
        <w:rPr>
          <w:color w:val="auto"/>
        </w:rPr>
        <w:t>77</w:t>
      </w:r>
      <w:r>
        <w:rPr>
          <w:color w:val="auto"/>
        </w:rPr>
        <w:fldChar w:fldCharType="end"/>
      </w:r>
      <w:r>
        <w:rPr>
          <w:color w:val="auto"/>
        </w:rPr>
        <w:fldChar w:fldCharType="end"/>
      </w:r>
    </w:p>
    <w:p w14:paraId="2262BF59">
      <w:pPr>
        <w:pStyle w:val="37"/>
        <w:tabs>
          <w:tab w:val="right" w:leader="dot" w:pos="8730"/>
        </w:tabs>
        <w:ind w:left="480"/>
        <w:rPr>
          <w:color w:val="auto"/>
        </w:rPr>
      </w:pPr>
      <w:r>
        <w:fldChar w:fldCharType="begin"/>
      </w:r>
      <w:r>
        <w:instrText xml:space="preserve"> HYPERLINK \l "_Toc11505" </w:instrText>
      </w:r>
      <w:r>
        <w:fldChar w:fldCharType="separate"/>
      </w:r>
      <w:r>
        <w:rPr>
          <w:rFonts w:ascii="Arial" w:hAnsi="Arial" w:eastAsia="宋体"/>
          <w:bCs/>
          <w:color w:val="auto"/>
          <w:kern w:val="2"/>
          <w:szCs w:val="32"/>
          <w:lang w:eastAsia="zh-CN" w:bidi="ar-SA"/>
        </w:rPr>
        <w:t>12. 争议的解决</w:t>
      </w:r>
      <w:r>
        <w:rPr>
          <w:color w:val="auto"/>
        </w:rPr>
        <w:tab/>
      </w:r>
      <w:r>
        <w:rPr>
          <w:color w:val="auto"/>
        </w:rPr>
        <w:fldChar w:fldCharType="begin"/>
      </w:r>
      <w:r>
        <w:rPr>
          <w:color w:val="auto"/>
        </w:rPr>
        <w:instrText xml:space="preserve"> PAGEREF _Toc11505 \h </w:instrText>
      </w:r>
      <w:r>
        <w:rPr>
          <w:color w:val="auto"/>
        </w:rPr>
        <w:fldChar w:fldCharType="separate"/>
      </w:r>
      <w:r>
        <w:rPr>
          <w:color w:val="auto"/>
        </w:rPr>
        <w:t>77</w:t>
      </w:r>
      <w:r>
        <w:rPr>
          <w:color w:val="auto"/>
        </w:rPr>
        <w:fldChar w:fldCharType="end"/>
      </w:r>
      <w:r>
        <w:rPr>
          <w:color w:val="auto"/>
        </w:rPr>
        <w:fldChar w:fldCharType="end"/>
      </w:r>
    </w:p>
    <w:p w14:paraId="4153774C">
      <w:pPr>
        <w:pStyle w:val="37"/>
        <w:tabs>
          <w:tab w:val="right" w:leader="dot" w:pos="8730"/>
        </w:tabs>
        <w:ind w:left="480"/>
        <w:rPr>
          <w:color w:val="auto"/>
        </w:rPr>
      </w:pPr>
      <w:r>
        <w:fldChar w:fldCharType="begin"/>
      </w:r>
      <w:r>
        <w:instrText xml:space="preserve"> HYPERLINK \l "_Toc17906" </w:instrText>
      </w:r>
      <w:r>
        <w:fldChar w:fldCharType="separate"/>
      </w:r>
      <w:r>
        <w:rPr>
          <w:rFonts w:hint="eastAsia" w:eastAsia="宋体" w:cs="宋体"/>
          <w:bCs/>
          <w:color w:val="auto"/>
          <w:spacing w:val="-10"/>
          <w:kern w:val="28"/>
          <w:szCs w:val="32"/>
          <w:lang w:eastAsia="zh-CN" w:bidi="ar-SA"/>
        </w:rPr>
        <w:t xml:space="preserve">第二节 </w:t>
      </w:r>
      <w:r>
        <w:rPr>
          <w:rFonts w:eastAsia="宋体" w:cs="宋体"/>
          <w:bCs/>
          <w:color w:val="auto"/>
          <w:spacing w:val="-10"/>
          <w:kern w:val="28"/>
          <w:szCs w:val="32"/>
          <w:lang w:eastAsia="zh-CN" w:bidi="ar-SA"/>
        </w:rPr>
        <w:t xml:space="preserve">  </w:t>
      </w:r>
      <w:r>
        <w:rPr>
          <w:rFonts w:hint="eastAsia" w:eastAsia="宋体" w:cs="宋体"/>
          <w:bCs/>
          <w:color w:val="auto"/>
          <w:spacing w:val="-10"/>
          <w:kern w:val="28"/>
          <w:szCs w:val="32"/>
          <w:lang w:eastAsia="zh-CN" w:bidi="ar-SA"/>
        </w:rPr>
        <w:t>专用合同条款</w:t>
      </w:r>
      <w:r>
        <w:rPr>
          <w:color w:val="auto"/>
        </w:rPr>
        <w:tab/>
      </w:r>
      <w:r>
        <w:rPr>
          <w:color w:val="auto"/>
        </w:rPr>
        <w:fldChar w:fldCharType="begin"/>
      </w:r>
      <w:r>
        <w:rPr>
          <w:color w:val="auto"/>
        </w:rPr>
        <w:instrText xml:space="preserve"> PAGEREF _Toc17906 \h </w:instrText>
      </w:r>
      <w:r>
        <w:rPr>
          <w:color w:val="auto"/>
        </w:rPr>
        <w:fldChar w:fldCharType="separate"/>
      </w:r>
      <w:r>
        <w:rPr>
          <w:color w:val="auto"/>
        </w:rPr>
        <w:t>79</w:t>
      </w:r>
      <w:r>
        <w:rPr>
          <w:color w:val="auto"/>
        </w:rPr>
        <w:fldChar w:fldCharType="end"/>
      </w:r>
      <w:r>
        <w:rPr>
          <w:color w:val="auto"/>
        </w:rPr>
        <w:fldChar w:fldCharType="end"/>
      </w:r>
    </w:p>
    <w:p w14:paraId="3A1480C4">
      <w:pPr>
        <w:pStyle w:val="37"/>
        <w:tabs>
          <w:tab w:val="right" w:leader="dot" w:pos="8730"/>
        </w:tabs>
        <w:ind w:left="480"/>
        <w:rPr>
          <w:color w:val="auto"/>
        </w:rPr>
      </w:pPr>
      <w:r>
        <w:fldChar w:fldCharType="begin"/>
      </w:r>
      <w:r>
        <w:instrText xml:space="preserve"> HYPERLINK \l "_Toc19638" </w:instrText>
      </w:r>
      <w:r>
        <w:fldChar w:fldCharType="separate"/>
      </w:r>
      <w:r>
        <w:rPr>
          <w:rFonts w:ascii="Arial" w:hAnsi="Arial" w:eastAsia="宋体"/>
          <w:bCs/>
          <w:color w:val="auto"/>
          <w:kern w:val="2"/>
          <w:szCs w:val="32"/>
          <w:lang w:eastAsia="zh-CN" w:bidi="ar-SA"/>
        </w:rPr>
        <w:t>1. 一般约定</w:t>
      </w:r>
      <w:r>
        <w:rPr>
          <w:color w:val="auto"/>
        </w:rPr>
        <w:tab/>
      </w:r>
      <w:r>
        <w:rPr>
          <w:color w:val="auto"/>
        </w:rPr>
        <w:fldChar w:fldCharType="begin"/>
      </w:r>
      <w:r>
        <w:rPr>
          <w:color w:val="auto"/>
        </w:rPr>
        <w:instrText xml:space="preserve"> PAGEREF _Toc19638 \h </w:instrText>
      </w:r>
      <w:r>
        <w:rPr>
          <w:color w:val="auto"/>
        </w:rPr>
        <w:fldChar w:fldCharType="separate"/>
      </w:r>
      <w:r>
        <w:rPr>
          <w:color w:val="auto"/>
        </w:rPr>
        <w:t>81</w:t>
      </w:r>
      <w:r>
        <w:rPr>
          <w:color w:val="auto"/>
        </w:rPr>
        <w:fldChar w:fldCharType="end"/>
      </w:r>
      <w:r>
        <w:rPr>
          <w:color w:val="auto"/>
        </w:rPr>
        <w:fldChar w:fldCharType="end"/>
      </w:r>
    </w:p>
    <w:p w14:paraId="3F9CB718">
      <w:pPr>
        <w:pStyle w:val="22"/>
        <w:tabs>
          <w:tab w:val="right" w:leader="dot" w:pos="8730"/>
        </w:tabs>
        <w:ind w:left="960"/>
        <w:rPr>
          <w:color w:val="auto"/>
        </w:rPr>
      </w:pPr>
      <w:r>
        <w:fldChar w:fldCharType="begin"/>
      </w:r>
      <w:r>
        <w:instrText xml:space="preserve"> HYPERLINK \l "_Toc22019" </w:instrText>
      </w:r>
      <w:r>
        <w:fldChar w:fldCharType="separate"/>
      </w:r>
      <w:r>
        <w:rPr>
          <w:rFonts w:eastAsia="宋体"/>
          <w:bCs/>
          <w:color w:val="auto"/>
          <w:kern w:val="2"/>
          <w:szCs w:val="32"/>
          <w:lang w:eastAsia="zh-CN" w:bidi="ar-SA"/>
        </w:rPr>
        <w:t xml:space="preserve">1.1 </w:t>
      </w:r>
      <w:r>
        <w:rPr>
          <w:rFonts w:hint="eastAsia" w:eastAsia="宋体"/>
          <w:bCs/>
          <w:color w:val="auto"/>
          <w:kern w:val="2"/>
          <w:szCs w:val="32"/>
          <w:lang w:eastAsia="zh-CN" w:bidi="ar-SA"/>
        </w:rPr>
        <w:t>词语定义</w:t>
      </w:r>
      <w:r>
        <w:rPr>
          <w:color w:val="auto"/>
        </w:rPr>
        <w:tab/>
      </w:r>
      <w:r>
        <w:rPr>
          <w:color w:val="auto"/>
        </w:rPr>
        <w:fldChar w:fldCharType="begin"/>
      </w:r>
      <w:r>
        <w:rPr>
          <w:color w:val="auto"/>
        </w:rPr>
        <w:instrText xml:space="preserve"> PAGEREF _Toc22019 \h </w:instrText>
      </w:r>
      <w:r>
        <w:rPr>
          <w:color w:val="auto"/>
        </w:rPr>
        <w:fldChar w:fldCharType="separate"/>
      </w:r>
      <w:r>
        <w:rPr>
          <w:color w:val="auto"/>
        </w:rPr>
        <w:t>81</w:t>
      </w:r>
      <w:r>
        <w:rPr>
          <w:color w:val="auto"/>
        </w:rPr>
        <w:fldChar w:fldCharType="end"/>
      </w:r>
      <w:r>
        <w:rPr>
          <w:color w:val="auto"/>
        </w:rPr>
        <w:fldChar w:fldCharType="end"/>
      </w:r>
    </w:p>
    <w:p w14:paraId="7A28F007">
      <w:pPr>
        <w:pStyle w:val="22"/>
        <w:tabs>
          <w:tab w:val="right" w:leader="dot" w:pos="8730"/>
        </w:tabs>
        <w:ind w:left="960"/>
        <w:rPr>
          <w:color w:val="auto"/>
        </w:rPr>
      </w:pPr>
      <w:r>
        <w:fldChar w:fldCharType="begin"/>
      </w:r>
      <w:r>
        <w:instrText xml:space="preserve"> HYPERLINK \l "_Toc26755" </w:instrText>
      </w:r>
      <w:r>
        <w:fldChar w:fldCharType="separate"/>
      </w:r>
      <w:r>
        <w:rPr>
          <w:rFonts w:eastAsia="宋体"/>
          <w:bCs/>
          <w:color w:val="auto"/>
          <w:kern w:val="2"/>
          <w:szCs w:val="32"/>
          <w:lang w:eastAsia="zh-CN" w:bidi="ar-SA"/>
        </w:rPr>
        <w:t xml:space="preserve">1.4 </w:t>
      </w:r>
      <w:r>
        <w:rPr>
          <w:rFonts w:hint="eastAsia" w:eastAsia="宋体"/>
          <w:bCs/>
          <w:color w:val="auto"/>
          <w:kern w:val="2"/>
          <w:szCs w:val="32"/>
          <w:lang w:eastAsia="zh-CN" w:bidi="ar-SA"/>
        </w:rPr>
        <w:t>合同文件的优先顺序</w:t>
      </w:r>
      <w:r>
        <w:rPr>
          <w:color w:val="auto"/>
        </w:rPr>
        <w:tab/>
      </w:r>
      <w:r>
        <w:rPr>
          <w:color w:val="auto"/>
        </w:rPr>
        <w:fldChar w:fldCharType="begin"/>
      </w:r>
      <w:r>
        <w:rPr>
          <w:color w:val="auto"/>
        </w:rPr>
        <w:instrText xml:space="preserve"> PAGEREF _Toc26755 \h </w:instrText>
      </w:r>
      <w:r>
        <w:rPr>
          <w:color w:val="auto"/>
        </w:rPr>
        <w:fldChar w:fldCharType="separate"/>
      </w:r>
      <w:r>
        <w:rPr>
          <w:color w:val="auto"/>
        </w:rPr>
        <w:t>81</w:t>
      </w:r>
      <w:r>
        <w:rPr>
          <w:color w:val="auto"/>
        </w:rPr>
        <w:fldChar w:fldCharType="end"/>
      </w:r>
      <w:r>
        <w:rPr>
          <w:color w:val="auto"/>
        </w:rPr>
        <w:fldChar w:fldCharType="end"/>
      </w:r>
    </w:p>
    <w:p w14:paraId="0F8D345B">
      <w:pPr>
        <w:pStyle w:val="22"/>
        <w:tabs>
          <w:tab w:val="right" w:leader="dot" w:pos="8730"/>
        </w:tabs>
        <w:ind w:left="960"/>
        <w:rPr>
          <w:color w:val="auto"/>
        </w:rPr>
      </w:pPr>
      <w:r>
        <w:fldChar w:fldCharType="begin"/>
      </w:r>
      <w:r>
        <w:instrText xml:space="preserve"> HYPERLINK \l "_Toc20540" </w:instrText>
      </w:r>
      <w:r>
        <w:fldChar w:fldCharType="separate"/>
      </w:r>
      <w:r>
        <w:rPr>
          <w:rFonts w:eastAsia="宋体"/>
          <w:bCs/>
          <w:color w:val="auto"/>
          <w:kern w:val="2"/>
          <w:szCs w:val="32"/>
          <w:lang w:eastAsia="zh-CN" w:bidi="ar-SA"/>
        </w:rPr>
        <w:t xml:space="preserve">1.5 </w:t>
      </w:r>
      <w:r>
        <w:rPr>
          <w:rFonts w:hint="eastAsia" w:eastAsia="宋体"/>
          <w:bCs/>
          <w:color w:val="auto"/>
          <w:kern w:val="2"/>
          <w:szCs w:val="32"/>
          <w:lang w:eastAsia="zh-CN" w:bidi="ar-SA"/>
        </w:rPr>
        <w:t>合同协议书</w:t>
      </w:r>
      <w:r>
        <w:rPr>
          <w:color w:val="auto"/>
        </w:rPr>
        <w:tab/>
      </w:r>
      <w:r>
        <w:rPr>
          <w:color w:val="auto"/>
        </w:rPr>
        <w:fldChar w:fldCharType="begin"/>
      </w:r>
      <w:r>
        <w:rPr>
          <w:color w:val="auto"/>
        </w:rPr>
        <w:instrText xml:space="preserve"> PAGEREF _Toc20540 \h </w:instrText>
      </w:r>
      <w:r>
        <w:rPr>
          <w:color w:val="auto"/>
        </w:rPr>
        <w:fldChar w:fldCharType="separate"/>
      </w:r>
      <w:r>
        <w:rPr>
          <w:color w:val="auto"/>
        </w:rPr>
        <w:t>82</w:t>
      </w:r>
      <w:r>
        <w:rPr>
          <w:color w:val="auto"/>
        </w:rPr>
        <w:fldChar w:fldCharType="end"/>
      </w:r>
      <w:r>
        <w:rPr>
          <w:color w:val="auto"/>
        </w:rPr>
        <w:fldChar w:fldCharType="end"/>
      </w:r>
    </w:p>
    <w:p w14:paraId="371E4B9E">
      <w:pPr>
        <w:pStyle w:val="22"/>
        <w:tabs>
          <w:tab w:val="right" w:leader="dot" w:pos="8730"/>
        </w:tabs>
        <w:ind w:left="960"/>
        <w:rPr>
          <w:color w:val="auto"/>
        </w:rPr>
      </w:pPr>
      <w:r>
        <w:fldChar w:fldCharType="begin"/>
      </w:r>
      <w:r>
        <w:instrText xml:space="preserve"> HYPERLINK \l "_Toc31767" </w:instrText>
      </w:r>
      <w:r>
        <w:fldChar w:fldCharType="separate"/>
      </w:r>
      <w:r>
        <w:rPr>
          <w:rFonts w:eastAsia="宋体"/>
          <w:bCs/>
          <w:color w:val="auto"/>
          <w:kern w:val="2"/>
          <w:szCs w:val="32"/>
          <w:lang w:eastAsia="zh-CN" w:bidi="ar-SA"/>
        </w:rPr>
        <w:t>1.13 委托人权利</w:t>
      </w:r>
      <w:r>
        <w:rPr>
          <w:color w:val="auto"/>
        </w:rPr>
        <w:tab/>
      </w:r>
      <w:r>
        <w:rPr>
          <w:color w:val="auto"/>
        </w:rPr>
        <w:fldChar w:fldCharType="begin"/>
      </w:r>
      <w:r>
        <w:rPr>
          <w:color w:val="auto"/>
        </w:rPr>
        <w:instrText xml:space="preserve"> PAGEREF _Toc31767 \h </w:instrText>
      </w:r>
      <w:r>
        <w:rPr>
          <w:color w:val="auto"/>
        </w:rPr>
        <w:fldChar w:fldCharType="separate"/>
      </w:r>
      <w:r>
        <w:rPr>
          <w:color w:val="auto"/>
        </w:rPr>
        <w:t>82</w:t>
      </w:r>
      <w:r>
        <w:rPr>
          <w:color w:val="auto"/>
        </w:rPr>
        <w:fldChar w:fldCharType="end"/>
      </w:r>
      <w:r>
        <w:rPr>
          <w:color w:val="auto"/>
        </w:rPr>
        <w:fldChar w:fldCharType="end"/>
      </w:r>
    </w:p>
    <w:p w14:paraId="2047CDF5">
      <w:pPr>
        <w:pStyle w:val="22"/>
        <w:tabs>
          <w:tab w:val="right" w:leader="dot" w:pos="8730"/>
        </w:tabs>
        <w:ind w:left="960"/>
        <w:rPr>
          <w:color w:val="auto"/>
        </w:rPr>
      </w:pPr>
      <w:r>
        <w:fldChar w:fldCharType="begin"/>
      </w:r>
      <w:r>
        <w:instrText xml:space="preserve"> HYPERLINK \l "_Toc19810" </w:instrText>
      </w:r>
      <w:r>
        <w:fldChar w:fldCharType="separate"/>
      </w:r>
      <w:r>
        <w:rPr>
          <w:rFonts w:eastAsia="宋体"/>
          <w:bCs/>
          <w:color w:val="auto"/>
          <w:kern w:val="2"/>
          <w:szCs w:val="32"/>
          <w:lang w:eastAsia="zh-CN" w:bidi="ar-SA"/>
        </w:rPr>
        <w:t>1.14 监理人权利</w:t>
      </w:r>
      <w:r>
        <w:rPr>
          <w:color w:val="auto"/>
        </w:rPr>
        <w:tab/>
      </w:r>
      <w:r>
        <w:rPr>
          <w:color w:val="auto"/>
        </w:rPr>
        <w:fldChar w:fldCharType="begin"/>
      </w:r>
      <w:r>
        <w:rPr>
          <w:color w:val="auto"/>
        </w:rPr>
        <w:instrText xml:space="preserve"> PAGEREF _Toc19810 \h </w:instrText>
      </w:r>
      <w:r>
        <w:rPr>
          <w:color w:val="auto"/>
        </w:rPr>
        <w:fldChar w:fldCharType="separate"/>
      </w:r>
      <w:r>
        <w:rPr>
          <w:color w:val="auto"/>
        </w:rPr>
        <w:t>82</w:t>
      </w:r>
      <w:r>
        <w:rPr>
          <w:color w:val="auto"/>
        </w:rPr>
        <w:fldChar w:fldCharType="end"/>
      </w:r>
      <w:r>
        <w:rPr>
          <w:color w:val="auto"/>
        </w:rPr>
        <w:fldChar w:fldCharType="end"/>
      </w:r>
    </w:p>
    <w:p w14:paraId="7DB4F682">
      <w:pPr>
        <w:pStyle w:val="37"/>
        <w:tabs>
          <w:tab w:val="right" w:leader="dot" w:pos="8730"/>
        </w:tabs>
        <w:ind w:left="480"/>
        <w:rPr>
          <w:color w:val="auto"/>
        </w:rPr>
      </w:pPr>
      <w:r>
        <w:fldChar w:fldCharType="begin"/>
      </w:r>
      <w:r>
        <w:instrText xml:space="preserve"> HYPERLINK \l "_Toc8478" </w:instrText>
      </w:r>
      <w:r>
        <w:fldChar w:fldCharType="separate"/>
      </w:r>
      <w:r>
        <w:rPr>
          <w:rFonts w:ascii="Arial" w:hAnsi="Arial" w:eastAsia="宋体"/>
          <w:bCs/>
          <w:color w:val="auto"/>
          <w:kern w:val="2"/>
          <w:szCs w:val="32"/>
          <w:lang w:eastAsia="zh-CN" w:bidi="ar-SA"/>
        </w:rPr>
        <w:t xml:space="preserve">2. </w:t>
      </w:r>
      <w:r>
        <w:rPr>
          <w:rFonts w:hint="eastAsia" w:ascii="Arial" w:hAnsi="Arial" w:eastAsia="宋体"/>
          <w:bCs/>
          <w:color w:val="auto"/>
          <w:kern w:val="2"/>
          <w:szCs w:val="32"/>
          <w:lang w:eastAsia="zh-CN" w:bidi="ar-SA"/>
        </w:rPr>
        <w:t>委托人义务</w:t>
      </w:r>
      <w:r>
        <w:rPr>
          <w:color w:val="auto"/>
        </w:rPr>
        <w:tab/>
      </w:r>
      <w:r>
        <w:rPr>
          <w:color w:val="auto"/>
        </w:rPr>
        <w:fldChar w:fldCharType="begin"/>
      </w:r>
      <w:r>
        <w:rPr>
          <w:color w:val="auto"/>
        </w:rPr>
        <w:instrText xml:space="preserve"> PAGEREF _Toc8478 \h </w:instrText>
      </w:r>
      <w:r>
        <w:rPr>
          <w:color w:val="auto"/>
        </w:rPr>
        <w:fldChar w:fldCharType="separate"/>
      </w:r>
      <w:r>
        <w:rPr>
          <w:color w:val="auto"/>
        </w:rPr>
        <w:t>82</w:t>
      </w:r>
      <w:r>
        <w:rPr>
          <w:color w:val="auto"/>
        </w:rPr>
        <w:fldChar w:fldCharType="end"/>
      </w:r>
      <w:r>
        <w:rPr>
          <w:color w:val="auto"/>
        </w:rPr>
        <w:fldChar w:fldCharType="end"/>
      </w:r>
    </w:p>
    <w:p w14:paraId="2261D682">
      <w:pPr>
        <w:pStyle w:val="22"/>
        <w:tabs>
          <w:tab w:val="right" w:leader="dot" w:pos="8730"/>
        </w:tabs>
        <w:ind w:left="960"/>
        <w:rPr>
          <w:color w:val="auto"/>
        </w:rPr>
      </w:pPr>
      <w:r>
        <w:fldChar w:fldCharType="begin"/>
      </w:r>
      <w:r>
        <w:instrText xml:space="preserve"> HYPERLINK \l "_Toc15491" </w:instrText>
      </w:r>
      <w:r>
        <w:fldChar w:fldCharType="separate"/>
      </w:r>
      <w:r>
        <w:rPr>
          <w:rFonts w:eastAsia="宋体"/>
          <w:bCs/>
          <w:color w:val="auto"/>
          <w:kern w:val="2"/>
          <w:szCs w:val="32"/>
          <w:lang w:eastAsia="zh-CN" w:bidi="ar-SA"/>
        </w:rPr>
        <w:t xml:space="preserve">2.2 </w:t>
      </w:r>
      <w:r>
        <w:rPr>
          <w:rFonts w:hint="eastAsia" w:eastAsia="宋体"/>
          <w:bCs/>
          <w:color w:val="auto"/>
          <w:kern w:val="2"/>
          <w:szCs w:val="32"/>
          <w:lang w:eastAsia="zh-CN" w:bidi="ar-SA"/>
        </w:rPr>
        <w:t>发出开始监理通知</w:t>
      </w:r>
      <w:r>
        <w:rPr>
          <w:color w:val="auto"/>
        </w:rPr>
        <w:tab/>
      </w:r>
      <w:r>
        <w:rPr>
          <w:color w:val="auto"/>
        </w:rPr>
        <w:fldChar w:fldCharType="begin"/>
      </w:r>
      <w:r>
        <w:rPr>
          <w:color w:val="auto"/>
        </w:rPr>
        <w:instrText xml:space="preserve"> PAGEREF _Toc15491 \h </w:instrText>
      </w:r>
      <w:r>
        <w:rPr>
          <w:color w:val="auto"/>
        </w:rPr>
        <w:fldChar w:fldCharType="separate"/>
      </w:r>
      <w:r>
        <w:rPr>
          <w:color w:val="auto"/>
        </w:rPr>
        <w:t>82</w:t>
      </w:r>
      <w:r>
        <w:rPr>
          <w:color w:val="auto"/>
        </w:rPr>
        <w:fldChar w:fldCharType="end"/>
      </w:r>
      <w:r>
        <w:rPr>
          <w:color w:val="auto"/>
        </w:rPr>
        <w:fldChar w:fldCharType="end"/>
      </w:r>
    </w:p>
    <w:p w14:paraId="1E6F07AE">
      <w:pPr>
        <w:pStyle w:val="37"/>
        <w:tabs>
          <w:tab w:val="right" w:leader="dot" w:pos="8730"/>
        </w:tabs>
        <w:ind w:left="480"/>
        <w:rPr>
          <w:color w:val="auto"/>
        </w:rPr>
      </w:pPr>
      <w:r>
        <w:fldChar w:fldCharType="begin"/>
      </w:r>
      <w:r>
        <w:instrText xml:space="preserve"> HYPERLINK \l "_Toc7735" </w:instrText>
      </w:r>
      <w:r>
        <w:fldChar w:fldCharType="separate"/>
      </w:r>
      <w:r>
        <w:rPr>
          <w:rFonts w:ascii="Arial" w:hAnsi="Arial" w:eastAsia="宋体"/>
          <w:bCs/>
          <w:color w:val="auto"/>
          <w:kern w:val="2"/>
          <w:szCs w:val="32"/>
          <w:lang w:eastAsia="zh-CN" w:bidi="ar-SA"/>
        </w:rPr>
        <w:t xml:space="preserve">4. </w:t>
      </w:r>
      <w:r>
        <w:rPr>
          <w:rFonts w:hint="eastAsia" w:ascii="Arial" w:hAnsi="Arial" w:eastAsia="宋体"/>
          <w:bCs/>
          <w:color w:val="auto"/>
          <w:kern w:val="2"/>
          <w:szCs w:val="32"/>
          <w:lang w:eastAsia="zh-CN" w:bidi="ar-SA"/>
        </w:rPr>
        <w:t>监理人义务</w:t>
      </w:r>
      <w:r>
        <w:rPr>
          <w:color w:val="auto"/>
        </w:rPr>
        <w:tab/>
      </w:r>
      <w:r>
        <w:rPr>
          <w:color w:val="auto"/>
        </w:rPr>
        <w:fldChar w:fldCharType="begin"/>
      </w:r>
      <w:r>
        <w:rPr>
          <w:color w:val="auto"/>
        </w:rPr>
        <w:instrText xml:space="preserve"> PAGEREF _Toc7735 \h </w:instrText>
      </w:r>
      <w:r>
        <w:rPr>
          <w:color w:val="auto"/>
        </w:rPr>
        <w:fldChar w:fldCharType="separate"/>
      </w:r>
      <w:r>
        <w:rPr>
          <w:color w:val="auto"/>
        </w:rPr>
        <w:t>83</w:t>
      </w:r>
      <w:r>
        <w:rPr>
          <w:color w:val="auto"/>
        </w:rPr>
        <w:fldChar w:fldCharType="end"/>
      </w:r>
      <w:r>
        <w:rPr>
          <w:color w:val="auto"/>
        </w:rPr>
        <w:fldChar w:fldCharType="end"/>
      </w:r>
    </w:p>
    <w:p w14:paraId="24865882">
      <w:pPr>
        <w:pStyle w:val="22"/>
        <w:tabs>
          <w:tab w:val="right" w:leader="dot" w:pos="8730"/>
        </w:tabs>
        <w:ind w:left="960"/>
        <w:rPr>
          <w:color w:val="auto"/>
        </w:rPr>
      </w:pPr>
      <w:r>
        <w:fldChar w:fldCharType="begin"/>
      </w:r>
      <w:r>
        <w:instrText xml:space="preserve"> HYPERLINK \l "_Toc13924" </w:instrText>
      </w:r>
      <w:r>
        <w:fldChar w:fldCharType="separate"/>
      </w:r>
      <w:r>
        <w:rPr>
          <w:rFonts w:hint="eastAsia" w:eastAsia="宋体"/>
          <w:bCs/>
          <w:color w:val="auto"/>
          <w:kern w:val="2"/>
          <w:szCs w:val="32"/>
          <w:lang w:eastAsia="zh-CN" w:bidi="ar-SA"/>
        </w:rPr>
        <w:t>4</w:t>
      </w:r>
      <w:r>
        <w:rPr>
          <w:rFonts w:eastAsia="宋体"/>
          <w:bCs/>
          <w:color w:val="auto"/>
          <w:kern w:val="2"/>
          <w:szCs w:val="32"/>
          <w:lang w:eastAsia="zh-CN" w:bidi="ar-SA"/>
        </w:rPr>
        <w:t xml:space="preserve">.2 </w:t>
      </w:r>
      <w:r>
        <w:rPr>
          <w:rFonts w:hint="eastAsia" w:eastAsia="宋体"/>
          <w:bCs/>
          <w:color w:val="auto"/>
          <w:kern w:val="2"/>
          <w:szCs w:val="32"/>
          <w:lang w:eastAsia="zh-CN" w:bidi="ar-SA"/>
        </w:rPr>
        <w:t>履约保证金</w:t>
      </w:r>
      <w:r>
        <w:rPr>
          <w:color w:val="auto"/>
        </w:rPr>
        <w:tab/>
      </w:r>
      <w:r>
        <w:rPr>
          <w:color w:val="auto"/>
        </w:rPr>
        <w:fldChar w:fldCharType="begin"/>
      </w:r>
      <w:r>
        <w:rPr>
          <w:color w:val="auto"/>
        </w:rPr>
        <w:instrText xml:space="preserve"> PAGEREF _Toc13924 \h </w:instrText>
      </w:r>
      <w:r>
        <w:rPr>
          <w:color w:val="auto"/>
        </w:rPr>
        <w:fldChar w:fldCharType="separate"/>
      </w:r>
      <w:r>
        <w:rPr>
          <w:color w:val="auto"/>
        </w:rPr>
        <w:t>83</w:t>
      </w:r>
      <w:r>
        <w:rPr>
          <w:color w:val="auto"/>
        </w:rPr>
        <w:fldChar w:fldCharType="end"/>
      </w:r>
      <w:r>
        <w:rPr>
          <w:color w:val="auto"/>
        </w:rPr>
        <w:fldChar w:fldCharType="end"/>
      </w:r>
    </w:p>
    <w:p w14:paraId="50FE32D7">
      <w:pPr>
        <w:pStyle w:val="22"/>
        <w:tabs>
          <w:tab w:val="right" w:leader="dot" w:pos="8730"/>
        </w:tabs>
        <w:ind w:left="960"/>
        <w:rPr>
          <w:color w:val="auto"/>
        </w:rPr>
      </w:pPr>
      <w:r>
        <w:fldChar w:fldCharType="begin"/>
      </w:r>
      <w:r>
        <w:instrText xml:space="preserve"> HYPERLINK \l "_Toc27435" </w:instrText>
      </w:r>
      <w:r>
        <w:fldChar w:fldCharType="separate"/>
      </w:r>
      <w:r>
        <w:rPr>
          <w:rFonts w:hint="eastAsia" w:eastAsia="宋体"/>
          <w:bCs/>
          <w:color w:val="auto"/>
          <w:kern w:val="2"/>
          <w:szCs w:val="32"/>
          <w:lang w:eastAsia="zh-CN" w:bidi="ar-SA"/>
        </w:rPr>
        <w:t>4</w:t>
      </w:r>
      <w:r>
        <w:rPr>
          <w:rFonts w:eastAsia="宋体"/>
          <w:bCs/>
          <w:color w:val="auto"/>
          <w:kern w:val="2"/>
          <w:szCs w:val="32"/>
          <w:lang w:eastAsia="zh-CN" w:bidi="ar-SA"/>
        </w:rPr>
        <w:t xml:space="preserve">.5 </w:t>
      </w:r>
      <w:r>
        <w:rPr>
          <w:rFonts w:hint="eastAsia" w:eastAsia="宋体"/>
          <w:bCs/>
          <w:color w:val="auto"/>
          <w:kern w:val="2"/>
          <w:szCs w:val="32"/>
          <w:lang w:eastAsia="zh-CN" w:bidi="ar-SA"/>
        </w:rPr>
        <w:t>监理人员的管理</w:t>
      </w:r>
      <w:r>
        <w:rPr>
          <w:color w:val="auto"/>
        </w:rPr>
        <w:tab/>
      </w:r>
      <w:r>
        <w:rPr>
          <w:color w:val="auto"/>
        </w:rPr>
        <w:fldChar w:fldCharType="begin"/>
      </w:r>
      <w:r>
        <w:rPr>
          <w:color w:val="auto"/>
        </w:rPr>
        <w:instrText xml:space="preserve"> PAGEREF _Toc27435 \h </w:instrText>
      </w:r>
      <w:r>
        <w:rPr>
          <w:color w:val="auto"/>
        </w:rPr>
        <w:fldChar w:fldCharType="separate"/>
      </w:r>
      <w:r>
        <w:rPr>
          <w:color w:val="auto"/>
        </w:rPr>
        <w:t>83</w:t>
      </w:r>
      <w:r>
        <w:rPr>
          <w:color w:val="auto"/>
        </w:rPr>
        <w:fldChar w:fldCharType="end"/>
      </w:r>
      <w:r>
        <w:rPr>
          <w:color w:val="auto"/>
        </w:rPr>
        <w:fldChar w:fldCharType="end"/>
      </w:r>
    </w:p>
    <w:p w14:paraId="42F1441D">
      <w:pPr>
        <w:pStyle w:val="37"/>
        <w:tabs>
          <w:tab w:val="right" w:leader="dot" w:pos="8730"/>
        </w:tabs>
        <w:ind w:left="480"/>
        <w:rPr>
          <w:color w:val="auto"/>
        </w:rPr>
      </w:pPr>
      <w:r>
        <w:fldChar w:fldCharType="begin"/>
      </w:r>
      <w:r>
        <w:instrText xml:space="preserve"> HYPERLINK \l "_Toc30047" </w:instrText>
      </w:r>
      <w:r>
        <w:fldChar w:fldCharType="separate"/>
      </w:r>
      <w:r>
        <w:rPr>
          <w:rFonts w:ascii="Arial" w:hAnsi="Arial" w:eastAsia="宋体"/>
          <w:bCs/>
          <w:color w:val="auto"/>
          <w:kern w:val="2"/>
          <w:szCs w:val="32"/>
          <w:lang w:eastAsia="zh-CN" w:bidi="ar-SA"/>
        </w:rPr>
        <w:t xml:space="preserve">5. </w:t>
      </w:r>
      <w:r>
        <w:rPr>
          <w:rFonts w:hint="eastAsia" w:ascii="Arial" w:hAnsi="Arial" w:eastAsia="宋体"/>
          <w:bCs/>
          <w:color w:val="auto"/>
          <w:kern w:val="2"/>
          <w:szCs w:val="32"/>
          <w:lang w:eastAsia="zh-CN" w:bidi="ar-SA"/>
        </w:rPr>
        <w:t>监理要求</w:t>
      </w:r>
      <w:r>
        <w:rPr>
          <w:color w:val="auto"/>
        </w:rPr>
        <w:tab/>
      </w:r>
      <w:r>
        <w:rPr>
          <w:color w:val="auto"/>
        </w:rPr>
        <w:fldChar w:fldCharType="begin"/>
      </w:r>
      <w:r>
        <w:rPr>
          <w:color w:val="auto"/>
        </w:rPr>
        <w:instrText xml:space="preserve"> PAGEREF _Toc30047 \h </w:instrText>
      </w:r>
      <w:r>
        <w:rPr>
          <w:color w:val="auto"/>
        </w:rPr>
        <w:fldChar w:fldCharType="separate"/>
      </w:r>
      <w:r>
        <w:rPr>
          <w:color w:val="auto"/>
        </w:rPr>
        <w:t>83</w:t>
      </w:r>
      <w:r>
        <w:rPr>
          <w:color w:val="auto"/>
        </w:rPr>
        <w:fldChar w:fldCharType="end"/>
      </w:r>
      <w:r>
        <w:rPr>
          <w:color w:val="auto"/>
        </w:rPr>
        <w:fldChar w:fldCharType="end"/>
      </w:r>
    </w:p>
    <w:p w14:paraId="3CCED67D">
      <w:pPr>
        <w:pStyle w:val="22"/>
        <w:tabs>
          <w:tab w:val="right" w:leader="dot" w:pos="8730"/>
        </w:tabs>
        <w:ind w:left="960"/>
        <w:rPr>
          <w:color w:val="auto"/>
        </w:rPr>
      </w:pPr>
      <w:r>
        <w:fldChar w:fldCharType="begin"/>
      </w:r>
      <w:r>
        <w:instrText xml:space="preserve"> HYPERLINK \l "_Toc15324" </w:instrText>
      </w:r>
      <w:r>
        <w:fldChar w:fldCharType="separate"/>
      </w:r>
      <w:r>
        <w:rPr>
          <w:rFonts w:eastAsia="宋体"/>
          <w:bCs/>
          <w:color w:val="auto"/>
          <w:kern w:val="2"/>
          <w:szCs w:val="32"/>
          <w:lang w:eastAsia="zh-CN" w:bidi="ar-SA"/>
        </w:rPr>
        <w:t xml:space="preserve">5.1 </w:t>
      </w:r>
      <w:r>
        <w:rPr>
          <w:rFonts w:hint="eastAsia" w:eastAsia="宋体"/>
          <w:bCs/>
          <w:color w:val="auto"/>
          <w:kern w:val="2"/>
          <w:szCs w:val="32"/>
          <w:lang w:eastAsia="zh-CN" w:bidi="ar-SA"/>
        </w:rPr>
        <w:t>监理范围</w:t>
      </w:r>
      <w:r>
        <w:rPr>
          <w:color w:val="auto"/>
        </w:rPr>
        <w:tab/>
      </w:r>
      <w:r>
        <w:rPr>
          <w:color w:val="auto"/>
        </w:rPr>
        <w:fldChar w:fldCharType="begin"/>
      </w:r>
      <w:r>
        <w:rPr>
          <w:color w:val="auto"/>
        </w:rPr>
        <w:instrText xml:space="preserve"> PAGEREF _Toc15324 \h </w:instrText>
      </w:r>
      <w:r>
        <w:rPr>
          <w:color w:val="auto"/>
        </w:rPr>
        <w:fldChar w:fldCharType="separate"/>
      </w:r>
      <w:r>
        <w:rPr>
          <w:color w:val="auto"/>
        </w:rPr>
        <w:t>83</w:t>
      </w:r>
      <w:r>
        <w:rPr>
          <w:color w:val="auto"/>
        </w:rPr>
        <w:fldChar w:fldCharType="end"/>
      </w:r>
      <w:r>
        <w:rPr>
          <w:color w:val="auto"/>
        </w:rPr>
        <w:fldChar w:fldCharType="end"/>
      </w:r>
    </w:p>
    <w:p w14:paraId="66075DF6">
      <w:pPr>
        <w:pStyle w:val="22"/>
        <w:tabs>
          <w:tab w:val="right" w:leader="dot" w:pos="8730"/>
        </w:tabs>
        <w:ind w:left="960"/>
        <w:rPr>
          <w:color w:val="auto"/>
        </w:rPr>
      </w:pPr>
      <w:r>
        <w:fldChar w:fldCharType="begin"/>
      </w:r>
      <w:r>
        <w:instrText xml:space="preserve"> HYPERLINK \l "_Toc23819" </w:instrText>
      </w:r>
      <w:r>
        <w:fldChar w:fldCharType="separate"/>
      </w:r>
      <w:r>
        <w:rPr>
          <w:rFonts w:eastAsia="宋体"/>
          <w:bCs/>
          <w:color w:val="auto"/>
          <w:kern w:val="2"/>
          <w:szCs w:val="32"/>
          <w:lang w:eastAsia="zh-CN" w:bidi="ar-SA"/>
        </w:rPr>
        <w:t xml:space="preserve">5.3 </w:t>
      </w:r>
      <w:r>
        <w:rPr>
          <w:rFonts w:hint="eastAsia" w:eastAsia="宋体"/>
          <w:bCs/>
          <w:color w:val="auto"/>
          <w:kern w:val="2"/>
          <w:szCs w:val="32"/>
          <w:lang w:eastAsia="zh-CN" w:bidi="ar-SA"/>
        </w:rPr>
        <w:t>监理内容</w:t>
      </w:r>
      <w:r>
        <w:rPr>
          <w:color w:val="auto"/>
        </w:rPr>
        <w:tab/>
      </w:r>
      <w:r>
        <w:rPr>
          <w:color w:val="auto"/>
        </w:rPr>
        <w:fldChar w:fldCharType="begin"/>
      </w:r>
      <w:r>
        <w:rPr>
          <w:color w:val="auto"/>
        </w:rPr>
        <w:instrText xml:space="preserve"> PAGEREF _Toc23819 \h </w:instrText>
      </w:r>
      <w:r>
        <w:rPr>
          <w:color w:val="auto"/>
        </w:rPr>
        <w:fldChar w:fldCharType="separate"/>
      </w:r>
      <w:r>
        <w:rPr>
          <w:color w:val="auto"/>
        </w:rPr>
        <w:t>84</w:t>
      </w:r>
      <w:r>
        <w:rPr>
          <w:color w:val="auto"/>
        </w:rPr>
        <w:fldChar w:fldCharType="end"/>
      </w:r>
      <w:r>
        <w:rPr>
          <w:color w:val="auto"/>
        </w:rPr>
        <w:fldChar w:fldCharType="end"/>
      </w:r>
    </w:p>
    <w:p w14:paraId="43AC9D6E">
      <w:pPr>
        <w:pStyle w:val="22"/>
        <w:tabs>
          <w:tab w:val="right" w:leader="dot" w:pos="8730"/>
        </w:tabs>
        <w:ind w:left="960"/>
        <w:rPr>
          <w:color w:val="auto"/>
        </w:rPr>
      </w:pPr>
      <w:r>
        <w:fldChar w:fldCharType="begin"/>
      </w:r>
      <w:r>
        <w:instrText xml:space="preserve"> HYPERLINK \l "_Toc28601" </w:instrText>
      </w:r>
      <w:r>
        <w:fldChar w:fldCharType="separate"/>
      </w:r>
      <w:r>
        <w:rPr>
          <w:rFonts w:eastAsia="宋体"/>
          <w:bCs/>
          <w:color w:val="auto"/>
          <w:kern w:val="2"/>
          <w:szCs w:val="32"/>
          <w:lang w:eastAsia="zh-CN" w:bidi="ar-SA"/>
        </w:rPr>
        <w:t xml:space="preserve">5.4 </w:t>
      </w:r>
      <w:r>
        <w:rPr>
          <w:rFonts w:hint="eastAsia" w:eastAsia="宋体"/>
          <w:bCs/>
          <w:color w:val="auto"/>
          <w:kern w:val="2"/>
          <w:szCs w:val="32"/>
          <w:lang w:eastAsia="zh-CN" w:bidi="ar-SA"/>
        </w:rPr>
        <w:t>监理文件要求</w:t>
      </w:r>
      <w:r>
        <w:rPr>
          <w:color w:val="auto"/>
        </w:rPr>
        <w:tab/>
      </w:r>
      <w:r>
        <w:rPr>
          <w:color w:val="auto"/>
        </w:rPr>
        <w:fldChar w:fldCharType="begin"/>
      </w:r>
      <w:r>
        <w:rPr>
          <w:color w:val="auto"/>
        </w:rPr>
        <w:instrText xml:space="preserve"> PAGEREF _Toc28601 \h </w:instrText>
      </w:r>
      <w:r>
        <w:rPr>
          <w:color w:val="auto"/>
        </w:rPr>
        <w:fldChar w:fldCharType="separate"/>
      </w:r>
      <w:r>
        <w:rPr>
          <w:color w:val="auto"/>
        </w:rPr>
        <w:t>84</w:t>
      </w:r>
      <w:r>
        <w:rPr>
          <w:color w:val="auto"/>
        </w:rPr>
        <w:fldChar w:fldCharType="end"/>
      </w:r>
      <w:r>
        <w:rPr>
          <w:color w:val="auto"/>
        </w:rPr>
        <w:fldChar w:fldCharType="end"/>
      </w:r>
    </w:p>
    <w:p w14:paraId="5020507D">
      <w:pPr>
        <w:pStyle w:val="37"/>
        <w:tabs>
          <w:tab w:val="right" w:leader="dot" w:pos="8730"/>
        </w:tabs>
        <w:ind w:left="480"/>
        <w:rPr>
          <w:color w:val="auto"/>
        </w:rPr>
      </w:pPr>
      <w:r>
        <w:fldChar w:fldCharType="begin"/>
      </w:r>
      <w:r>
        <w:instrText xml:space="preserve"> HYPERLINK \l "_Toc6256" </w:instrText>
      </w:r>
      <w:r>
        <w:fldChar w:fldCharType="separate"/>
      </w:r>
      <w:r>
        <w:rPr>
          <w:rFonts w:ascii="Arial" w:hAnsi="Arial" w:eastAsia="宋体"/>
          <w:bCs/>
          <w:color w:val="auto"/>
          <w:kern w:val="2"/>
          <w:szCs w:val="32"/>
          <w:lang w:eastAsia="zh-CN" w:bidi="ar-SA"/>
        </w:rPr>
        <w:t xml:space="preserve">6. </w:t>
      </w:r>
      <w:r>
        <w:rPr>
          <w:rFonts w:hint="eastAsia" w:ascii="Arial" w:hAnsi="Arial" w:eastAsia="宋体"/>
          <w:bCs/>
          <w:color w:val="auto"/>
          <w:kern w:val="2"/>
          <w:szCs w:val="32"/>
          <w:lang w:eastAsia="zh-CN" w:bidi="ar-SA"/>
        </w:rPr>
        <w:t>开始监理和完成监理</w:t>
      </w:r>
      <w:r>
        <w:rPr>
          <w:color w:val="auto"/>
        </w:rPr>
        <w:tab/>
      </w:r>
      <w:r>
        <w:rPr>
          <w:color w:val="auto"/>
        </w:rPr>
        <w:fldChar w:fldCharType="begin"/>
      </w:r>
      <w:r>
        <w:rPr>
          <w:color w:val="auto"/>
        </w:rPr>
        <w:instrText xml:space="preserve"> PAGEREF _Toc6256 \h </w:instrText>
      </w:r>
      <w:r>
        <w:rPr>
          <w:color w:val="auto"/>
        </w:rPr>
        <w:fldChar w:fldCharType="separate"/>
      </w:r>
      <w:r>
        <w:rPr>
          <w:color w:val="auto"/>
        </w:rPr>
        <w:t>86</w:t>
      </w:r>
      <w:r>
        <w:rPr>
          <w:color w:val="auto"/>
        </w:rPr>
        <w:fldChar w:fldCharType="end"/>
      </w:r>
      <w:r>
        <w:rPr>
          <w:color w:val="auto"/>
        </w:rPr>
        <w:fldChar w:fldCharType="end"/>
      </w:r>
    </w:p>
    <w:p w14:paraId="02BCA8DA">
      <w:pPr>
        <w:pStyle w:val="22"/>
        <w:tabs>
          <w:tab w:val="right" w:leader="dot" w:pos="8730"/>
        </w:tabs>
        <w:ind w:left="960"/>
        <w:rPr>
          <w:color w:val="auto"/>
        </w:rPr>
      </w:pPr>
      <w:r>
        <w:fldChar w:fldCharType="begin"/>
      </w:r>
      <w:r>
        <w:instrText xml:space="preserve"> HYPERLINK \l "_Toc29109" </w:instrText>
      </w:r>
      <w:r>
        <w:fldChar w:fldCharType="separate"/>
      </w:r>
      <w:r>
        <w:rPr>
          <w:rFonts w:eastAsia="宋体"/>
          <w:bCs/>
          <w:color w:val="auto"/>
          <w:kern w:val="2"/>
          <w:szCs w:val="32"/>
          <w:lang w:eastAsia="zh-CN" w:bidi="ar-SA"/>
        </w:rPr>
        <w:t xml:space="preserve">6.2 </w:t>
      </w:r>
      <w:r>
        <w:rPr>
          <w:rFonts w:hint="eastAsia" w:eastAsia="宋体"/>
          <w:bCs/>
          <w:color w:val="auto"/>
          <w:kern w:val="2"/>
          <w:szCs w:val="32"/>
          <w:lang w:eastAsia="zh-CN" w:bidi="ar-SA"/>
        </w:rPr>
        <w:t>监理周期延误</w:t>
      </w:r>
      <w:r>
        <w:rPr>
          <w:color w:val="auto"/>
        </w:rPr>
        <w:tab/>
      </w:r>
      <w:r>
        <w:rPr>
          <w:color w:val="auto"/>
        </w:rPr>
        <w:fldChar w:fldCharType="begin"/>
      </w:r>
      <w:r>
        <w:rPr>
          <w:color w:val="auto"/>
        </w:rPr>
        <w:instrText xml:space="preserve"> PAGEREF _Toc29109 \h </w:instrText>
      </w:r>
      <w:r>
        <w:rPr>
          <w:color w:val="auto"/>
        </w:rPr>
        <w:fldChar w:fldCharType="separate"/>
      </w:r>
      <w:r>
        <w:rPr>
          <w:color w:val="auto"/>
        </w:rPr>
        <w:t>86</w:t>
      </w:r>
      <w:r>
        <w:rPr>
          <w:color w:val="auto"/>
        </w:rPr>
        <w:fldChar w:fldCharType="end"/>
      </w:r>
      <w:r>
        <w:rPr>
          <w:color w:val="auto"/>
        </w:rPr>
        <w:fldChar w:fldCharType="end"/>
      </w:r>
    </w:p>
    <w:p w14:paraId="1AA653B8">
      <w:pPr>
        <w:pStyle w:val="22"/>
        <w:tabs>
          <w:tab w:val="right" w:leader="dot" w:pos="8730"/>
        </w:tabs>
        <w:ind w:left="960"/>
        <w:rPr>
          <w:color w:val="auto"/>
        </w:rPr>
      </w:pPr>
      <w:r>
        <w:fldChar w:fldCharType="begin"/>
      </w:r>
      <w:r>
        <w:instrText xml:space="preserve"> HYPERLINK \l "_Toc19095" </w:instrText>
      </w:r>
      <w:r>
        <w:fldChar w:fldCharType="separate"/>
      </w:r>
      <w:r>
        <w:rPr>
          <w:rFonts w:eastAsia="宋体"/>
          <w:bCs/>
          <w:color w:val="auto"/>
          <w:kern w:val="2"/>
          <w:szCs w:val="32"/>
          <w:lang w:eastAsia="zh-CN" w:bidi="ar-SA"/>
        </w:rPr>
        <w:t xml:space="preserve">6.3 </w:t>
      </w:r>
      <w:r>
        <w:rPr>
          <w:rFonts w:hint="eastAsia" w:eastAsia="宋体"/>
          <w:bCs/>
          <w:color w:val="auto"/>
          <w:kern w:val="2"/>
          <w:szCs w:val="32"/>
          <w:lang w:eastAsia="zh-CN" w:bidi="ar-SA"/>
        </w:rPr>
        <w:t>完成监理</w:t>
      </w:r>
      <w:r>
        <w:rPr>
          <w:color w:val="auto"/>
        </w:rPr>
        <w:tab/>
      </w:r>
      <w:r>
        <w:rPr>
          <w:color w:val="auto"/>
        </w:rPr>
        <w:fldChar w:fldCharType="begin"/>
      </w:r>
      <w:r>
        <w:rPr>
          <w:color w:val="auto"/>
        </w:rPr>
        <w:instrText xml:space="preserve"> PAGEREF _Toc19095 \h </w:instrText>
      </w:r>
      <w:r>
        <w:rPr>
          <w:color w:val="auto"/>
        </w:rPr>
        <w:fldChar w:fldCharType="separate"/>
      </w:r>
      <w:r>
        <w:rPr>
          <w:color w:val="auto"/>
        </w:rPr>
        <w:t>86</w:t>
      </w:r>
      <w:r>
        <w:rPr>
          <w:color w:val="auto"/>
        </w:rPr>
        <w:fldChar w:fldCharType="end"/>
      </w:r>
      <w:r>
        <w:rPr>
          <w:color w:val="auto"/>
        </w:rPr>
        <w:fldChar w:fldCharType="end"/>
      </w:r>
    </w:p>
    <w:p w14:paraId="79E666E0">
      <w:pPr>
        <w:pStyle w:val="37"/>
        <w:tabs>
          <w:tab w:val="right" w:leader="dot" w:pos="8730"/>
        </w:tabs>
        <w:ind w:left="480"/>
        <w:rPr>
          <w:color w:val="auto"/>
        </w:rPr>
      </w:pPr>
      <w:r>
        <w:fldChar w:fldCharType="begin"/>
      </w:r>
      <w:r>
        <w:instrText xml:space="preserve"> HYPERLINK \l "_Toc13588" </w:instrText>
      </w:r>
      <w:r>
        <w:fldChar w:fldCharType="separate"/>
      </w:r>
      <w:r>
        <w:rPr>
          <w:rFonts w:ascii="Arial" w:hAnsi="Arial" w:eastAsia="宋体"/>
          <w:bCs/>
          <w:color w:val="auto"/>
          <w:kern w:val="2"/>
          <w:szCs w:val="32"/>
          <w:lang w:eastAsia="zh-CN" w:bidi="ar-SA"/>
        </w:rPr>
        <w:t xml:space="preserve">7. </w:t>
      </w:r>
      <w:r>
        <w:rPr>
          <w:rFonts w:hint="eastAsia" w:ascii="Arial" w:hAnsi="Arial" w:eastAsia="宋体"/>
          <w:bCs/>
          <w:color w:val="auto"/>
          <w:kern w:val="2"/>
          <w:szCs w:val="32"/>
          <w:lang w:eastAsia="zh-CN" w:bidi="ar-SA"/>
        </w:rPr>
        <w:t>监理责任与保险</w:t>
      </w:r>
      <w:r>
        <w:rPr>
          <w:color w:val="auto"/>
        </w:rPr>
        <w:tab/>
      </w:r>
      <w:r>
        <w:rPr>
          <w:color w:val="auto"/>
        </w:rPr>
        <w:fldChar w:fldCharType="begin"/>
      </w:r>
      <w:r>
        <w:rPr>
          <w:color w:val="auto"/>
        </w:rPr>
        <w:instrText xml:space="preserve"> PAGEREF _Toc13588 \h </w:instrText>
      </w:r>
      <w:r>
        <w:rPr>
          <w:color w:val="auto"/>
        </w:rPr>
        <w:fldChar w:fldCharType="separate"/>
      </w:r>
      <w:r>
        <w:rPr>
          <w:color w:val="auto"/>
        </w:rPr>
        <w:t>86</w:t>
      </w:r>
      <w:r>
        <w:rPr>
          <w:color w:val="auto"/>
        </w:rPr>
        <w:fldChar w:fldCharType="end"/>
      </w:r>
      <w:r>
        <w:rPr>
          <w:color w:val="auto"/>
        </w:rPr>
        <w:fldChar w:fldCharType="end"/>
      </w:r>
    </w:p>
    <w:p w14:paraId="17059697">
      <w:pPr>
        <w:pStyle w:val="37"/>
        <w:tabs>
          <w:tab w:val="right" w:leader="dot" w:pos="8730"/>
        </w:tabs>
        <w:ind w:left="480"/>
        <w:rPr>
          <w:color w:val="auto"/>
        </w:rPr>
      </w:pPr>
      <w:r>
        <w:fldChar w:fldCharType="begin"/>
      </w:r>
      <w:r>
        <w:instrText xml:space="preserve"> HYPERLINK \l "_Toc27811" </w:instrText>
      </w:r>
      <w:r>
        <w:fldChar w:fldCharType="separate"/>
      </w:r>
      <w:r>
        <w:rPr>
          <w:rFonts w:ascii="Arial" w:hAnsi="Arial" w:eastAsia="宋体"/>
          <w:bCs/>
          <w:color w:val="auto"/>
          <w:kern w:val="2"/>
          <w:szCs w:val="32"/>
          <w:lang w:eastAsia="zh-CN" w:bidi="ar-SA"/>
        </w:rPr>
        <w:t xml:space="preserve">8. </w:t>
      </w:r>
      <w:r>
        <w:rPr>
          <w:rFonts w:hint="eastAsia" w:ascii="Arial" w:hAnsi="Arial" w:eastAsia="宋体"/>
          <w:bCs/>
          <w:color w:val="auto"/>
          <w:kern w:val="2"/>
          <w:szCs w:val="32"/>
          <w:lang w:eastAsia="zh-CN" w:bidi="ar-SA"/>
        </w:rPr>
        <w:t>合同变更</w:t>
      </w:r>
      <w:r>
        <w:rPr>
          <w:color w:val="auto"/>
        </w:rPr>
        <w:tab/>
      </w:r>
      <w:r>
        <w:rPr>
          <w:color w:val="auto"/>
        </w:rPr>
        <w:fldChar w:fldCharType="begin"/>
      </w:r>
      <w:r>
        <w:rPr>
          <w:color w:val="auto"/>
        </w:rPr>
        <w:instrText xml:space="preserve"> PAGEREF _Toc27811 \h </w:instrText>
      </w:r>
      <w:r>
        <w:rPr>
          <w:color w:val="auto"/>
        </w:rPr>
        <w:fldChar w:fldCharType="separate"/>
      </w:r>
      <w:r>
        <w:rPr>
          <w:color w:val="auto"/>
        </w:rPr>
        <w:t>86</w:t>
      </w:r>
      <w:r>
        <w:rPr>
          <w:color w:val="auto"/>
        </w:rPr>
        <w:fldChar w:fldCharType="end"/>
      </w:r>
      <w:r>
        <w:rPr>
          <w:color w:val="auto"/>
        </w:rPr>
        <w:fldChar w:fldCharType="end"/>
      </w:r>
    </w:p>
    <w:p w14:paraId="4C6ED208">
      <w:pPr>
        <w:pStyle w:val="22"/>
        <w:tabs>
          <w:tab w:val="right" w:leader="dot" w:pos="8730"/>
        </w:tabs>
        <w:ind w:left="960"/>
        <w:rPr>
          <w:color w:val="auto"/>
        </w:rPr>
      </w:pPr>
      <w:r>
        <w:fldChar w:fldCharType="begin"/>
      </w:r>
      <w:r>
        <w:instrText xml:space="preserve"> HYPERLINK \l "_Toc7567" </w:instrText>
      </w:r>
      <w:r>
        <w:fldChar w:fldCharType="separate"/>
      </w:r>
      <w:r>
        <w:rPr>
          <w:rFonts w:eastAsia="宋体"/>
          <w:bCs/>
          <w:color w:val="auto"/>
          <w:kern w:val="2"/>
          <w:szCs w:val="32"/>
          <w:lang w:eastAsia="zh-CN" w:bidi="ar-SA"/>
        </w:rPr>
        <w:t xml:space="preserve">8.1 </w:t>
      </w:r>
      <w:r>
        <w:rPr>
          <w:rFonts w:hint="eastAsia" w:eastAsia="宋体"/>
          <w:bCs/>
          <w:color w:val="auto"/>
          <w:kern w:val="2"/>
          <w:szCs w:val="32"/>
          <w:lang w:eastAsia="zh-CN" w:bidi="ar-SA"/>
        </w:rPr>
        <w:t>变更情形</w:t>
      </w:r>
      <w:r>
        <w:rPr>
          <w:color w:val="auto"/>
        </w:rPr>
        <w:tab/>
      </w:r>
      <w:r>
        <w:rPr>
          <w:color w:val="auto"/>
        </w:rPr>
        <w:fldChar w:fldCharType="begin"/>
      </w:r>
      <w:r>
        <w:rPr>
          <w:color w:val="auto"/>
        </w:rPr>
        <w:instrText xml:space="preserve"> PAGEREF _Toc7567 \h </w:instrText>
      </w:r>
      <w:r>
        <w:rPr>
          <w:color w:val="auto"/>
        </w:rPr>
        <w:fldChar w:fldCharType="separate"/>
      </w:r>
      <w:r>
        <w:rPr>
          <w:color w:val="auto"/>
        </w:rPr>
        <w:t>86</w:t>
      </w:r>
      <w:r>
        <w:rPr>
          <w:color w:val="auto"/>
        </w:rPr>
        <w:fldChar w:fldCharType="end"/>
      </w:r>
      <w:r>
        <w:rPr>
          <w:color w:val="auto"/>
        </w:rPr>
        <w:fldChar w:fldCharType="end"/>
      </w:r>
    </w:p>
    <w:p w14:paraId="527C5911">
      <w:pPr>
        <w:pStyle w:val="37"/>
        <w:tabs>
          <w:tab w:val="right" w:leader="dot" w:pos="8730"/>
        </w:tabs>
        <w:ind w:left="480"/>
        <w:rPr>
          <w:color w:val="auto"/>
        </w:rPr>
      </w:pPr>
      <w:r>
        <w:fldChar w:fldCharType="begin"/>
      </w:r>
      <w:r>
        <w:instrText xml:space="preserve"> HYPERLINK \l "_Toc3566" </w:instrText>
      </w:r>
      <w:r>
        <w:fldChar w:fldCharType="separate"/>
      </w:r>
      <w:r>
        <w:rPr>
          <w:rFonts w:ascii="Arial" w:hAnsi="Arial" w:eastAsia="宋体"/>
          <w:bCs/>
          <w:color w:val="auto"/>
          <w:kern w:val="2"/>
          <w:szCs w:val="32"/>
          <w:lang w:eastAsia="zh-CN" w:bidi="ar-SA"/>
        </w:rPr>
        <w:t xml:space="preserve">9. </w:t>
      </w:r>
      <w:r>
        <w:rPr>
          <w:rFonts w:hint="eastAsia" w:ascii="Arial" w:hAnsi="Arial" w:eastAsia="宋体"/>
          <w:bCs/>
          <w:color w:val="auto"/>
          <w:kern w:val="2"/>
          <w:szCs w:val="32"/>
          <w:lang w:eastAsia="zh-CN" w:bidi="ar-SA"/>
        </w:rPr>
        <w:t>合同价格与支付</w:t>
      </w:r>
      <w:r>
        <w:rPr>
          <w:color w:val="auto"/>
        </w:rPr>
        <w:tab/>
      </w:r>
      <w:r>
        <w:rPr>
          <w:color w:val="auto"/>
        </w:rPr>
        <w:fldChar w:fldCharType="begin"/>
      </w:r>
      <w:r>
        <w:rPr>
          <w:color w:val="auto"/>
        </w:rPr>
        <w:instrText xml:space="preserve"> PAGEREF _Toc3566 \h </w:instrText>
      </w:r>
      <w:r>
        <w:rPr>
          <w:color w:val="auto"/>
        </w:rPr>
        <w:fldChar w:fldCharType="separate"/>
      </w:r>
      <w:r>
        <w:rPr>
          <w:color w:val="auto"/>
        </w:rPr>
        <w:t>87</w:t>
      </w:r>
      <w:r>
        <w:rPr>
          <w:color w:val="auto"/>
        </w:rPr>
        <w:fldChar w:fldCharType="end"/>
      </w:r>
      <w:r>
        <w:rPr>
          <w:color w:val="auto"/>
        </w:rPr>
        <w:fldChar w:fldCharType="end"/>
      </w:r>
    </w:p>
    <w:p w14:paraId="0771CB0E">
      <w:pPr>
        <w:pStyle w:val="22"/>
        <w:tabs>
          <w:tab w:val="right" w:leader="dot" w:pos="8730"/>
        </w:tabs>
        <w:ind w:left="960"/>
        <w:rPr>
          <w:color w:val="auto"/>
        </w:rPr>
      </w:pPr>
      <w:r>
        <w:fldChar w:fldCharType="begin"/>
      </w:r>
      <w:r>
        <w:instrText xml:space="preserve"> HYPERLINK \l "_Toc21913" </w:instrText>
      </w:r>
      <w:r>
        <w:fldChar w:fldCharType="separate"/>
      </w:r>
      <w:r>
        <w:rPr>
          <w:rFonts w:eastAsia="宋体"/>
          <w:bCs/>
          <w:color w:val="auto"/>
          <w:kern w:val="2"/>
          <w:szCs w:val="32"/>
          <w:lang w:eastAsia="zh-CN" w:bidi="ar-SA"/>
        </w:rPr>
        <w:t xml:space="preserve">9.1 </w:t>
      </w:r>
      <w:r>
        <w:rPr>
          <w:rFonts w:hint="eastAsia" w:eastAsia="宋体"/>
          <w:bCs/>
          <w:color w:val="auto"/>
          <w:kern w:val="2"/>
          <w:szCs w:val="32"/>
          <w:lang w:eastAsia="zh-CN" w:bidi="ar-SA"/>
        </w:rPr>
        <w:t>合同价格</w:t>
      </w:r>
      <w:r>
        <w:rPr>
          <w:color w:val="auto"/>
        </w:rPr>
        <w:tab/>
      </w:r>
      <w:r>
        <w:rPr>
          <w:color w:val="auto"/>
        </w:rPr>
        <w:fldChar w:fldCharType="begin"/>
      </w:r>
      <w:r>
        <w:rPr>
          <w:color w:val="auto"/>
        </w:rPr>
        <w:instrText xml:space="preserve"> PAGEREF _Toc21913 \h </w:instrText>
      </w:r>
      <w:r>
        <w:rPr>
          <w:color w:val="auto"/>
        </w:rPr>
        <w:fldChar w:fldCharType="separate"/>
      </w:r>
      <w:r>
        <w:rPr>
          <w:color w:val="auto"/>
        </w:rPr>
        <w:t>87</w:t>
      </w:r>
      <w:r>
        <w:rPr>
          <w:color w:val="auto"/>
        </w:rPr>
        <w:fldChar w:fldCharType="end"/>
      </w:r>
      <w:r>
        <w:rPr>
          <w:color w:val="auto"/>
        </w:rPr>
        <w:fldChar w:fldCharType="end"/>
      </w:r>
    </w:p>
    <w:p w14:paraId="33877E73">
      <w:pPr>
        <w:pStyle w:val="22"/>
        <w:tabs>
          <w:tab w:val="right" w:leader="dot" w:pos="8730"/>
        </w:tabs>
        <w:ind w:left="960"/>
        <w:rPr>
          <w:color w:val="auto"/>
        </w:rPr>
      </w:pPr>
      <w:r>
        <w:fldChar w:fldCharType="begin"/>
      </w:r>
      <w:r>
        <w:instrText xml:space="preserve"> HYPERLINK \l "_Toc3506" </w:instrText>
      </w:r>
      <w:r>
        <w:fldChar w:fldCharType="separate"/>
      </w:r>
      <w:r>
        <w:rPr>
          <w:rFonts w:eastAsia="宋体"/>
          <w:bCs/>
          <w:color w:val="auto"/>
          <w:kern w:val="2"/>
          <w:szCs w:val="32"/>
          <w:lang w:eastAsia="zh-CN" w:bidi="ar-SA"/>
        </w:rPr>
        <w:t xml:space="preserve">9.2 </w:t>
      </w:r>
      <w:r>
        <w:rPr>
          <w:rFonts w:hint="eastAsia" w:eastAsia="宋体"/>
          <w:bCs/>
          <w:color w:val="auto"/>
          <w:kern w:val="2"/>
          <w:szCs w:val="32"/>
          <w:lang w:eastAsia="zh-CN" w:bidi="ar-SA"/>
        </w:rPr>
        <w:t>预付款（本项目不适用）</w:t>
      </w:r>
      <w:r>
        <w:rPr>
          <w:color w:val="auto"/>
        </w:rPr>
        <w:tab/>
      </w:r>
      <w:r>
        <w:rPr>
          <w:color w:val="auto"/>
        </w:rPr>
        <w:fldChar w:fldCharType="begin"/>
      </w:r>
      <w:r>
        <w:rPr>
          <w:color w:val="auto"/>
        </w:rPr>
        <w:instrText xml:space="preserve"> PAGEREF _Toc3506 \h </w:instrText>
      </w:r>
      <w:r>
        <w:rPr>
          <w:color w:val="auto"/>
        </w:rPr>
        <w:fldChar w:fldCharType="separate"/>
      </w:r>
      <w:r>
        <w:rPr>
          <w:color w:val="auto"/>
        </w:rPr>
        <w:t>87</w:t>
      </w:r>
      <w:r>
        <w:rPr>
          <w:color w:val="auto"/>
        </w:rPr>
        <w:fldChar w:fldCharType="end"/>
      </w:r>
      <w:r>
        <w:rPr>
          <w:color w:val="auto"/>
        </w:rPr>
        <w:fldChar w:fldCharType="end"/>
      </w:r>
    </w:p>
    <w:p w14:paraId="700ADB9D">
      <w:pPr>
        <w:pStyle w:val="22"/>
        <w:tabs>
          <w:tab w:val="right" w:leader="dot" w:pos="8730"/>
        </w:tabs>
        <w:ind w:left="960"/>
        <w:rPr>
          <w:color w:val="auto"/>
        </w:rPr>
      </w:pPr>
      <w:r>
        <w:fldChar w:fldCharType="begin"/>
      </w:r>
      <w:r>
        <w:instrText xml:space="preserve"> HYPERLINK \l "_Toc27595" </w:instrText>
      </w:r>
      <w:r>
        <w:fldChar w:fldCharType="separate"/>
      </w:r>
      <w:r>
        <w:rPr>
          <w:rFonts w:eastAsia="宋体"/>
          <w:bCs/>
          <w:color w:val="auto"/>
          <w:kern w:val="2"/>
          <w:szCs w:val="32"/>
          <w:lang w:eastAsia="zh-CN" w:bidi="ar-SA"/>
        </w:rPr>
        <w:t xml:space="preserve">9.3 </w:t>
      </w:r>
      <w:r>
        <w:rPr>
          <w:rFonts w:hint="eastAsia" w:eastAsia="宋体"/>
          <w:bCs/>
          <w:color w:val="auto"/>
          <w:kern w:val="2"/>
          <w:szCs w:val="32"/>
          <w:lang w:eastAsia="zh-CN" w:bidi="ar-SA"/>
        </w:rPr>
        <w:t>中期支付</w:t>
      </w:r>
      <w:r>
        <w:rPr>
          <w:color w:val="auto"/>
        </w:rPr>
        <w:tab/>
      </w:r>
      <w:r>
        <w:rPr>
          <w:color w:val="auto"/>
        </w:rPr>
        <w:fldChar w:fldCharType="begin"/>
      </w:r>
      <w:r>
        <w:rPr>
          <w:color w:val="auto"/>
        </w:rPr>
        <w:instrText xml:space="preserve"> PAGEREF _Toc27595 \h </w:instrText>
      </w:r>
      <w:r>
        <w:rPr>
          <w:color w:val="auto"/>
        </w:rPr>
        <w:fldChar w:fldCharType="separate"/>
      </w:r>
      <w:r>
        <w:rPr>
          <w:color w:val="auto"/>
        </w:rPr>
        <w:t>88</w:t>
      </w:r>
      <w:r>
        <w:rPr>
          <w:color w:val="auto"/>
        </w:rPr>
        <w:fldChar w:fldCharType="end"/>
      </w:r>
      <w:r>
        <w:rPr>
          <w:color w:val="auto"/>
        </w:rPr>
        <w:fldChar w:fldCharType="end"/>
      </w:r>
    </w:p>
    <w:p w14:paraId="6B980E11">
      <w:pPr>
        <w:pStyle w:val="22"/>
        <w:tabs>
          <w:tab w:val="right" w:leader="dot" w:pos="8730"/>
        </w:tabs>
        <w:ind w:left="960"/>
        <w:rPr>
          <w:color w:val="auto"/>
        </w:rPr>
      </w:pPr>
      <w:r>
        <w:fldChar w:fldCharType="begin"/>
      </w:r>
      <w:r>
        <w:instrText xml:space="preserve"> HYPERLINK \l "_Toc25409" </w:instrText>
      </w:r>
      <w:r>
        <w:fldChar w:fldCharType="separate"/>
      </w:r>
      <w:r>
        <w:rPr>
          <w:rFonts w:eastAsia="宋体"/>
          <w:bCs/>
          <w:color w:val="auto"/>
          <w:kern w:val="2"/>
          <w:szCs w:val="32"/>
          <w:lang w:eastAsia="zh-CN" w:bidi="ar-SA"/>
        </w:rPr>
        <w:t xml:space="preserve">9.4 </w:t>
      </w:r>
      <w:r>
        <w:rPr>
          <w:rFonts w:hint="eastAsia" w:eastAsia="宋体"/>
          <w:bCs/>
          <w:color w:val="auto"/>
          <w:kern w:val="2"/>
          <w:szCs w:val="32"/>
          <w:lang w:eastAsia="zh-CN" w:bidi="ar-SA"/>
        </w:rPr>
        <w:t>费用结算</w:t>
      </w:r>
      <w:r>
        <w:rPr>
          <w:color w:val="auto"/>
        </w:rPr>
        <w:tab/>
      </w:r>
      <w:r>
        <w:rPr>
          <w:color w:val="auto"/>
        </w:rPr>
        <w:fldChar w:fldCharType="begin"/>
      </w:r>
      <w:r>
        <w:rPr>
          <w:color w:val="auto"/>
        </w:rPr>
        <w:instrText xml:space="preserve"> PAGEREF _Toc25409 \h </w:instrText>
      </w:r>
      <w:r>
        <w:rPr>
          <w:color w:val="auto"/>
        </w:rPr>
        <w:fldChar w:fldCharType="separate"/>
      </w:r>
      <w:r>
        <w:rPr>
          <w:color w:val="auto"/>
        </w:rPr>
        <w:t>88</w:t>
      </w:r>
      <w:r>
        <w:rPr>
          <w:color w:val="auto"/>
        </w:rPr>
        <w:fldChar w:fldCharType="end"/>
      </w:r>
      <w:r>
        <w:rPr>
          <w:color w:val="auto"/>
        </w:rPr>
        <w:fldChar w:fldCharType="end"/>
      </w:r>
    </w:p>
    <w:p w14:paraId="4360A214">
      <w:pPr>
        <w:pStyle w:val="37"/>
        <w:tabs>
          <w:tab w:val="right" w:leader="dot" w:pos="8730"/>
        </w:tabs>
        <w:ind w:left="480"/>
        <w:rPr>
          <w:color w:val="auto"/>
        </w:rPr>
      </w:pPr>
      <w:r>
        <w:fldChar w:fldCharType="begin"/>
      </w:r>
      <w:r>
        <w:instrText xml:space="preserve"> HYPERLINK \l "_Toc6344" </w:instrText>
      </w:r>
      <w:r>
        <w:fldChar w:fldCharType="separate"/>
      </w:r>
      <w:r>
        <w:rPr>
          <w:rFonts w:ascii="Arial" w:hAnsi="Arial" w:eastAsia="宋体"/>
          <w:bCs/>
          <w:color w:val="auto"/>
          <w:kern w:val="2"/>
          <w:szCs w:val="32"/>
          <w:lang w:eastAsia="zh-CN" w:bidi="ar-SA"/>
        </w:rPr>
        <w:t xml:space="preserve">12. </w:t>
      </w:r>
      <w:r>
        <w:rPr>
          <w:rFonts w:hint="eastAsia" w:ascii="Arial" w:hAnsi="Arial" w:eastAsia="宋体"/>
          <w:bCs/>
          <w:color w:val="auto"/>
          <w:kern w:val="2"/>
          <w:szCs w:val="32"/>
          <w:lang w:eastAsia="zh-CN" w:bidi="ar-SA"/>
        </w:rPr>
        <w:t>争议的解决</w:t>
      </w:r>
      <w:r>
        <w:rPr>
          <w:color w:val="auto"/>
        </w:rPr>
        <w:tab/>
      </w:r>
      <w:r>
        <w:rPr>
          <w:color w:val="auto"/>
        </w:rPr>
        <w:fldChar w:fldCharType="begin"/>
      </w:r>
      <w:r>
        <w:rPr>
          <w:color w:val="auto"/>
        </w:rPr>
        <w:instrText xml:space="preserve"> PAGEREF _Toc6344 \h </w:instrText>
      </w:r>
      <w:r>
        <w:rPr>
          <w:color w:val="auto"/>
        </w:rPr>
        <w:fldChar w:fldCharType="separate"/>
      </w:r>
      <w:r>
        <w:rPr>
          <w:color w:val="auto"/>
        </w:rPr>
        <w:t>89</w:t>
      </w:r>
      <w:r>
        <w:rPr>
          <w:color w:val="auto"/>
        </w:rPr>
        <w:fldChar w:fldCharType="end"/>
      </w:r>
      <w:r>
        <w:rPr>
          <w:color w:val="auto"/>
        </w:rPr>
        <w:fldChar w:fldCharType="end"/>
      </w:r>
    </w:p>
    <w:p w14:paraId="6D36B580">
      <w:pPr>
        <w:pStyle w:val="22"/>
        <w:tabs>
          <w:tab w:val="right" w:leader="dot" w:pos="8730"/>
        </w:tabs>
        <w:ind w:left="960"/>
        <w:rPr>
          <w:color w:val="auto"/>
        </w:rPr>
      </w:pPr>
      <w:r>
        <w:fldChar w:fldCharType="begin"/>
      </w:r>
      <w:r>
        <w:instrText xml:space="preserve"> HYPERLINK \l "_Toc28906" </w:instrText>
      </w:r>
      <w:r>
        <w:fldChar w:fldCharType="separate"/>
      </w:r>
      <w:r>
        <w:rPr>
          <w:rFonts w:hint="eastAsia" w:eastAsia="宋体"/>
          <w:bCs/>
          <w:color w:val="auto"/>
          <w:kern w:val="2"/>
          <w:szCs w:val="32"/>
          <w:lang w:eastAsia="zh-CN" w:bidi="ar-SA"/>
        </w:rPr>
        <w:t>专用合同条款附件</w:t>
      </w:r>
      <w:r>
        <w:rPr>
          <w:color w:val="auto"/>
        </w:rPr>
        <w:tab/>
      </w:r>
      <w:r>
        <w:rPr>
          <w:color w:val="auto"/>
        </w:rPr>
        <w:fldChar w:fldCharType="begin"/>
      </w:r>
      <w:r>
        <w:rPr>
          <w:color w:val="auto"/>
        </w:rPr>
        <w:instrText xml:space="preserve"> PAGEREF _Toc28906 \h </w:instrText>
      </w:r>
      <w:r>
        <w:rPr>
          <w:color w:val="auto"/>
        </w:rPr>
        <w:fldChar w:fldCharType="separate"/>
      </w:r>
      <w:r>
        <w:rPr>
          <w:color w:val="auto"/>
        </w:rPr>
        <w:t>90</w:t>
      </w:r>
      <w:r>
        <w:rPr>
          <w:color w:val="auto"/>
        </w:rPr>
        <w:fldChar w:fldCharType="end"/>
      </w:r>
      <w:r>
        <w:rPr>
          <w:color w:val="auto"/>
        </w:rPr>
        <w:fldChar w:fldCharType="end"/>
      </w:r>
    </w:p>
    <w:p w14:paraId="66DDE057">
      <w:pPr>
        <w:pStyle w:val="22"/>
        <w:tabs>
          <w:tab w:val="right" w:leader="dot" w:pos="8730"/>
        </w:tabs>
        <w:ind w:left="960"/>
        <w:rPr>
          <w:color w:val="auto"/>
        </w:rPr>
      </w:pPr>
      <w:r>
        <w:fldChar w:fldCharType="begin"/>
      </w:r>
      <w:r>
        <w:instrText xml:space="preserve"> HYPERLINK \l "_Toc22800" </w:instrText>
      </w:r>
      <w:r>
        <w:fldChar w:fldCharType="separate"/>
      </w:r>
      <w:r>
        <w:rPr>
          <w:rFonts w:hint="eastAsia" w:ascii="宋体" w:hAnsi="宋体" w:eastAsia="宋体"/>
          <w:color w:val="auto"/>
          <w:kern w:val="2"/>
          <w:szCs w:val="21"/>
          <w:lang w:eastAsia="zh-CN" w:bidi="ar-SA"/>
        </w:rPr>
        <w:t>第一章  总  则</w:t>
      </w:r>
      <w:r>
        <w:rPr>
          <w:color w:val="auto"/>
        </w:rPr>
        <w:tab/>
      </w:r>
      <w:r>
        <w:rPr>
          <w:color w:val="auto"/>
        </w:rPr>
        <w:fldChar w:fldCharType="begin"/>
      </w:r>
      <w:r>
        <w:rPr>
          <w:color w:val="auto"/>
        </w:rPr>
        <w:instrText xml:space="preserve"> PAGEREF _Toc22800 \h </w:instrText>
      </w:r>
      <w:r>
        <w:rPr>
          <w:color w:val="auto"/>
        </w:rPr>
        <w:fldChar w:fldCharType="separate"/>
      </w:r>
      <w:r>
        <w:rPr>
          <w:color w:val="auto"/>
        </w:rPr>
        <w:t>90</w:t>
      </w:r>
      <w:r>
        <w:rPr>
          <w:color w:val="auto"/>
        </w:rPr>
        <w:fldChar w:fldCharType="end"/>
      </w:r>
      <w:r>
        <w:rPr>
          <w:color w:val="auto"/>
        </w:rPr>
        <w:fldChar w:fldCharType="end"/>
      </w:r>
    </w:p>
    <w:p w14:paraId="68F458B9">
      <w:pPr>
        <w:pStyle w:val="22"/>
        <w:tabs>
          <w:tab w:val="right" w:leader="dot" w:pos="8730"/>
        </w:tabs>
        <w:ind w:left="960"/>
        <w:rPr>
          <w:color w:val="auto"/>
        </w:rPr>
      </w:pPr>
      <w:r>
        <w:fldChar w:fldCharType="begin"/>
      </w:r>
      <w:r>
        <w:instrText xml:space="preserve"> HYPERLINK \l "_Toc32493" </w:instrText>
      </w:r>
      <w:r>
        <w:fldChar w:fldCharType="separate"/>
      </w:r>
      <w:r>
        <w:rPr>
          <w:rFonts w:hint="eastAsia" w:ascii="宋体" w:hAnsi="宋体" w:eastAsia="宋体"/>
          <w:color w:val="auto"/>
          <w:kern w:val="2"/>
          <w:szCs w:val="21"/>
          <w:lang w:eastAsia="zh-CN" w:bidi="ar-SA"/>
        </w:rPr>
        <w:t>第二章  监理人员考勤及人员变更管理</w:t>
      </w:r>
      <w:r>
        <w:rPr>
          <w:color w:val="auto"/>
        </w:rPr>
        <w:tab/>
      </w:r>
      <w:r>
        <w:rPr>
          <w:color w:val="auto"/>
        </w:rPr>
        <w:fldChar w:fldCharType="begin"/>
      </w:r>
      <w:r>
        <w:rPr>
          <w:color w:val="auto"/>
        </w:rPr>
        <w:instrText xml:space="preserve"> PAGEREF _Toc32493 \h </w:instrText>
      </w:r>
      <w:r>
        <w:rPr>
          <w:color w:val="auto"/>
        </w:rPr>
        <w:fldChar w:fldCharType="separate"/>
      </w:r>
      <w:r>
        <w:rPr>
          <w:color w:val="auto"/>
        </w:rPr>
        <w:t>90</w:t>
      </w:r>
      <w:r>
        <w:rPr>
          <w:color w:val="auto"/>
        </w:rPr>
        <w:fldChar w:fldCharType="end"/>
      </w:r>
      <w:r>
        <w:rPr>
          <w:color w:val="auto"/>
        </w:rPr>
        <w:fldChar w:fldCharType="end"/>
      </w:r>
    </w:p>
    <w:p w14:paraId="00FC995D">
      <w:pPr>
        <w:pStyle w:val="22"/>
        <w:tabs>
          <w:tab w:val="right" w:leader="dot" w:pos="8730"/>
        </w:tabs>
        <w:ind w:left="960"/>
        <w:rPr>
          <w:color w:val="auto"/>
        </w:rPr>
      </w:pPr>
      <w:r>
        <w:fldChar w:fldCharType="begin"/>
      </w:r>
      <w:r>
        <w:instrText xml:space="preserve"> HYPERLINK \l "_Toc8859" </w:instrText>
      </w:r>
      <w:r>
        <w:fldChar w:fldCharType="separate"/>
      </w:r>
      <w:r>
        <w:rPr>
          <w:rFonts w:hint="eastAsia" w:ascii="宋体" w:hAnsi="宋体" w:eastAsia="宋体"/>
          <w:color w:val="auto"/>
          <w:kern w:val="2"/>
          <w:szCs w:val="21"/>
          <w:lang w:eastAsia="zh-CN" w:bidi="ar-SA"/>
        </w:rPr>
        <w:t>第三章  违约金扣除标准</w:t>
      </w:r>
      <w:r>
        <w:rPr>
          <w:color w:val="auto"/>
        </w:rPr>
        <w:tab/>
      </w:r>
      <w:r>
        <w:rPr>
          <w:color w:val="auto"/>
        </w:rPr>
        <w:fldChar w:fldCharType="begin"/>
      </w:r>
      <w:r>
        <w:rPr>
          <w:color w:val="auto"/>
        </w:rPr>
        <w:instrText xml:space="preserve"> PAGEREF _Toc8859 \h </w:instrText>
      </w:r>
      <w:r>
        <w:rPr>
          <w:color w:val="auto"/>
        </w:rPr>
        <w:fldChar w:fldCharType="separate"/>
      </w:r>
      <w:r>
        <w:rPr>
          <w:color w:val="auto"/>
        </w:rPr>
        <w:t>91</w:t>
      </w:r>
      <w:r>
        <w:rPr>
          <w:color w:val="auto"/>
        </w:rPr>
        <w:fldChar w:fldCharType="end"/>
      </w:r>
      <w:r>
        <w:rPr>
          <w:color w:val="auto"/>
        </w:rPr>
        <w:fldChar w:fldCharType="end"/>
      </w:r>
    </w:p>
    <w:p w14:paraId="75942454">
      <w:pPr>
        <w:pStyle w:val="22"/>
        <w:tabs>
          <w:tab w:val="right" w:leader="dot" w:pos="8730"/>
        </w:tabs>
        <w:ind w:left="960"/>
        <w:rPr>
          <w:color w:val="auto"/>
        </w:rPr>
      </w:pPr>
      <w:r>
        <w:fldChar w:fldCharType="begin"/>
      </w:r>
      <w:r>
        <w:instrText xml:space="preserve"> HYPERLINK \l "_Toc10033" </w:instrText>
      </w:r>
      <w:r>
        <w:fldChar w:fldCharType="separate"/>
      </w:r>
      <w:r>
        <w:rPr>
          <w:rFonts w:hint="eastAsia" w:ascii="宋体" w:hAnsi="宋体" w:eastAsia="宋体"/>
          <w:color w:val="auto"/>
          <w:kern w:val="2"/>
          <w:szCs w:val="21"/>
          <w:lang w:eastAsia="zh-CN" w:bidi="ar-SA"/>
        </w:rPr>
        <w:t>第四章  附则</w:t>
      </w:r>
      <w:r>
        <w:rPr>
          <w:color w:val="auto"/>
        </w:rPr>
        <w:tab/>
      </w:r>
      <w:r>
        <w:rPr>
          <w:color w:val="auto"/>
        </w:rPr>
        <w:fldChar w:fldCharType="begin"/>
      </w:r>
      <w:r>
        <w:rPr>
          <w:color w:val="auto"/>
        </w:rPr>
        <w:instrText xml:space="preserve"> PAGEREF _Toc10033 \h </w:instrText>
      </w:r>
      <w:r>
        <w:rPr>
          <w:color w:val="auto"/>
        </w:rPr>
        <w:fldChar w:fldCharType="separate"/>
      </w:r>
      <w:r>
        <w:rPr>
          <w:color w:val="auto"/>
        </w:rPr>
        <w:t>93</w:t>
      </w:r>
      <w:r>
        <w:rPr>
          <w:color w:val="auto"/>
        </w:rPr>
        <w:fldChar w:fldCharType="end"/>
      </w:r>
      <w:r>
        <w:rPr>
          <w:color w:val="auto"/>
        </w:rPr>
        <w:fldChar w:fldCharType="end"/>
      </w:r>
    </w:p>
    <w:p w14:paraId="4F42966A">
      <w:pPr>
        <w:pStyle w:val="37"/>
        <w:tabs>
          <w:tab w:val="right" w:leader="dot" w:pos="8730"/>
        </w:tabs>
        <w:ind w:left="480"/>
        <w:rPr>
          <w:color w:val="auto"/>
        </w:rPr>
      </w:pPr>
      <w:r>
        <w:fldChar w:fldCharType="begin"/>
      </w:r>
      <w:r>
        <w:instrText xml:space="preserve"> HYPERLINK \l "_Toc31805" </w:instrText>
      </w:r>
      <w:r>
        <w:fldChar w:fldCharType="separate"/>
      </w:r>
      <w:r>
        <w:rPr>
          <w:rFonts w:ascii="Calibri Light" w:hAnsi="Calibri Light" w:eastAsia="宋体"/>
          <w:bCs/>
          <w:color w:val="auto"/>
          <w:kern w:val="2"/>
          <w:szCs w:val="32"/>
          <w:lang w:eastAsia="zh-CN" w:bidi="ar-SA"/>
        </w:rPr>
        <w:t>第</w:t>
      </w:r>
      <w:r>
        <w:rPr>
          <w:rFonts w:hint="eastAsia" w:ascii="Calibri Light" w:hAnsi="Calibri Light" w:eastAsia="宋体"/>
          <w:bCs/>
          <w:color w:val="auto"/>
          <w:kern w:val="2"/>
          <w:szCs w:val="32"/>
          <w:lang w:eastAsia="zh-CN" w:bidi="ar-SA"/>
        </w:rPr>
        <w:t>三</w:t>
      </w:r>
      <w:r>
        <w:rPr>
          <w:rFonts w:ascii="Calibri Light" w:hAnsi="Calibri Light" w:eastAsia="宋体"/>
          <w:bCs/>
          <w:color w:val="auto"/>
          <w:kern w:val="2"/>
          <w:szCs w:val="32"/>
          <w:lang w:eastAsia="zh-CN" w:bidi="ar-SA"/>
        </w:rPr>
        <w:t>节</w:t>
      </w:r>
      <w:r>
        <w:rPr>
          <w:rFonts w:hint="eastAsia" w:ascii="Calibri Light" w:hAnsi="Calibri Light" w:eastAsia="宋体"/>
          <w:bCs/>
          <w:color w:val="auto"/>
          <w:kern w:val="2"/>
          <w:szCs w:val="32"/>
          <w:lang w:eastAsia="zh-CN" w:bidi="ar-SA"/>
        </w:rPr>
        <w:t xml:space="preserve">  </w:t>
      </w:r>
      <w:r>
        <w:rPr>
          <w:rFonts w:ascii="Calibri Light" w:hAnsi="Calibri Light" w:eastAsia="宋体"/>
          <w:bCs/>
          <w:color w:val="auto"/>
          <w:kern w:val="2"/>
          <w:szCs w:val="32"/>
          <w:lang w:eastAsia="zh-CN" w:bidi="ar-SA"/>
        </w:rPr>
        <w:t>合同附件格式</w:t>
      </w:r>
      <w:r>
        <w:rPr>
          <w:color w:val="auto"/>
        </w:rPr>
        <w:tab/>
      </w:r>
      <w:r>
        <w:rPr>
          <w:color w:val="auto"/>
        </w:rPr>
        <w:fldChar w:fldCharType="begin"/>
      </w:r>
      <w:r>
        <w:rPr>
          <w:color w:val="auto"/>
        </w:rPr>
        <w:instrText xml:space="preserve"> PAGEREF _Toc31805 \h </w:instrText>
      </w:r>
      <w:r>
        <w:rPr>
          <w:color w:val="auto"/>
        </w:rPr>
        <w:fldChar w:fldCharType="separate"/>
      </w:r>
      <w:r>
        <w:rPr>
          <w:color w:val="auto"/>
        </w:rPr>
        <w:t>95</w:t>
      </w:r>
      <w:r>
        <w:rPr>
          <w:color w:val="auto"/>
        </w:rPr>
        <w:fldChar w:fldCharType="end"/>
      </w:r>
      <w:r>
        <w:rPr>
          <w:color w:val="auto"/>
        </w:rPr>
        <w:fldChar w:fldCharType="end"/>
      </w:r>
    </w:p>
    <w:p w14:paraId="4891351A">
      <w:pPr>
        <w:pStyle w:val="37"/>
        <w:tabs>
          <w:tab w:val="right" w:leader="dot" w:pos="8730"/>
        </w:tabs>
        <w:ind w:left="480"/>
        <w:rPr>
          <w:color w:val="auto"/>
        </w:rPr>
      </w:pPr>
      <w:r>
        <w:fldChar w:fldCharType="begin"/>
      </w:r>
      <w:r>
        <w:instrText xml:space="preserve"> HYPERLINK \l "_Toc32671" </w:instrText>
      </w:r>
      <w:r>
        <w:fldChar w:fldCharType="separate"/>
      </w:r>
      <w:r>
        <w:rPr>
          <w:rFonts w:ascii="宋体" w:hAnsi="宋体" w:eastAsia="宋体" w:cs="宋体"/>
          <w:color w:val="auto"/>
          <w:spacing w:val="-10"/>
          <w:lang w:eastAsia="zh-CN" w:bidi="ar-SA"/>
        </w:rPr>
        <w:t>附件一 合同协议书</w:t>
      </w:r>
      <w:r>
        <w:rPr>
          <w:color w:val="auto"/>
        </w:rPr>
        <w:tab/>
      </w:r>
      <w:r>
        <w:rPr>
          <w:color w:val="auto"/>
        </w:rPr>
        <w:fldChar w:fldCharType="begin"/>
      </w:r>
      <w:r>
        <w:rPr>
          <w:color w:val="auto"/>
        </w:rPr>
        <w:instrText xml:space="preserve"> PAGEREF _Toc32671 \h </w:instrText>
      </w:r>
      <w:r>
        <w:rPr>
          <w:color w:val="auto"/>
        </w:rPr>
        <w:fldChar w:fldCharType="separate"/>
      </w:r>
      <w:r>
        <w:rPr>
          <w:color w:val="auto"/>
        </w:rPr>
        <w:t>97</w:t>
      </w:r>
      <w:r>
        <w:rPr>
          <w:color w:val="auto"/>
        </w:rPr>
        <w:fldChar w:fldCharType="end"/>
      </w:r>
      <w:r>
        <w:rPr>
          <w:color w:val="auto"/>
        </w:rPr>
        <w:fldChar w:fldCharType="end"/>
      </w:r>
    </w:p>
    <w:p w14:paraId="05AF0310">
      <w:pPr>
        <w:pStyle w:val="37"/>
        <w:tabs>
          <w:tab w:val="right" w:leader="dot" w:pos="8730"/>
        </w:tabs>
        <w:ind w:left="480"/>
        <w:rPr>
          <w:color w:val="auto"/>
        </w:rPr>
      </w:pPr>
      <w:r>
        <w:fldChar w:fldCharType="begin"/>
      </w:r>
      <w:r>
        <w:instrText xml:space="preserve"> HYPERLINK \l "_Toc11542" </w:instrText>
      </w:r>
      <w:r>
        <w:fldChar w:fldCharType="separate"/>
      </w:r>
      <w:r>
        <w:rPr>
          <w:rFonts w:ascii="宋体" w:hAnsi="宋体" w:eastAsia="宋体" w:cs="宋体"/>
          <w:color w:val="auto"/>
          <w:spacing w:val="-10"/>
          <w:lang w:eastAsia="zh-CN" w:bidi="ar-SA"/>
        </w:rPr>
        <w:t>附件二 廉政合同</w:t>
      </w:r>
      <w:r>
        <w:rPr>
          <w:color w:val="auto"/>
        </w:rPr>
        <w:tab/>
      </w:r>
      <w:r>
        <w:rPr>
          <w:color w:val="auto"/>
        </w:rPr>
        <w:fldChar w:fldCharType="begin"/>
      </w:r>
      <w:r>
        <w:rPr>
          <w:color w:val="auto"/>
        </w:rPr>
        <w:instrText xml:space="preserve"> PAGEREF _Toc11542 \h </w:instrText>
      </w:r>
      <w:r>
        <w:rPr>
          <w:color w:val="auto"/>
        </w:rPr>
        <w:fldChar w:fldCharType="separate"/>
      </w:r>
      <w:r>
        <w:rPr>
          <w:color w:val="auto"/>
        </w:rPr>
        <w:t>99</w:t>
      </w:r>
      <w:r>
        <w:rPr>
          <w:color w:val="auto"/>
        </w:rPr>
        <w:fldChar w:fldCharType="end"/>
      </w:r>
      <w:r>
        <w:rPr>
          <w:color w:val="auto"/>
        </w:rPr>
        <w:fldChar w:fldCharType="end"/>
      </w:r>
    </w:p>
    <w:p w14:paraId="26151D69">
      <w:pPr>
        <w:pStyle w:val="37"/>
        <w:tabs>
          <w:tab w:val="right" w:leader="dot" w:pos="8730"/>
        </w:tabs>
        <w:ind w:left="480"/>
        <w:rPr>
          <w:color w:val="auto"/>
        </w:rPr>
      </w:pPr>
      <w:r>
        <w:fldChar w:fldCharType="begin"/>
      </w:r>
      <w:r>
        <w:instrText xml:space="preserve"> HYPERLINK \l "_Toc71" </w:instrText>
      </w:r>
      <w:r>
        <w:fldChar w:fldCharType="separate"/>
      </w:r>
      <w:r>
        <w:rPr>
          <w:rFonts w:ascii="宋体" w:hAnsi="宋体" w:eastAsia="宋体" w:cs="宋体"/>
          <w:color w:val="auto"/>
          <w:spacing w:val="-10"/>
          <w:lang w:eastAsia="zh-CN" w:bidi="ar-SA"/>
        </w:rPr>
        <w:t>附件</w:t>
      </w:r>
      <w:r>
        <w:rPr>
          <w:rFonts w:hint="eastAsia" w:ascii="宋体" w:hAnsi="宋体" w:eastAsia="宋体" w:cs="宋体"/>
          <w:color w:val="auto"/>
          <w:spacing w:val="-10"/>
          <w:lang w:eastAsia="zh-CN" w:bidi="ar-SA"/>
        </w:rPr>
        <w:t>三 安全监理责任合同</w:t>
      </w:r>
      <w:r>
        <w:rPr>
          <w:color w:val="auto"/>
        </w:rPr>
        <w:tab/>
      </w:r>
      <w:r>
        <w:rPr>
          <w:color w:val="auto"/>
        </w:rPr>
        <w:fldChar w:fldCharType="begin"/>
      </w:r>
      <w:r>
        <w:rPr>
          <w:color w:val="auto"/>
        </w:rPr>
        <w:instrText xml:space="preserve"> PAGEREF _Toc71 \h </w:instrText>
      </w:r>
      <w:r>
        <w:rPr>
          <w:color w:val="auto"/>
        </w:rPr>
        <w:fldChar w:fldCharType="separate"/>
      </w:r>
      <w:r>
        <w:rPr>
          <w:color w:val="auto"/>
        </w:rPr>
        <w:t>101</w:t>
      </w:r>
      <w:r>
        <w:rPr>
          <w:color w:val="auto"/>
        </w:rPr>
        <w:fldChar w:fldCharType="end"/>
      </w:r>
      <w:r>
        <w:rPr>
          <w:color w:val="auto"/>
        </w:rPr>
        <w:fldChar w:fldCharType="end"/>
      </w:r>
    </w:p>
    <w:p w14:paraId="1315F926">
      <w:pPr>
        <w:pStyle w:val="37"/>
        <w:tabs>
          <w:tab w:val="right" w:leader="dot" w:pos="8730"/>
        </w:tabs>
        <w:ind w:left="480"/>
        <w:rPr>
          <w:color w:val="auto"/>
        </w:rPr>
      </w:pPr>
      <w:r>
        <w:fldChar w:fldCharType="begin"/>
      </w:r>
      <w:r>
        <w:instrText xml:space="preserve"> HYPERLINK \l "_Toc11426" </w:instrText>
      </w:r>
      <w:r>
        <w:fldChar w:fldCharType="separate"/>
      </w:r>
      <w:r>
        <w:rPr>
          <w:rFonts w:ascii="宋体" w:hAnsi="宋体" w:eastAsia="宋体" w:cs="宋体"/>
          <w:color w:val="auto"/>
          <w:spacing w:val="-10"/>
          <w:lang w:eastAsia="zh-CN" w:bidi="ar-SA"/>
        </w:rPr>
        <w:t>附件</w:t>
      </w:r>
      <w:r>
        <w:rPr>
          <w:rFonts w:hint="eastAsia" w:ascii="宋体" w:hAnsi="宋体" w:eastAsia="宋体" w:cs="宋体"/>
          <w:color w:val="auto"/>
          <w:spacing w:val="-10"/>
          <w:lang w:eastAsia="zh-CN" w:bidi="ar-SA"/>
        </w:rPr>
        <w:t xml:space="preserve">四 </w:t>
      </w:r>
      <w:r>
        <w:rPr>
          <w:rFonts w:ascii="宋体" w:hAnsi="宋体" w:eastAsia="宋体" w:cs="宋体"/>
          <w:color w:val="auto"/>
          <w:spacing w:val="-10"/>
          <w:lang w:eastAsia="zh-CN" w:bidi="ar-SA"/>
        </w:rPr>
        <w:t>履约保证金格式</w:t>
      </w:r>
      <w:r>
        <w:rPr>
          <w:color w:val="auto"/>
        </w:rPr>
        <w:tab/>
      </w:r>
      <w:r>
        <w:rPr>
          <w:color w:val="auto"/>
        </w:rPr>
        <w:fldChar w:fldCharType="begin"/>
      </w:r>
      <w:r>
        <w:rPr>
          <w:color w:val="auto"/>
        </w:rPr>
        <w:instrText xml:space="preserve"> PAGEREF _Toc11426 \h </w:instrText>
      </w:r>
      <w:r>
        <w:rPr>
          <w:color w:val="auto"/>
        </w:rPr>
        <w:fldChar w:fldCharType="separate"/>
      </w:r>
      <w:r>
        <w:rPr>
          <w:color w:val="auto"/>
        </w:rPr>
        <w:t>103</w:t>
      </w:r>
      <w:r>
        <w:rPr>
          <w:color w:val="auto"/>
        </w:rPr>
        <w:fldChar w:fldCharType="end"/>
      </w:r>
      <w:r>
        <w:rPr>
          <w:color w:val="auto"/>
        </w:rPr>
        <w:fldChar w:fldCharType="end"/>
      </w:r>
    </w:p>
    <w:p w14:paraId="4D03DC87">
      <w:pPr>
        <w:pStyle w:val="31"/>
        <w:tabs>
          <w:tab w:val="right" w:leader="dot" w:pos="8730"/>
        </w:tabs>
        <w:rPr>
          <w:color w:val="auto"/>
        </w:rPr>
      </w:pPr>
      <w:r>
        <w:fldChar w:fldCharType="begin"/>
      </w:r>
      <w:r>
        <w:instrText xml:space="preserve"> HYPERLINK \l "_Toc19388" </w:instrText>
      </w:r>
      <w:r>
        <w:fldChar w:fldCharType="separate"/>
      </w:r>
      <w:r>
        <w:rPr>
          <w:rFonts w:ascii="宋体" w:hAnsi="宋体" w:eastAsia="宋体"/>
          <w:color w:val="auto"/>
          <w:spacing w:val="-11"/>
          <w:szCs w:val="44"/>
          <w:lang w:eastAsia="zh-CN" w:bidi="ar-SA"/>
        </w:rPr>
        <w:t>第五章</w:t>
      </w:r>
      <w:r>
        <w:rPr>
          <w:rFonts w:hint="eastAsia" w:ascii="宋体" w:hAnsi="宋体" w:eastAsia="宋体"/>
          <w:color w:val="auto"/>
          <w:spacing w:val="-11"/>
          <w:szCs w:val="44"/>
          <w:lang w:eastAsia="zh-CN" w:bidi="ar-SA"/>
        </w:rPr>
        <w:t xml:space="preserve">    </w:t>
      </w:r>
      <w:r>
        <w:rPr>
          <w:rFonts w:ascii="宋体" w:hAnsi="宋体" w:eastAsia="宋体"/>
          <w:color w:val="auto"/>
          <w:spacing w:val="-11"/>
          <w:szCs w:val="44"/>
          <w:lang w:eastAsia="zh-CN" w:bidi="ar-SA"/>
        </w:rPr>
        <w:t>委托人要求</w:t>
      </w:r>
      <w:r>
        <w:rPr>
          <w:color w:val="auto"/>
        </w:rPr>
        <w:tab/>
      </w:r>
      <w:r>
        <w:rPr>
          <w:color w:val="auto"/>
        </w:rPr>
        <w:fldChar w:fldCharType="begin"/>
      </w:r>
      <w:r>
        <w:rPr>
          <w:color w:val="auto"/>
        </w:rPr>
        <w:instrText xml:space="preserve"> PAGEREF _Toc19388 \h </w:instrText>
      </w:r>
      <w:r>
        <w:rPr>
          <w:color w:val="auto"/>
        </w:rPr>
        <w:fldChar w:fldCharType="separate"/>
      </w:r>
      <w:r>
        <w:rPr>
          <w:color w:val="auto"/>
        </w:rPr>
        <w:t>105</w:t>
      </w:r>
      <w:r>
        <w:rPr>
          <w:color w:val="auto"/>
        </w:rPr>
        <w:fldChar w:fldCharType="end"/>
      </w:r>
      <w:r>
        <w:rPr>
          <w:color w:val="auto"/>
        </w:rPr>
        <w:fldChar w:fldCharType="end"/>
      </w:r>
    </w:p>
    <w:p w14:paraId="283009F3">
      <w:pPr>
        <w:pStyle w:val="37"/>
        <w:tabs>
          <w:tab w:val="right" w:leader="dot" w:pos="8730"/>
        </w:tabs>
        <w:ind w:left="480"/>
        <w:rPr>
          <w:color w:val="auto"/>
        </w:rPr>
      </w:pPr>
      <w:r>
        <w:fldChar w:fldCharType="begin"/>
      </w:r>
      <w:r>
        <w:instrText xml:space="preserve"> HYPERLINK \l "_Toc32" </w:instrText>
      </w:r>
      <w:r>
        <w:fldChar w:fldCharType="separate"/>
      </w:r>
      <w:r>
        <w:rPr>
          <w:rFonts w:hint="eastAsia" w:ascii="Arial" w:hAnsi="Arial" w:eastAsia="宋体"/>
          <w:bCs/>
          <w:color w:val="auto"/>
          <w:kern w:val="2"/>
          <w:szCs w:val="32"/>
          <w:lang w:eastAsia="zh-CN" w:bidi="ar-SA"/>
        </w:rPr>
        <w:t>一、监理要求</w:t>
      </w:r>
      <w:r>
        <w:rPr>
          <w:color w:val="auto"/>
        </w:rPr>
        <w:tab/>
      </w:r>
      <w:r>
        <w:rPr>
          <w:color w:val="auto"/>
        </w:rPr>
        <w:fldChar w:fldCharType="begin"/>
      </w:r>
      <w:r>
        <w:rPr>
          <w:color w:val="auto"/>
        </w:rPr>
        <w:instrText xml:space="preserve"> PAGEREF _Toc32 \h </w:instrText>
      </w:r>
      <w:r>
        <w:rPr>
          <w:color w:val="auto"/>
        </w:rPr>
        <w:fldChar w:fldCharType="separate"/>
      </w:r>
      <w:r>
        <w:rPr>
          <w:color w:val="auto"/>
        </w:rPr>
        <w:t>107</w:t>
      </w:r>
      <w:r>
        <w:rPr>
          <w:color w:val="auto"/>
        </w:rPr>
        <w:fldChar w:fldCharType="end"/>
      </w:r>
      <w:r>
        <w:rPr>
          <w:color w:val="auto"/>
        </w:rPr>
        <w:fldChar w:fldCharType="end"/>
      </w:r>
    </w:p>
    <w:p w14:paraId="55FA8020">
      <w:pPr>
        <w:pStyle w:val="22"/>
        <w:tabs>
          <w:tab w:val="right" w:leader="dot" w:pos="8730"/>
        </w:tabs>
        <w:ind w:left="960"/>
        <w:rPr>
          <w:color w:val="auto"/>
        </w:rPr>
      </w:pPr>
      <w:r>
        <w:fldChar w:fldCharType="begin"/>
      </w:r>
      <w:r>
        <w:instrText xml:space="preserve"> HYPERLINK \l "_Toc29516" </w:instrText>
      </w:r>
      <w:r>
        <w:fldChar w:fldCharType="separate"/>
      </w:r>
      <w:r>
        <w:rPr>
          <w:rFonts w:hint="eastAsia" w:eastAsia="宋体"/>
          <w:bCs/>
          <w:color w:val="auto"/>
          <w:kern w:val="2"/>
          <w:szCs w:val="32"/>
          <w:lang w:eastAsia="zh-CN" w:bidi="ar-SA"/>
        </w:rPr>
        <w:t>1、项目概况</w:t>
      </w:r>
      <w:r>
        <w:rPr>
          <w:color w:val="auto"/>
        </w:rPr>
        <w:tab/>
      </w:r>
      <w:r>
        <w:rPr>
          <w:color w:val="auto"/>
        </w:rPr>
        <w:fldChar w:fldCharType="begin"/>
      </w:r>
      <w:r>
        <w:rPr>
          <w:color w:val="auto"/>
        </w:rPr>
        <w:instrText xml:space="preserve"> PAGEREF _Toc29516 \h </w:instrText>
      </w:r>
      <w:r>
        <w:rPr>
          <w:color w:val="auto"/>
        </w:rPr>
        <w:fldChar w:fldCharType="separate"/>
      </w:r>
      <w:r>
        <w:rPr>
          <w:color w:val="auto"/>
        </w:rPr>
        <w:t>107</w:t>
      </w:r>
      <w:r>
        <w:rPr>
          <w:color w:val="auto"/>
        </w:rPr>
        <w:fldChar w:fldCharType="end"/>
      </w:r>
      <w:r>
        <w:rPr>
          <w:color w:val="auto"/>
        </w:rPr>
        <w:fldChar w:fldCharType="end"/>
      </w:r>
    </w:p>
    <w:p w14:paraId="06122518">
      <w:pPr>
        <w:pStyle w:val="22"/>
        <w:tabs>
          <w:tab w:val="right" w:leader="dot" w:pos="8730"/>
        </w:tabs>
        <w:ind w:left="960"/>
        <w:rPr>
          <w:color w:val="auto"/>
        </w:rPr>
      </w:pPr>
      <w:r>
        <w:fldChar w:fldCharType="begin"/>
      </w:r>
      <w:r>
        <w:instrText xml:space="preserve"> HYPERLINK \l "_Toc22639" </w:instrText>
      </w:r>
      <w:r>
        <w:fldChar w:fldCharType="separate"/>
      </w:r>
      <w:r>
        <w:rPr>
          <w:rFonts w:hint="eastAsia" w:eastAsia="宋体"/>
          <w:bCs/>
          <w:color w:val="auto"/>
          <w:kern w:val="2"/>
          <w:szCs w:val="32"/>
          <w:lang w:eastAsia="zh-CN" w:bidi="ar-SA"/>
        </w:rPr>
        <w:t>2、监理范围及内容</w:t>
      </w:r>
      <w:r>
        <w:rPr>
          <w:color w:val="auto"/>
        </w:rPr>
        <w:tab/>
      </w:r>
      <w:r>
        <w:rPr>
          <w:color w:val="auto"/>
        </w:rPr>
        <w:fldChar w:fldCharType="begin"/>
      </w:r>
      <w:r>
        <w:rPr>
          <w:color w:val="auto"/>
        </w:rPr>
        <w:instrText xml:space="preserve"> PAGEREF _Toc22639 \h </w:instrText>
      </w:r>
      <w:r>
        <w:rPr>
          <w:color w:val="auto"/>
        </w:rPr>
        <w:fldChar w:fldCharType="separate"/>
      </w:r>
      <w:r>
        <w:rPr>
          <w:color w:val="auto"/>
        </w:rPr>
        <w:t>107</w:t>
      </w:r>
      <w:r>
        <w:rPr>
          <w:color w:val="auto"/>
        </w:rPr>
        <w:fldChar w:fldCharType="end"/>
      </w:r>
      <w:r>
        <w:rPr>
          <w:color w:val="auto"/>
        </w:rPr>
        <w:fldChar w:fldCharType="end"/>
      </w:r>
    </w:p>
    <w:p w14:paraId="0125B88E">
      <w:pPr>
        <w:pStyle w:val="22"/>
        <w:tabs>
          <w:tab w:val="right" w:leader="dot" w:pos="8730"/>
        </w:tabs>
        <w:ind w:left="960"/>
        <w:rPr>
          <w:color w:val="auto"/>
        </w:rPr>
      </w:pPr>
      <w:r>
        <w:fldChar w:fldCharType="begin"/>
      </w:r>
      <w:r>
        <w:instrText xml:space="preserve"> HYPERLINK \l "_Toc24064" </w:instrText>
      </w:r>
      <w:r>
        <w:fldChar w:fldCharType="separate"/>
      </w:r>
      <w:r>
        <w:rPr>
          <w:rFonts w:hint="eastAsia" w:eastAsia="宋体"/>
          <w:bCs/>
          <w:color w:val="auto"/>
          <w:kern w:val="2"/>
          <w:szCs w:val="32"/>
          <w:lang w:eastAsia="zh-CN" w:bidi="ar-SA"/>
        </w:rPr>
        <w:t>3、监理依据</w:t>
      </w:r>
      <w:r>
        <w:rPr>
          <w:color w:val="auto"/>
        </w:rPr>
        <w:tab/>
      </w:r>
      <w:r>
        <w:rPr>
          <w:color w:val="auto"/>
        </w:rPr>
        <w:fldChar w:fldCharType="begin"/>
      </w:r>
      <w:r>
        <w:rPr>
          <w:color w:val="auto"/>
        </w:rPr>
        <w:instrText xml:space="preserve"> PAGEREF _Toc24064 \h </w:instrText>
      </w:r>
      <w:r>
        <w:rPr>
          <w:color w:val="auto"/>
        </w:rPr>
        <w:fldChar w:fldCharType="separate"/>
      </w:r>
      <w:r>
        <w:rPr>
          <w:color w:val="auto"/>
        </w:rPr>
        <w:t>107</w:t>
      </w:r>
      <w:r>
        <w:rPr>
          <w:color w:val="auto"/>
        </w:rPr>
        <w:fldChar w:fldCharType="end"/>
      </w:r>
      <w:r>
        <w:rPr>
          <w:color w:val="auto"/>
        </w:rPr>
        <w:fldChar w:fldCharType="end"/>
      </w:r>
    </w:p>
    <w:p w14:paraId="1F25C0DB">
      <w:pPr>
        <w:pStyle w:val="22"/>
        <w:tabs>
          <w:tab w:val="right" w:leader="dot" w:pos="8730"/>
        </w:tabs>
        <w:ind w:left="960"/>
        <w:rPr>
          <w:color w:val="auto"/>
        </w:rPr>
      </w:pPr>
      <w:r>
        <w:fldChar w:fldCharType="begin"/>
      </w:r>
      <w:r>
        <w:instrText xml:space="preserve"> HYPERLINK \l "_Toc7057" </w:instrText>
      </w:r>
      <w:r>
        <w:fldChar w:fldCharType="separate"/>
      </w:r>
      <w:r>
        <w:rPr>
          <w:rFonts w:hint="eastAsia" w:eastAsia="宋体"/>
          <w:bCs/>
          <w:color w:val="auto"/>
          <w:kern w:val="2"/>
          <w:szCs w:val="32"/>
          <w:lang w:eastAsia="zh-CN" w:bidi="ar-SA"/>
        </w:rPr>
        <w:t>4、监理人员要求</w:t>
      </w:r>
      <w:r>
        <w:rPr>
          <w:color w:val="auto"/>
        </w:rPr>
        <w:tab/>
      </w:r>
      <w:r>
        <w:rPr>
          <w:color w:val="auto"/>
        </w:rPr>
        <w:fldChar w:fldCharType="begin"/>
      </w:r>
      <w:r>
        <w:rPr>
          <w:color w:val="auto"/>
        </w:rPr>
        <w:instrText xml:space="preserve"> PAGEREF _Toc7057 \h </w:instrText>
      </w:r>
      <w:r>
        <w:rPr>
          <w:color w:val="auto"/>
        </w:rPr>
        <w:fldChar w:fldCharType="separate"/>
      </w:r>
      <w:r>
        <w:rPr>
          <w:color w:val="auto"/>
        </w:rPr>
        <w:t>107</w:t>
      </w:r>
      <w:r>
        <w:rPr>
          <w:color w:val="auto"/>
        </w:rPr>
        <w:fldChar w:fldCharType="end"/>
      </w:r>
      <w:r>
        <w:rPr>
          <w:color w:val="auto"/>
        </w:rPr>
        <w:fldChar w:fldCharType="end"/>
      </w:r>
    </w:p>
    <w:p w14:paraId="06645DEA">
      <w:pPr>
        <w:pStyle w:val="22"/>
        <w:tabs>
          <w:tab w:val="right" w:leader="dot" w:pos="8730"/>
        </w:tabs>
        <w:ind w:left="960"/>
        <w:rPr>
          <w:color w:val="auto"/>
        </w:rPr>
      </w:pPr>
      <w:r>
        <w:fldChar w:fldCharType="begin"/>
      </w:r>
      <w:r>
        <w:instrText xml:space="preserve"> HYPERLINK \l "_Toc28803" </w:instrText>
      </w:r>
      <w:r>
        <w:fldChar w:fldCharType="separate"/>
      </w:r>
      <w:r>
        <w:rPr>
          <w:rFonts w:eastAsia="宋体"/>
          <w:bCs/>
          <w:color w:val="auto"/>
          <w:kern w:val="2"/>
          <w:szCs w:val="32"/>
          <w:lang w:eastAsia="zh-CN" w:bidi="ar-SA"/>
        </w:rPr>
        <w:t>5</w:t>
      </w:r>
      <w:r>
        <w:rPr>
          <w:rFonts w:hint="eastAsia" w:eastAsia="宋体"/>
          <w:bCs/>
          <w:color w:val="auto"/>
          <w:kern w:val="2"/>
          <w:szCs w:val="32"/>
          <w:lang w:eastAsia="zh-CN" w:bidi="ar-SA"/>
        </w:rPr>
        <w:t>、试验检测要求</w:t>
      </w:r>
      <w:r>
        <w:rPr>
          <w:color w:val="auto"/>
        </w:rPr>
        <w:tab/>
      </w:r>
      <w:r>
        <w:rPr>
          <w:color w:val="auto"/>
        </w:rPr>
        <w:fldChar w:fldCharType="begin"/>
      </w:r>
      <w:r>
        <w:rPr>
          <w:color w:val="auto"/>
        </w:rPr>
        <w:instrText xml:space="preserve"> PAGEREF _Toc28803 \h </w:instrText>
      </w:r>
      <w:r>
        <w:rPr>
          <w:color w:val="auto"/>
        </w:rPr>
        <w:fldChar w:fldCharType="separate"/>
      </w:r>
      <w:r>
        <w:rPr>
          <w:color w:val="auto"/>
        </w:rPr>
        <w:t>107</w:t>
      </w:r>
      <w:r>
        <w:rPr>
          <w:color w:val="auto"/>
        </w:rPr>
        <w:fldChar w:fldCharType="end"/>
      </w:r>
      <w:r>
        <w:rPr>
          <w:color w:val="auto"/>
        </w:rPr>
        <w:fldChar w:fldCharType="end"/>
      </w:r>
    </w:p>
    <w:p w14:paraId="53739C81">
      <w:pPr>
        <w:pStyle w:val="37"/>
        <w:tabs>
          <w:tab w:val="right" w:leader="dot" w:pos="8730"/>
        </w:tabs>
        <w:ind w:left="480"/>
        <w:rPr>
          <w:color w:val="auto"/>
        </w:rPr>
      </w:pPr>
      <w:r>
        <w:fldChar w:fldCharType="begin"/>
      </w:r>
      <w:r>
        <w:instrText xml:space="preserve"> HYPERLINK \l "_Toc8044" </w:instrText>
      </w:r>
      <w:r>
        <w:fldChar w:fldCharType="separate"/>
      </w:r>
      <w:r>
        <w:rPr>
          <w:rFonts w:hint="eastAsia" w:ascii="Arial" w:hAnsi="Arial" w:eastAsia="宋体"/>
          <w:bCs/>
          <w:color w:val="auto"/>
          <w:kern w:val="2"/>
          <w:szCs w:val="32"/>
          <w:lang w:eastAsia="zh-CN" w:bidi="ar-SA"/>
        </w:rPr>
        <w:t>二、适用规范标准</w:t>
      </w:r>
      <w:r>
        <w:rPr>
          <w:color w:val="auto"/>
        </w:rPr>
        <w:tab/>
      </w:r>
      <w:r>
        <w:rPr>
          <w:color w:val="auto"/>
        </w:rPr>
        <w:fldChar w:fldCharType="begin"/>
      </w:r>
      <w:r>
        <w:rPr>
          <w:color w:val="auto"/>
        </w:rPr>
        <w:instrText xml:space="preserve"> PAGEREF _Toc8044 \h </w:instrText>
      </w:r>
      <w:r>
        <w:rPr>
          <w:color w:val="auto"/>
        </w:rPr>
        <w:fldChar w:fldCharType="separate"/>
      </w:r>
      <w:r>
        <w:rPr>
          <w:color w:val="auto"/>
        </w:rPr>
        <w:t>107</w:t>
      </w:r>
      <w:r>
        <w:rPr>
          <w:color w:val="auto"/>
        </w:rPr>
        <w:fldChar w:fldCharType="end"/>
      </w:r>
      <w:r>
        <w:rPr>
          <w:color w:val="auto"/>
        </w:rPr>
        <w:fldChar w:fldCharType="end"/>
      </w:r>
    </w:p>
    <w:p w14:paraId="1547F5CB">
      <w:pPr>
        <w:pStyle w:val="37"/>
        <w:tabs>
          <w:tab w:val="right" w:leader="dot" w:pos="8730"/>
        </w:tabs>
        <w:ind w:left="480"/>
        <w:rPr>
          <w:color w:val="auto"/>
        </w:rPr>
      </w:pPr>
      <w:r>
        <w:fldChar w:fldCharType="begin"/>
      </w:r>
      <w:r>
        <w:instrText xml:space="preserve"> HYPERLINK \l "_Toc17765" </w:instrText>
      </w:r>
      <w:r>
        <w:fldChar w:fldCharType="separate"/>
      </w:r>
      <w:r>
        <w:rPr>
          <w:rFonts w:hint="eastAsia" w:ascii="Arial" w:hAnsi="Arial" w:eastAsia="宋体"/>
          <w:bCs/>
          <w:color w:val="auto"/>
          <w:kern w:val="2"/>
          <w:szCs w:val="32"/>
          <w:lang w:eastAsia="zh-CN" w:bidi="ar-SA"/>
        </w:rPr>
        <w:t>三、成果文件要求</w:t>
      </w:r>
      <w:r>
        <w:rPr>
          <w:color w:val="auto"/>
        </w:rPr>
        <w:tab/>
      </w:r>
      <w:r>
        <w:rPr>
          <w:color w:val="auto"/>
        </w:rPr>
        <w:fldChar w:fldCharType="begin"/>
      </w:r>
      <w:r>
        <w:rPr>
          <w:color w:val="auto"/>
        </w:rPr>
        <w:instrText xml:space="preserve"> PAGEREF _Toc17765 \h </w:instrText>
      </w:r>
      <w:r>
        <w:rPr>
          <w:color w:val="auto"/>
        </w:rPr>
        <w:fldChar w:fldCharType="separate"/>
      </w:r>
      <w:r>
        <w:rPr>
          <w:color w:val="auto"/>
        </w:rPr>
        <w:t>110</w:t>
      </w:r>
      <w:r>
        <w:rPr>
          <w:color w:val="auto"/>
        </w:rPr>
        <w:fldChar w:fldCharType="end"/>
      </w:r>
      <w:r>
        <w:rPr>
          <w:color w:val="auto"/>
        </w:rPr>
        <w:fldChar w:fldCharType="end"/>
      </w:r>
    </w:p>
    <w:p w14:paraId="04AD1E5A">
      <w:pPr>
        <w:pStyle w:val="22"/>
        <w:tabs>
          <w:tab w:val="right" w:leader="dot" w:pos="8730"/>
        </w:tabs>
        <w:ind w:left="960"/>
        <w:rPr>
          <w:color w:val="auto"/>
        </w:rPr>
      </w:pPr>
      <w:r>
        <w:fldChar w:fldCharType="begin"/>
      </w:r>
      <w:r>
        <w:instrText xml:space="preserve"> HYPERLINK \l "_Toc18316" </w:instrText>
      </w:r>
      <w:r>
        <w:fldChar w:fldCharType="separate"/>
      </w:r>
      <w:r>
        <w:rPr>
          <w:rFonts w:hint="eastAsia" w:eastAsia="宋体"/>
          <w:bCs/>
          <w:color w:val="auto"/>
          <w:kern w:val="2"/>
          <w:szCs w:val="32"/>
          <w:lang w:eastAsia="zh-CN" w:bidi="ar-SA"/>
        </w:rPr>
        <w:t>1、成果文件的组成</w:t>
      </w:r>
      <w:r>
        <w:rPr>
          <w:color w:val="auto"/>
        </w:rPr>
        <w:tab/>
      </w:r>
      <w:r>
        <w:rPr>
          <w:color w:val="auto"/>
        </w:rPr>
        <w:fldChar w:fldCharType="begin"/>
      </w:r>
      <w:r>
        <w:rPr>
          <w:color w:val="auto"/>
        </w:rPr>
        <w:instrText xml:space="preserve"> PAGEREF _Toc18316 \h </w:instrText>
      </w:r>
      <w:r>
        <w:rPr>
          <w:color w:val="auto"/>
        </w:rPr>
        <w:fldChar w:fldCharType="separate"/>
      </w:r>
      <w:r>
        <w:rPr>
          <w:color w:val="auto"/>
        </w:rPr>
        <w:t>110</w:t>
      </w:r>
      <w:r>
        <w:rPr>
          <w:color w:val="auto"/>
        </w:rPr>
        <w:fldChar w:fldCharType="end"/>
      </w:r>
      <w:r>
        <w:rPr>
          <w:color w:val="auto"/>
        </w:rPr>
        <w:fldChar w:fldCharType="end"/>
      </w:r>
    </w:p>
    <w:p w14:paraId="00721F9E">
      <w:pPr>
        <w:pStyle w:val="22"/>
        <w:tabs>
          <w:tab w:val="right" w:leader="dot" w:pos="8730"/>
        </w:tabs>
        <w:ind w:left="960"/>
        <w:rPr>
          <w:color w:val="auto"/>
        </w:rPr>
      </w:pPr>
      <w:r>
        <w:fldChar w:fldCharType="begin"/>
      </w:r>
      <w:r>
        <w:instrText xml:space="preserve"> HYPERLINK \l "_Toc85" </w:instrText>
      </w:r>
      <w:r>
        <w:fldChar w:fldCharType="separate"/>
      </w:r>
      <w:r>
        <w:rPr>
          <w:rFonts w:hint="eastAsia" w:eastAsia="宋体"/>
          <w:bCs/>
          <w:color w:val="auto"/>
          <w:kern w:val="2"/>
          <w:szCs w:val="32"/>
          <w:lang w:eastAsia="zh-CN" w:bidi="ar-SA"/>
        </w:rPr>
        <w:t>2、成果文件的深度</w:t>
      </w:r>
      <w:r>
        <w:rPr>
          <w:color w:val="auto"/>
        </w:rPr>
        <w:tab/>
      </w:r>
      <w:r>
        <w:rPr>
          <w:color w:val="auto"/>
        </w:rPr>
        <w:fldChar w:fldCharType="begin"/>
      </w:r>
      <w:r>
        <w:rPr>
          <w:color w:val="auto"/>
        </w:rPr>
        <w:instrText xml:space="preserve"> PAGEREF _Toc85 \h </w:instrText>
      </w:r>
      <w:r>
        <w:rPr>
          <w:color w:val="auto"/>
        </w:rPr>
        <w:fldChar w:fldCharType="separate"/>
      </w:r>
      <w:r>
        <w:rPr>
          <w:color w:val="auto"/>
        </w:rPr>
        <w:t>110</w:t>
      </w:r>
      <w:r>
        <w:rPr>
          <w:color w:val="auto"/>
        </w:rPr>
        <w:fldChar w:fldCharType="end"/>
      </w:r>
      <w:r>
        <w:rPr>
          <w:color w:val="auto"/>
        </w:rPr>
        <w:fldChar w:fldCharType="end"/>
      </w:r>
    </w:p>
    <w:p w14:paraId="3533975D">
      <w:pPr>
        <w:pStyle w:val="22"/>
        <w:tabs>
          <w:tab w:val="right" w:leader="dot" w:pos="8730"/>
        </w:tabs>
        <w:ind w:left="960"/>
        <w:rPr>
          <w:color w:val="auto"/>
        </w:rPr>
      </w:pPr>
      <w:r>
        <w:fldChar w:fldCharType="begin"/>
      </w:r>
      <w:r>
        <w:instrText xml:space="preserve"> HYPERLINK \l "_Toc1515" </w:instrText>
      </w:r>
      <w:r>
        <w:fldChar w:fldCharType="separate"/>
      </w:r>
      <w:r>
        <w:rPr>
          <w:rFonts w:hint="eastAsia" w:eastAsia="宋体"/>
          <w:bCs/>
          <w:color w:val="auto"/>
          <w:kern w:val="2"/>
          <w:szCs w:val="32"/>
          <w:lang w:eastAsia="zh-CN" w:bidi="ar-SA"/>
        </w:rPr>
        <w:t>3、成果文件的格式要求</w:t>
      </w:r>
      <w:r>
        <w:rPr>
          <w:color w:val="auto"/>
        </w:rPr>
        <w:tab/>
      </w:r>
      <w:r>
        <w:rPr>
          <w:color w:val="auto"/>
        </w:rPr>
        <w:fldChar w:fldCharType="begin"/>
      </w:r>
      <w:r>
        <w:rPr>
          <w:color w:val="auto"/>
        </w:rPr>
        <w:instrText xml:space="preserve"> PAGEREF _Toc1515 \h </w:instrText>
      </w:r>
      <w:r>
        <w:rPr>
          <w:color w:val="auto"/>
        </w:rPr>
        <w:fldChar w:fldCharType="separate"/>
      </w:r>
      <w:r>
        <w:rPr>
          <w:color w:val="auto"/>
        </w:rPr>
        <w:t>110</w:t>
      </w:r>
      <w:r>
        <w:rPr>
          <w:color w:val="auto"/>
        </w:rPr>
        <w:fldChar w:fldCharType="end"/>
      </w:r>
      <w:r>
        <w:rPr>
          <w:color w:val="auto"/>
        </w:rPr>
        <w:fldChar w:fldCharType="end"/>
      </w:r>
    </w:p>
    <w:p w14:paraId="17428FA6">
      <w:pPr>
        <w:pStyle w:val="22"/>
        <w:tabs>
          <w:tab w:val="right" w:leader="dot" w:pos="8730"/>
        </w:tabs>
        <w:ind w:left="960"/>
        <w:rPr>
          <w:color w:val="auto"/>
        </w:rPr>
      </w:pPr>
      <w:r>
        <w:fldChar w:fldCharType="begin"/>
      </w:r>
      <w:r>
        <w:instrText xml:space="preserve"> HYPERLINK \l "_Toc23622" </w:instrText>
      </w:r>
      <w:r>
        <w:fldChar w:fldCharType="separate"/>
      </w:r>
      <w:r>
        <w:rPr>
          <w:rFonts w:hint="eastAsia" w:eastAsia="宋体"/>
          <w:bCs/>
          <w:color w:val="auto"/>
          <w:kern w:val="2"/>
          <w:szCs w:val="32"/>
          <w:lang w:eastAsia="zh-CN" w:bidi="ar-SA"/>
        </w:rPr>
        <w:t>4、成果文件的份数要求</w:t>
      </w:r>
      <w:r>
        <w:rPr>
          <w:color w:val="auto"/>
        </w:rPr>
        <w:tab/>
      </w:r>
      <w:r>
        <w:rPr>
          <w:color w:val="auto"/>
        </w:rPr>
        <w:fldChar w:fldCharType="begin"/>
      </w:r>
      <w:r>
        <w:rPr>
          <w:color w:val="auto"/>
        </w:rPr>
        <w:instrText xml:space="preserve"> PAGEREF _Toc23622 \h </w:instrText>
      </w:r>
      <w:r>
        <w:rPr>
          <w:color w:val="auto"/>
        </w:rPr>
        <w:fldChar w:fldCharType="separate"/>
      </w:r>
      <w:r>
        <w:rPr>
          <w:color w:val="auto"/>
        </w:rPr>
        <w:t>110</w:t>
      </w:r>
      <w:r>
        <w:rPr>
          <w:color w:val="auto"/>
        </w:rPr>
        <w:fldChar w:fldCharType="end"/>
      </w:r>
      <w:r>
        <w:rPr>
          <w:color w:val="auto"/>
        </w:rPr>
        <w:fldChar w:fldCharType="end"/>
      </w:r>
    </w:p>
    <w:p w14:paraId="6F8D8F82">
      <w:pPr>
        <w:pStyle w:val="22"/>
        <w:tabs>
          <w:tab w:val="right" w:leader="dot" w:pos="8730"/>
        </w:tabs>
        <w:ind w:left="960"/>
        <w:rPr>
          <w:color w:val="auto"/>
        </w:rPr>
      </w:pPr>
      <w:r>
        <w:fldChar w:fldCharType="begin"/>
      </w:r>
      <w:r>
        <w:instrText xml:space="preserve"> HYPERLINK \l "_Toc32527" </w:instrText>
      </w:r>
      <w:r>
        <w:fldChar w:fldCharType="separate"/>
      </w:r>
      <w:r>
        <w:rPr>
          <w:rFonts w:hint="eastAsia" w:eastAsia="宋体"/>
          <w:bCs/>
          <w:color w:val="auto"/>
          <w:kern w:val="2"/>
          <w:szCs w:val="32"/>
          <w:lang w:eastAsia="zh-CN" w:bidi="ar-SA"/>
        </w:rPr>
        <w:t>5、成果文件的载体要求</w:t>
      </w:r>
      <w:r>
        <w:rPr>
          <w:color w:val="auto"/>
        </w:rPr>
        <w:tab/>
      </w:r>
      <w:r>
        <w:rPr>
          <w:color w:val="auto"/>
        </w:rPr>
        <w:fldChar w:fldCharType="begin"/>
      </w:r>
      <w:r>
        <w:rPr>
          <w:color w:val="auto"/>
        </w:rPr>
        <w:instrText xml:space="preserve"> PAGEREF _Toc32527 \h </w:instrText>
      </w:r>
      <w:r>
        <w:rPr>
          <w:color w:val="auto"/>
        </w:rPr>
        <w:fldChar w:fldCharType="separate"/>
      </w:r>
      <w:r>
        <w:rPr>
          <w:color w:val="auto"/>
        </w:rPr>
        <w:t>110</w:t>
      </w:r>
      <w:r>
        <w:rPr>
          <w:color w:val="auto"/>
        </w:rPr>
        <w:fldChar w:fldCharType="end"/>
      </w:r>
      <w:r>
        <w:rPr>
          <w:color w:val="auto"/>
        </w:rPr>
        <w:fldChar w:fldCharType="end"/>
      </w:r>
    </w:p>
    <w:p w14:paraId="24C75943">
      <w:pPr>
        <w:pStyle w:val="22"/>
        <w:tabs>
          <w:tab w:val="right" w:leader="dot" w:pos="8730"/>
        </w:tabs>
        <w:ind w:left="960"/>
        <w:rPr>
          <w:color w:val="auto"/>
        </w:rPr>
      </w:pPr>
      <w:r>
        <w:fldChar w:fldCharType="begin"/>
      </w:r>
      <w:r>
        <w:instrText xml:space="preserve"> HYPERLINK \l "_Toc21401" </w:instrText>
      </w:r>
      <w:r>
        <w:fldChar w:fldCharType="separate"/>
      </w:r>
      <w:r>
        <w:rPr>
          <w:rFonts w:hint="eastAsia" w:eastAsia="宋体"/>
          <w:bCs/>
          <w:color w:val="auto"/>
          <w:kern w:val="2"/>
          <w:szCs w:val="32"/>
          <w:lang w:eastAsia="zh-CN" w:bidi="ar-SA"/>
        </w:rPr>
        <w:t>6、成果文件的其他要求</w:t>
      </w:r>
      <w:r>
        <w:rPr>
          <w:color w:val="auto"/>
        </w:rPr>
        <w:tab/>
      </w:r>
      <w:r>
        <w:rPr>
          <w:color w:val="auto"/>
        </w:rPr>
        <w:fldChar w:fldCharType="begin"/>
      </w:r>
      <w:r>
        <w:rPr>
          <w:color w:val="auto"/>
        </w:rPr>
        <w:instrText xml:space="preserve"> PAGEREF _Toc21401 \h </w:instrText>
      </w:r>
      <w:r>
        <w:rPr>
          <w:color w:val="auto"/>
        </w:rPr>
        <w:fldChar w:fldCharType="separate"/>
      </w:r>
      <w:r>
        <w:rPr>
          <w:color w:val="auto"/>
        </w:rPr>
        <w:t>111</w:t>
      </w:r>
      <w:r>
        <w:rPr>
          <w:color w:val="auto"/>
        </w:rPr>
        <w:fldChar w:fldCharType="end"/>
      </w:r>
      <w:r>
        <w:rPr>
          <w:color w:val="auto"/>
        </w:rPr>
        <w:fldChar w:fldCharType="end"/>
      </w:r>
    </w:p>
    <w:p w14:paraId="0EB83848">
      <w:pPr>
        <w:pStyle w:val="37"/>
        <w:tabs>
          <w:tab w:val="right" w:leader="dot" w:pos="8730"/>
        </w:tabs>
        <w:ind w:left="480"/>
        <w:rPr>
          <w:color w:val="auto"/>
        </w:rPr>
      </w:pPr>
      <w:r>
        <w:fldChar w:fldCharType="begin"/>
      </w:r>
      <w:r>
        <w:instrText xml:space="preserve"> HYPERLINK \l "_Toc21500" </w:instrText>
      </w:r>
      <w:r>
        <w:fldChar w:fldCharType="separate"/>
      </w:r>
      <w:r>
        <w:rPr>
          <w:rFonts w:hint="eastAsia" w:ascii="Arial" w:hAnsi="Arial" w:eastAsia="宋体"/>
          <w:bCs/>
          <w:color w:val="auto"/>
          <w:kern w:val="2"/>
          <w:szCs w:val="32"/>
          <w:lang w:eastAsia="zh-CN" w:bidi="ar-SA"/>
        </w:rPr>
        <w:t>四、委托人提供的资料</w:t>
      </w:r>
      <w:r>
        <w:rPr>
          <w:color w:val="auto"/>
        </w:rPr>
        <w:tab/>
      </w:r>
      <w:r>
        <w:rPr>
          <w:color w:val="auto"/>
        </w:rPr>
        <w:fldChar w:fldCharType="begin"/>
      </w:r>
      <w:r>
        <w:rPr>
          <w:color w:val="auto"/>
        </w:rPr>
        <w:instrText xml:space="preserve"> PAGEREF _Toc21500 \h </w:instrText>
      </w:r>
      <w:r>
        <w:rPr>
          <w:color w:val="auto"/>
        </w:rPr>
        <w:fldChar w:fldCharType="separate"/>
      </w:r>
      <w:r>
        <w:rPr>
          <w:color w:val="auto"/>
        </w:rPr>
        <w:t>111</w:t>
      </w:r>
      <w:r>
        <w:rPr>
          <w:color w:val="auto"/>
        </w:rPr>
        <w:fldChar w:fldCharType="end"/>
      </w:r>
      <w:r>
        <w:rPr>
          <w:color w:val="auto"/>
        </w:rPr>
        <w:fldChar w:fldCharType="end"/>
      </w:r>
    </w:p>
    <w:p w14:paraId="4C53ECEF">
      <w:pPr>
        <w:pStyle w:val="37"/>
        <w:tabs>
          <w:tab w:val="right" w:leader="dot" w:pos="8730"/>
        </w:tabs>
        <w:ind w:left="480"/>
        <w:rPr>
          <w:color w:val="auto"/>
        </w:rPr>
      </w:pPr>
      <w:r>
        <w:fldChar w:fldCharType="begin"/>
      </w:r>
      <w:r>
        <w:instrText xml:space="preserve"> HYPERLINK \l "_Toc31428" </w:instrText>
      </w:r>
      <w:r>
        <w:fldChar w:fldCharType="separate"/>
      </w:r>
      <w:r>
        <w:rPr>
          <w:rFonts w:hint="eastAsia" w:ascii="Arial" w:hAnsi="Arial" w:eastAsia="宋体"/>
          <w:bCs/>
          <w:color w:val="auto"/>
          <w:kern w:val="2"/>
          <w:szCs w:val="32"/>
          <w:lang w:eastAsia="zh-CN" w:bidi="ar-SA"/>
        </w:rPr>
        <w:t>五、委托人提供的便利条件</w:t>
      </w:r>
      <w:r>
        <w:rPr>
          <w:color w:val="auto"/>
        </w:rPr>
        <w:tab/>
      </w:r>
      <w:r>
        <w:rPr>
          <w:color w:val="auto"/>
        </w:rPr>
        <w:fldChar w:fldCharType="begin"/>
      </w:r>
      <w:r>
        <w:rPr>
          <w:color w:val="auto"/>
        </w:rPr>
        <w:instrText xml:space="preserve"> PAGEREF _Toc31428 \h </w:instrText>
      </w:r>
      <w:r>
        <w:rPr>
          <w:color w:val="auto"/>
        </w:rPr>
        <w:fldChar w:fldCharType="separate"/>
      </w:r>
      <w:r>
        <w:rPr>
          <w:color w:val="auto"/>
        </w:rPr>
        <w:t>111</w:t>
      </w:r>
      <w:r>
        <w:rPr>
          <w:color w:val="auto"/>
        </w:rPr>
        <w:fldChar w:fldCharType="end"/>
      </w:r>
      <w:r>
        <w:rPr>
          <w:color w:val="auto"/>
        </w:rPr>
        <w:fldChar w:fldCharType="end"/>
      </w:r>
    </w:p>
    <w:p w14:paraId="4AB5714D">
      <w:pPr>
        <w:pStyle w:val="37"/>
        <w:tabs>
          <w:tab w:val="right" w:leader="dot" w:pos="8730"/>
        </w:tabs>
        <w:ind w:left="480"/>
        <w:rPr>
          <w:color w:val="auto"/>
        </w:rPr>
      </w:pPr>
      <w:r>
        <w:fldChar w:fldCharType="begin"/>
      </w:r>
      <w:r>
        <w:instrText xml:space="preserve"> HYPERLINK \l "_Toc26824" </w:instrText>
      </w:r>
      <w:r>
        <w:fldChar w:fldCharType="separate"/>
      </w:r>
      <w:r>
        <w:rPr>
          <w:rFonts w:hint="eastAsia" w:ascii="Arial" w:hAnsi="Arial" w:eastAsia="宋体"/>
          <w:bCs/>
          <w:color w:val="auto"/>
          <w:kern w:val="2"/>
          <w:szCs w:val="32"/>
          <w:lang w:eastAsia="zh-CN" w:bidi="ar-SA"/>
        </w:rPr>
        <w:t>六、监理人需要自备的工作条件</w:t>
      </w:r>
      <w:r>
        <w:rPr>
          <w:color w:val="auto"/>
        </w:rPr>
        <w:tab/>
      </w:r>
      <w:r>
        <w:rPr>
          <w:color w:val="auto"/>
        </w:rPr>
        <w:fldChar w:fldCharType="begin"/>
      </w:r>
      <w:r>
        <w:rPr>
          <w:color w:val="auto"/>
        </w:rPr>
        <w:instrText xml:space="preserve"> PAGEREF _Toc26824 \h </w:instrText>
      </w:r>
      <w:r>
        <w:rPr>
          <w:color w:val="auto"/>
        </w:rPr>
        <w:fldChar w:fldCharType="separate"/>
      </w:r>
      <w:r>
        <w:rPr>
          <w:color w:val="auto"/>
        </w:rPr>
        <w:t>111</w:t>
      </w:r>
      <w:r>
        <w:rPr>
          <w:color w:val="auto"/>
        </w:rPr>
        <w:fldChar w:fldCharType="end"/>
      </w:r>
      <w:r>
        <w:rPr>
          <w:color w:val="auto"/>
        </w:rPr>
        <w:fldChar w:fldCharType="end"/>
      </w:r>
    </w:p>
    <w:p w14:paraId="2DC88711">
      <w:pPr>
        <w:pStyle w:val="37"/>
        <w:tabs>
          <w:tab w:val="right" w:leader="dot" w:pos="8730"/>
        </w:tabs>
        <w:ind w:left="480"/>
        <w:rPr>
          <w:color w:val="auto"/>
        </w:rPr>
      </w:pPr>
      <w:r>
        <w:fldChar w:fldCharType="begin"/>
      </w:r>
      <w:r>
        <w:instrText xml:space="preserve"> HYPERLINK \l "_Toc10514" </w:instrText>
      </w:r>
      <w:r>
        <w:fldChar w:fldCharType="separate"/>
      </w:r>
      <w:r>
        <w:rPr>
          <w:rFonts w:hint="eastAsia" w:ascii="Arial" w:hAnsi="Arial" w:eastAsia="宋体"/>
          <w:bCs/>
          <w:color w:val="auto"/>
          <w:kern w:val="2"/>
          <w:szCs w:val="32"/>
          <w:lang w:eastAsia="zh-CN" w:bidi="ar-SA"/>
        </w:rPr>
        <w:t>七、委托人的其他要求</w:t>
      </w:r>
      <w:r>
        <w:rPr>
          <w:color w:val="auto"/>
        </w:rPr>
        <w:tab/>
      </w:r>
      <w:r>
        <w:rPr>
          <w:color w:val="auto"/>
        </w:rPr>
        <w:fldChar w:fldCharType="begin"/>
      </w:r>
      <w:r>
        <w:rPr>
          <w:color w:val="auto"/>
        </w:rPr>
        <w:instrText xml:space="preserve"> PAGEREF _Toc10514 \h </w:instrText>
      </w:r>
      <w:r>
        <w:rPr>
          <w:color w:val="auto"/>
        </w:rPr>
        <w:fldChar w:fldCharType="separate"/>
      </w:r>
      <w:r>
        <w:rPr>
          <w:color w:val="auto"/>
        </w:rPr>
        <w:t>111</w:t>
      </w:r>
      <w:r>
        <w:rPr>
          <w:color w:val="auto"/>
        </w:rPr>
        <w:fldChar w:fldCharType="end"/>
      </w:r>
      <w:r>
        <w:rPr>
          <w:color w:val="auto"/>
        </w:rPr>
        <w:fldChar w:fldCharType="end"/>
      </w:r>
    </w:p>
    <w:p w14:paraId="00F266D4">
      <w:pPr>
        <w:pStyle w:val="31"/>
        <w:tabs>
          <w:tab w:val="right" w:leader="dot" w:pos="8730"/>
        </w:tabs>
        <w:rPr>
          <w:color w:val="auto"/>
        </w:rPr>
      </w:pPr>
      <w:r>
        <w:fldChar w:fldCharType="begin"/>
      </w:r>
      <w:r>
        <w:instrText xml:space="preserve"> HYPERLINK \l "_Toc29919" </w:instrText>
      </w:r>
      <w:r>
        <w:fldChar w:fldCharType="separate"/>
      </w:r>
      <w:r>
        <w:rPr>
          <w:rFonts w:ascii="宋体" w:hAnsi="宋体" w:eastAsia="宋体"/>
          <w:color w:val="auto"/>
          <w:spacing w:val="-11"/>
          <w:szCs w:val="44"/>
          <w:lang w:eastAsia="zh-CN" w:bidi="ar-SA"/>
        </w:rPr>
        <w:t>第</w:t>
      </w:r>
      <w:r>
        <w:rPr>
          <w:rFonts w:hint="eastAsia" w:ascii="宋体" w:hAnsi="宋体" w:eastAsia="宋体"/>
          <w:color w:val="auto"/>
          <w:spacing w:val="-11"/>
          <w:szCs w:val="44"/>
          <w:lang w:eastAsia="zh-CN" w:bidi="ar-SA"/>
        </w:rPr>
        <w:t>六</w:t>
      </w:r>
      <w:r>
        <w:rPr>
          <w:rFonts w:ascii="宋体" w:hAnsi="宋体" w:eastAsia="宋体"/>
          <w:color w:val="auto"/>
          <w:spacing w:val="-11"/>
          <w:szCs w:val="44"/>
          <w:lang w:eastAsia="zh-CN" w:bidi="ar-SA"/>
        </w:rPr>
        <w:t>章  投标文件格式</w:t>
      </w:r>
      <w:r>
        <w:rPr>
          <w:color w:val="auto"/>
        </w:rPr>
        <w:tab/>
      </w:r>
      <w:r>
        <w:rPr>
          <w:color w:val="auto"/>
        </w:rPr>
        <w:fldChar w:fldCharType="begin"/>
      </w:r>
      <w:r>
        <w:rPr>
          <w:color w:val="auto"/>
        </w:rPr>
        <w:instrText xml:space="preserve"> PAGEREF _Toc29919 \h </w:instrText>
      </w:r>
      <w:r>
        <w:rPr>
          <w:color w:val="auto"/>
        </w:rPr>
        <w:fldChar w:fldCharType="separate"/>
      </w:r>
      <w:r>
        <w:rPr>
          <w:color w:val="auto"/>
        </w:rPr>
        <w:t>113</w:t>
      </w:r>
      <w:r>
        <w:rPr>
          <w:color w:val="auto"/>
        </w:rPr>
        <w:fldChar w:fldCharType="end"/>
      </w:r>
      <w:r>
        <w:rPr>
          <w:color w:val="auto"/>
        </w:rPr>
        <w:fldChar w:fldCharType="end"/>
      </w:r>
    </w:p>
    <w:p w14:paraId="6E5F89B6">
      <w:pPr>
        <w:pStyle w:val="37"/>
        <w:tabs>
          <w:tab w:val="right" w:leader="dot" w:pos="8730"/>
        </w:tabs>
        <w:ind w:left="480"/>
        <w:rPr>
          <w:color w:val="auto"/>
        </w:rPr>
      </w:pPr>
      <w:r>
        <w:fldChar w:fldCharType="begin"/>
      </w:r>
      <w:r>
        <w:instrText xml:space="preserve"> HYPERLINK \l "_Toc10345" </w:instrText>
      </w:r>
      <w:r>
        <w:fldChar w:fldCharType="separate"/>
      </w:r>
      <w:r>
        <w:rPr>
          <w:rFonts w:ascii="宋体" w:hAnsi="宋体" w:eastAsia="宋体" w:cs="宋体"/>
          <w:color w:val="auto"/>
          <w:spacing w:val="-10"/>
          <w:szCs w:val="32"/>
          <w:lang w:eastAsia="zh-CN" w:bidi="ar-SA"/>
        </w:rPr>
        <w:t>（商务及技术文件</w:t>
      </w:r>
      <w:r>
        <w:rPr>
          <w:rFonts w:hint="eastAsia" w:ascii="宋体" w:hAnsi="宋体" w:eastAsia="宋体" w:cs="宋体"/>
          <w:color w:val="auto"/>
          <w:spacing w:val="-10"/>
          <w:szCs w:val="32"/>
          <w:lang w:eastAsia="zh-CN" w:bidi="ar-SA"/>
        </w:rPr>
        <w:t>）</w:t>
      </w:r>
      <w:r>
        <w:rPr>
          <w:color w:val="auto"/>
        </w:rPr>
        <w:tab/>
      </w:r>
      <w:r>
        <w:rPr>
          <w:color w:val="auto"/>
        </w:rPr>
        <w:fldChar w:fldCharType="begin"/>
      </w:r>
      <w:r>
        <w:rPr>
          <w:color w:val="auto"/>
        </w:rPr>
        <w:instrText xml:space="preserve"> PAGEREF _Toc10345 \h </w:instrText>
      </w:r>
      <w:r>
        <w:rPr>
          <w:color w:val="auto"/>
        </w:rPr>
        <w:fldChar w:fldCharType="separate"/>
      </w:r>
      <w:r>
        <w:rPr>
          <w:color w:val="auto"/>
        </w:rPr>
        <w:t>115</w:t>
      </w:r>
      <w:r>
        <w:rPr>
          <w:color w:val="auto"/>
        </w:rPr>
        <w:fldChar w:fldCharType="end"/>
      </w:r>
      <w:r>
        <w:rPr>
          <w:color w:val="auto"/>
        </w:rPr>
        <w:fldChar w:fldCharType="end"/>
      </w:r>
    </w:p>
    <w:p w14:paraId="6232FBE2">
      <w:pPr>
        <w:pStyle w:val="37"/>
        <w:tabs>
          <w:tab w:val="right" w:leader="dot" w:pos="8730"/>
        </w:tabs>
        <w:ind w:left="480"/>
        <w:rPr>
          <w:color w:val="auto"/>
        </w:rPr>
      </w:pPr>
      <w:r>
        <w:fldChar w:fldCharType="begin"/>
      </w:r>
      <w:r>
        <w:instrText xml:space="preserve"> HYPERLINK \l "_Toc21035" </w:instrText>
      </w:r>
      <w:r>
        <w:fldChar w:fldCharType="separate"/>
      </w:r>
      <w:r>
        <w:rPr>
          <w:rFonts w:hint="eastAsia"/>
          <w:color w:val="auto"/>
          <w:lang w:eastAsia="zh-CN"/>
        </w:rPr>
        <w:t>一、投标函及投标附录</w:t>
      </w:r>
      <w:r>
        <w:rPr>
          <w:color w:val="auto"/>
        </w:rPr>
        <w:tab/>
      </w:r>
      <w:r>
        <w:rPr>
          <w:color w:val="auto"/>
        </w:rPr>
        <w:fldChar w:fldCharType="begin"/>
      </w:r>
      <w:r>
        <w:rPr>
          <w:color w:val="auto"/>
        </w:rPr>
        <w:instrText xml:space="preserve"> PAGEREF _Toc21035 \h </w:instrText>
      </w:r>
      <w:r>
        <w:rPr>
          <w:color w:val="auto"/>
        </w:rPr>
        <w:fldChar w:fldCharType="separate"/>
      </w:r>
      <w:r>
        <w:rPr>
          <w:color w:val="auto"/>
        </w:rPr>
        <w:t>117</w:t>
      </w:r>
      <w:r>
        <w:rPr>
          <w:color w:val="auto"/>
        </w:rPr>
        <w:fldChar w:fldCharType="end"/>
      </w:r>
      <w:r>
        <w:rPr>
          <w:color w:val="auto"/>
        </w:rPr>
        <w:fldChar w:fldCharType="end"/>
      </w:r>
    </w:p>
    <w:p w14:paraId="58F600B7">
      <w:pPr>
        <w:pStyle w:val="22"/>
        <w:tabs>
          <w:tab w:val="right" w:leader="dot" w:pos="8730"/>
        </w:tabs>
        <w:ind w:left="960"/>
        <w:rPr>
          <w:color w:val="auto"/>
        </w:rPr>
      </w:pPr>
      <w:r>
        <w:fldChar w:fldCharType="begin"/>
      </w:r>
      <w:r>
        <w:instrText xml:space="preserve"> HYPERLINK \l "_Toc11321" </w:instrText>
      </w:r>
      <w:r>
        <w:fldChar w:fldCharType="separate"/>
      </w:r>
      <w:r>
        <w:rPr>
          <w:rFonts w:hint="eastAsia" w:ascii="宋体" w:hAnsi="宋体" w:eastAsia="宋体" w:cs="宋体"/>
          <w:color w:val="auto"/>
          <w:lang w:eastAsia="zh-CN"/>
        </w:rPr>
        <w:t>（一）投标函</w:t>
      </w:r>
      <w:r>
        <w:rPr>
          <w:color w:val="auto"/>
        </w:rPr>
        <w:tab/>
      </w:r>
      <w:r>
        <w:rPr>
          <w:color w:val="auto"/>
        </w:rPr>
        <w:fldChar w:fldCharType="begin"/>
      </w:r>
      <w:r>
        <w:rPr>
          <w:color w:val="auto"/>
        </w:rPr>
        <w:instrText xml:space="preserve"> PAGEREF _Toc11321 \h </w:instrText>
      </w:r>
      <w:r>
        <w:rPr>
          <w:color w:val="auto"/>
        </w:rPr>
        <w:fldChar w:fldCharType="separate"/>
      </w:r>
      <w:r>
        <w:rPr>
          <w:color w:val="auto"/>
        </w:rPr>
        <w:t>117</w:t>
      </w:r>
      <w:r>
        <w:rPr>
          <w:color w:val="auto"/>
        </w:rPr>
        <w:fldChar w:fldCharType="end"/>
      </w:r>
      <w:r>
        <w:rPr>
          <w:color w:val="auto"/>
        </w:rPr>
        <w:fldChar w:fldCharType="end"/>
      </w:r>
    </w:p>
    <w:p w14:paraId="708650BB">
      <w:pPr>
        <w:pStyle w:val="22"/>
        <w:tabs>
          <w:tab w:val="right" w:leader="dot" w:pos="8730"/>
        </w:tabs>
        <w:ind w:left="960"/>
        <w:rPr>
          <w:color w:val="auto"/>
        </w:rPr>
      </w:pPr>
      <w:r>
        <w:fldChar w:fldCharType="begin"/>
      </w:r>
      <w:r>
        <w:instrText xml:space="preserve"> HYPERLINK \l "_Toc27327" </w:instrText>
      </w:r>
      <w:r>
        <w:fldChar w:fldCharType="separate"/>
      </w:r>
      <w:r>
        <w:rPr>
          <w:rFonts w:eastAsia="宋体"/>
          <w:bCs/>
          <w:color w:val="auto"/>
          <w:kern w:val="2"/>
          <w:szCs w:val="32"/>
          <w:lang w:eastAsia="zh-CN" w:bidi="ar-SA"/>
        </w:rPr>
        <w:t>（二）投标函附录</w:t>
      </w:r>
      <w:r>
        <w:rPr>
          <w:color w:val="auto"/>
        </w:rPr>
        <w:tab/>
      </w:r>
      <w:r>
        <w:rPr>
          <w:color w:val="auto"/>
        </w:rPr>
        <w:fldChar w:fldCharType="begin"/>
      </w:r>
      <w:r>
        <w:rPr>
          <w:color w:val="auto"/>
        </w:rPr>
        <w:instrText xml:space="preserve"> PAGEREF _Toc27327 \h </w:instrText>
      </w:r>
      <w:r>
        <w:rPr>
          <w:color w:val="auto"/>
        </w:rPr>
        <w:fldChar w:fldCharType="separate"/>
      </w:r>
      <w:r>
        <w:rPr>
          <w:color w:val="auto"/>
        </w:rPr>
        <w:t>119</w:t>
      </w:r>
      <w:r>
        <w:rPr>
          <w:color w:val="auto"/>
        </w:rPr>
        <w:fldChar w:fldCharType="end"/>
      </w:r>
      <w:r>
        <w:rPr>
          <w:color w:val="auto"/>
        </w:rPr>
        <w:fldChar w:fldCharType="end"/>
      </w:r>
    </w:p>
    <w:p w14:paraId="6BD4177B">
      <w:pPr>
        <w:pStyle w:val="37"/>
        <w:tabs>
          <w:tab w:val="right" w:leader="dot" w:pos="8730"/>
        </w:tabs>
        <w:ind w:left="480"/>
        <w:rPr>
          <w:color w:val="auto"/>
        </w:rPr>
      </w:pPr>
      <w:r>
        <w:fldChar w:fldCharType="begin"/>
      </w:r>
      <w:r>
        <w:instrText xml:space="preserve"> HYPERLINK \l "_Toc4363" </w:instrText>
      </w:r>
      <w:r>
        <w:fldChar w:fldCharType="separate"/>
      </w:r>
      <w:r>
        <w:rPr>
          <w:rFonts w:hint="eastAsia"/>
          <w:color w:val="auto"/>
          <w:lang w:eastAsia="zh-CN"/>
        </w:rPr>
        <w:t>二</w:t>
      </w:r>
      <w:r>
        <w:rPr>
          <w:color w:val="auto"/>
          <w:lang w:eastAsia="zh-CN"/>
        </w:rPr>
        <w:t>、法定代表人身份证明</w:t>
      </w:r>
      <w:r>
        <w:rPr>
          <w:color w:val="auto"/>
        </w:rPr>
        <w:tab/>
      </w:r>
      <w:r>
        <w:rPr>
          <w:color w:val="auto"/>
        </w:rPr>
        <w:fldChar w:fldCharType="begin"/>
      </w:r>
      <w:r>
        <w:rPr>
          <w:color w:val="auto"/>
        </w:rPr>
        <w:instrText xml:space="preserve"> PAGEREF _Toc4363 \h </w:instrText>
      </w:r>
      <w:r>
        <w:rPr>
          <w:color w:val="auto"/>
        </w:rPr>
        <w:fldChar w:fldCharType="separate"/>
      </w:r>
      <w:r>
        <w:rPr>
          <w:color w:val="auto"/>
        </w:rPr>
        <w:t>120</w:t>
      </w:r>
      <w:r>
        <w:rPr>
          <w:color w:val="auto"/>
        </w:rPr>
        <w:fldChar w:fldCharType="end"/>
      </w:r>
      <w:r>
        <w:rPr>
          <w:color w:val="auto"/>
        </w:rPr>
        <w:fldChar w:fldCharType="end"/>
      </w:r>
    </w:p>
    <w:p w14:paraId="4295CC22">
      <w:pPr>
        <w:pStyle w:val="37"/>
        <w:tabs>
          <w:tab w:val="right" w:leader="dot" w:pos="8730"/>
        </w:tabs>
        <w:ind w:left="480"/>
        <w:rPr>
          <w:color w:val="auto"/>
        </w:rPr>
      </w:pPr>
      <w:r>
        <w:fldChar w:fldCharType="begin"/>
      </w:r>
      <w:r>
        <w:instrText xml:space="preserve"> HYPERLINK \l "_Toc24769" </w:instrText>
      </w:r>
      <w:r>
        <w:fldChar w:fldCharType="separate"/>
      </w:r>
      <w:r>
        <w:rPr>
          <w:rFonts w:hint="eastAsia"/>
          <w:color w:val="auto"/>
          <w:lang w:eastAsia="zh-CN"/>
        </w:rPr>
        <w:t>二</w:t>
      </w:r>
      <w:r>
        <w:rPr>
          <w:color w:val="auto"/>
          <w:lang w:eastAsia="zh-CN"/>
        </w:rPr>
        <w:t>、</w:t>
      </w:r>
      <w:r>
        <w:rPr>
          <w:rFonts w:hint="eastAsia"/>
          <w:color w:val="auto"/>
          <w:lang w:eastAsia="zh-CN"/>
        </w:rPr>
        <w:t>授权委托书</w:t>
      </w:r>
      <w:r>
        <w:rPr>
          <w:color w:val="auto"/>
        </w:rPr>
        <w:tab/>
      </w:r>
      <w:r>
        <w:rPr>
          <w:color w:val="auto"/>
        </w:rPr>
        <w:fldChar w:fldCharType="begin"/>
      </w:r>
      <w:r>
        <w:rPr>
          <w:color w:val="auto"/>
        </w:rPr>
        <w:instrText xml:space="preserve"> PAGEREF _Toc24769 \h </w:instrText>
      </w:r>
      <w:r>
        <w:rPr>
          <w:color w:val="auto"/>
        </w:rPr>
        <w:fldChar w:fldCharType="separate"/>
      </w:r>
      <w:r>
        <w:rPr>
          <w:color w:val="auto"/>
        </w:rPr>
        <w:t>121</w:t>
      </w:r>
      <w:r>
        <w:rPr>
          <w:color w:val="auto"/>
        </w:rPr>
        <w:fldChar w:fldCharType="end"/>
      </w:r>
      <w:r>
        <w:rPr>
          <w:color w:val="auto"/>
        </w:rPr>
        <w:fldChar w:fldCharType="end"/>
      </w:r>
    </w:p>
    <w:p w14:paraId="07C51756">
      <w:pPr>
        <w:pStyle w:val="37"/>
        <w:tabs>
          <w:tab w:val="right" w:leader="dot" w:pos="8730"/>
        </w:tabs>
        <w:ind w:left="480"/>
        <w:rPr>
          <w:color w:val="auto"/>
        </w:rPr>
      </w:pPr>
      <w:r>
        <w:fldChar w:fldCharType="begin"/>
      </w:r>
      <w:r>
        <w:instrText xml:space="preserve"> HYPERLINK \l "_Toc12605" </w:instrText>
      </w:r>
      <w:r>
        <w:fldChar w:fldCharType="separate"/>
      </w:r>
      <w:r>
        <w:rPr>
          <w:rFonts w:hint="eastAsia" w:ascii="宋体" w:hAnsi="宋体" w:eastAsia="宋体" w:cs="宋体"/>
          <w:color w:val="auto"/>
          <w:spacing w:val="-10"/>
          <w:szCs w:val="32"/>
          <w:lang w:eastAsia="zh-CN" w:bidi="ar-SA"/>
        </w:rPr>
        <w:t>三</w:t>
      </w:r>
      <w:r>
        <w:rPr>
          <w:rFonts w:ascii="宋体" w:hAnsi="宋体" w:eastAsia="宋体" w:cs="宋体"/>
          <w:color w:val="auto"/>
          <w:spacing w:val="-10"/>
          <w:szCs w:val="32"/>
          <w:lang w:eastAsia="zh-CN" w:bidi="ar-SA"/>
        </w:rPr>
        <w:t>、投标保证金</w:t>
      </w:r>
      <w:r>
        <w:rPr>
          <w:color w:val="auto"/>
        </w:rPr>
        <w:tab/>
      </w:r>
      <w:r>
        <w:rPr>
          <w:color w:val="auto"/>
        </w:rPr>
        <w:fldChar w:fldCharType="begin"/>
      </w:r>
      <w:r>
        <w:rPr>
          <w:color w:val="auto"/>
        </w:rPr>
        <w:instrText xml:space="preserve"> PAGEREF _Toc12605 \h </w:instrText>
      </w:r>
      <w:r>
        <w:rPr>
          <w:color w:val="auto"/>
        </w:rPr>
        <w:fldChar w:fldCharType="separate"/>
      </w:r>
      <w:r>
        <w:rPr>
          <w:color w:val="auto"/>
        </w:rPr>
        <w:t>122</w:t>
      </w:r>
      <w:r>
        <w:rPr>
          <w:color w:val="auto"/>
        </w:rPr>
        <w:fldChar w:fldCharType="end"/>
      </w:r>
      <w:r>
        <w:rPr>
          <w:color w:val="auto"/>
        </w:rPr>
        <w:fldChar w:fldCharType="end"/>
      </w:r>
    </w:p>
    <w:p w14:paraId="2F1CEFB2">
      <w:pPr>
        <w:pStyle w:val="37"/>
        <w:tabs>
          <w:tab w:val="right" w:leader="dot" w:pos="8730"/>
        </w:tabs>
        <w:ind w:left="480"/>
        <w:rPr>
          <w:color w:val="auto"/>
        </w:rPr>
      </w:pPr>
      <w:r>
        <w:fldChar w:fldCharType="begin"/>
      </w:r>
      <w:r>
        <w:instrText xml:space="preserve"> HYPERLINK \l "_Toc10909" </w:instrText>
      </w:r>
      <w:r>
        <w:fldChar w:fldCharType="separate"/>
      </w:r>
      <w:r>
        <w:rPr>
          <w:rFonts w:hint="eastAsia" w:ascii="宋体" w:hAnsi="宋体" w:eastAsia="宋体" w:cs="宋体"/>
          <w:color w:val="auto"/>
          <w:spacing w:val="-10"/>
          <w:szCs w:val="32"/>
          <w:lang w:eastAsia="zh-CN" w:bidi="ar-SA"/>
        </w:rPr>
        <w:t>四</w:t>
      </w:r>
      <w:r>
        <w:rPr>
          <w:rFonts w:ascii="宋体" w:hAnsi="宋体" w:eastAsia="宋体" w:cs="宋体"/>
          <w:color w:val="auto"/>
          <w:spacing w:val="-10"/>
          <w:szCs w:val="32"/>
          <w:lang w:eastAsia="zh-CN" w:bidi="ar-SA"/>
        </w:rPr>
        <w:t>、资格审查资料</w:t>
      </w:r>
      <w:r>
        <w:rPr>
          <w:color w:val="auto"/>
        </w:rPr>
        <w:tab/>
      </w:r>
      <w:r>
        <w:rPr>
          <w:color w:val="auto"/>
        </w:rPr>
        <w:fldChar w:fldCharType="begin"/>
      </w:r>
      <w:r>
        <w:rPr>
          <w:color w:val="auto"/>
        </w:rPr>
        <w:instrText xml:space="preserve"> PAGEREF _Toc10909 \h </w:instrText>
      </w:r>
      <w:r>
        <w:rPr>
          <w:color w:val="auto"/>
        </w:rPr>
        <w:fldChar w:fldCharType="separate"/>
      </w:r>
      <w:r>
        <w:rPr>
          <w:color w:val="auto"/>
        </w:rPr>
        <w:t>123</w:t>
      </w:r>
      <w:r>
        <w:rPr>
          <w:color w:val="auto"/>
        </w:rPr>
        <w:fldChar w:fldCharType="end"/>
      </w:r>
      <w:r>
        <w:rPr>
          <w:color w:val="auto"/>
        </w:rPr>
        <w:fldChar w:fldCharType="end"/>
      </w:r>
    </w:p>
    <w:p w14:paraId="04245503">
      <w:pPr>
        <w:pStyle w:val="22"/>
        <w:tabs>
          <w:tab w:val="right" w:leader="dot" w:pos="8730"/>
        </w:tabs>
        <w:ind w:left="960"/>
        <w:rPr>
          <w:color w:val="auto"/>
        </w:rPr>
      </w:pPr>
      <w:r>
        <w:fldChar w:fldCharType="begin"/>
      </w:r>
      <w:r>
        <w:instrText xml:space="preserve"> HYPERLINK \l "_Toc16627" </w:instrText>
      </w:r>
      <w:r>
        <w:fldChar w:fldCharType="separate"/>
      </w:r>
      <w:r>
        <w:rPr>
          <w:rFonts w:eastAsia="宋体" w:cs="宋体"/>
          <w:color w:val="auto"/>
          <w:lang w:eastAsia="zh-CN" w:bidi="ar-SA"/>
        </w:rPr>
        <w:t>（一）投标人基本情况表</w:t>
      </w:r>
      <w:r>
        <w:rPr>
          <w:color w:val="auto"/>
        </w:rPr>
        <w:tab/>
      </w:r>
      <w:r>
        <w:rPr>
          <w:color w:val="auto"/>
        </w:rPr>
        <w:fldChar w:fldCharType="begin"/>
      </w:r>
      <w:r>
        <w:rPr>
          <w:color w:val="auto"/>
        </w:rPr>
        <w:instrText xml:space="preserve"> PAGEREF _Toc16627 \h </w:instrText>
      </w:r>
      <w:r>
        <w:rPr>
          <w:color w:val="auto"/>
        </w:rPr>
        <w:fldChar w:fldCharType="separate"/>
      </w:r>
      <w:r>
        <w:rPr>
          <w:color w:val="auto"/>
        </w:rPr>
        <w:t>123</w:t>
      </w:r>
      <w:r>
        <w:rPr>
          <w:color w:val="auto"/>
        </w:rPr>
        <w:fldChar w:fldCharType="end"/>
      </w:r>
      <w:r>
        <w:rPr>
          <w:color w:val="auto"/>
        </w:rPr>
        <w:fldChar w:fldCharType="end"/>
      </w:r>
    </w:p>
    <w:p w14:paraId="00DE034D">
      <w:pPr>
        <w:pStyle w:val="22"/>
        <w:tabs>
          <w:tab w:val="right" w:leader="dot" w:pos="8730"/>
        </w:tabs>
        <w:ind w:left="960"/>
        <w:rPr>
          <w:color w:val="auto"/>
        </w:rPr>
      </w:pPr>
      <w:r>
        <w:fldChar w:fldCharType="begin"/>
      </w:r>
      <w:r>
        <w:instrText xml:space="preserve"> HYPERLINK \l "_Toc28099" </w:instrText>
      </w:r>
      <w:r>
        <w:fldChar w:fldCharType="separate"/>
      </w:r>
      <w:r>
        <w:rPr>
          <w:rFonts w:eastAsia="宋体" w:cs="宋体"/>
          <w:color w:val="auto"/>
          <w:lang w:eastAsia="zh-CN" w:bidi="ar-SA"/>
        </w:rPr>
        <w:t>（二）近年</w:t>
      </w:r>
      <w:r>
        <w:rPr>
          <w:rFonts w:hint="eastAsia" w:eastAsia="宋体" w:cs="宋体"/>
          <w:color w:val="auto"/>
          <w:lang w:eastAsia="zh-CN" w:bidi="ar-SA"/>
        </w:rPr>
        <w:t>完成</w:t>
      </w:r>
      <w:r>
        <w:rPr>
          <w:rFonts w:eastAsia="宋体" w:cs="宋体"/>
          <w:color w:val="auto"/>
          <w:lang w:eastAsia="zh-CN" w:bidi="ar-SA"/>
        </w:rPr>
        <w:t>的类似项目情况表</w:t>
      </w:r>
      <w:r>
        <w:rPr>
          <w:color w:val="auto"/>
        </w:rPr>
        <w:tab/>
      </w:r>
      <w:r>
        <w:rPr>
          <w:color w:val="auto"/>
        </w:rPr>
        <w:fldChar w:fldCharType="begin"/>
      </w:r>
      <w:r>
        <w:rPr>
          <w:color w:val="auto"/>
        </w:rPr>
        <w:instrText xml:space="preserve"> PAGEREF _Toc28099 \h </w:instrText>
      </w:r>
      <w:r>
        <w:rPr>
          <w:color w:val="auto"/>
        </w:rPr>
        <w:fldChar w:fldCharType="separate"/>
      </w:r>
      <w:r>
        <w:rPr>
          <w:color w:val="auto"/>
        </w:rPr>
        <w:t>125</w:t>
      </w:r>
      <w:r>
        <w:rPr>
          <w:color w:val="auto"/>
        </w:rPr>
        <w:fldChar w:fldCharType="end"/>
      </w:r>
      <w:r>
        <w:rPr>
          <w:color w:val="auto"/>
        </w:rPr>
        <w:fldChar w:fldCharType="end"/>
      </w:r>
    </w:p>
    <w:p w14:paraId="60313EB8">
      <w:pPr>
        <w:pStyle w:val="22"/>
        <w:tabs>
          <w:tab w:val="right" w:leader="dot" w:pos="8730"/>
        </w:tabs>
        <w:ind w:left="960"/>
        <w:rPr>
          <w:color w:val="auto"/>
        </w:rPr>
      </w:pPr>
      <w:r>
        <w:fldChar w:fldCharType="begin"/>
      </w:r>
      <w:r>
        <w:instrText xml:space="preserve"> HYPERLINK \l "_Toc29257" </w:instrText>
      </w:r>
      <w:r>
        <w:fldChar w:fldCharType="separate"/>
      </w:r>
      <w:r>
        <w:rPr>
          <w:rFonts w:eastAsia="宋体" w:cs="宋体"/>
          <w:color w:val="auto"/>
          <w:lang w:eastAsia="zh-CN" w:bidi="ar-SA"/>
        </w:rPr>
        <w:t>（三） 投标人的信誉情况表</w:t>
      </w:r>
      <w:r>
        <w:rPr>
          <w:color w:val="auto"/>
        </w:rPr>
        <w:tab/>
      </w:r>
      <w:r>
        <w:rPr>
          <w:color w:val="auto"/>
        </w:rPr>
        <w:fldChar w:fldCharType="begin"/>
      </w:r>
      <w:r>
        <w:rPr>
          <w:color w:val="auto"/>
        </w:rPr>
        <w:instrText xml:space="preserve"> PAGEREF _Toc29257 \h </w:instrText>
      </w:r>
      <w:r>
        <w:rPr>
          <w:color w:val="auto"/>
        </w:rPr>
        <w:fldChar w:fldCharType="separate"/>
      </w:r>
      <w:r>
        <w:rPr>
          <w:color w:val="auto"/>
        </w:rPr>
        <w:t>127</w:t>
      </w:r>
      <w:r>
        <w:rPr>
          <w:color w:val="auto"/>
        </w:rPr>
        <w:fldChar w:fldCharType="end"/>
      </w:r>
      <w:r>
        <w:rPr>
          <w:color w:val="auto"/>
        </w:rPr>
        <w:fldChar w:fldCharType="end"/>
      </w:r>
    </w:p>
    <w:p w14:paraId="5C3FF6F4">
      <w:pPr>
        <w:pStyle w:val="22"/>
        <w:tabs>
          <w:tab w:val="right" w:leader="dot" w:pos="8730"/>
        </w:tabs>
        <w:ind w:left="960"/>
        <w:rPr>
          <w:color w:val="auto"/>
        </w:rPr>
      </w:pPr>
      <w:r>
        <w:fldChar w:fldCharType="begin"/>
      </w:r>
      <w:r>
        <w:instrText xml:space="preserve"> HYPERLINK \l "_Toc29834" </w:instrText>
      </w:r>
      <w:r>
        <w:fldChar w:fldCharType="separate"/>
      </w:r>
      <w:r>
        <w:rPr>
          <w:color w:val="auto"/>
          <w:szCs w:val="28"/>
          <w:lang w:eastAsia="zh-CN"/>
        </w:rPr>
        <w:t>（</w:t>
      </w:r>
      <w:r>
        <w:rPr>
          <w:rFonts w:hint="eastAsia" w:ascii="宋体" w:hAnsi="宋体" w:eastAsia="宋体" w:cs="宋体"/>
          <w:color w:val="auto"/>
          <w:szCs w:val="28"/>
          <w:lang w:eastAsia="zh-CN"/>
        </w:rPr>
        <w:t>四</w:t>
      </w:r>
      <w:r>
        <w:rPr>
          <w:color w:val="auto"/>
          <w:szCs w:val="28"/>
          <w:lang w:eastAsia="zh-CN"/>
        </w:rPr>
        <w:t>）拟委任的主要人员汇总表</w:t>
      </w:r>
      <w:r>
        <w:rPr>
          <w:color w:val="auto"/>
        </w:rPr>
        <w:tab/>
      </w:r>
      <w:r>
        <w:rPr>
          <w:color w:val="auto"/>
        </w:rPr>
        <w:fldChar w:fldCharType="begin"/>
      </w:r>
      <w:r>
        <w:rPr>
          <w:color w:val="auto"/>
        </w:rPr>
        <w:instrText xml:space="preserve"> PAGEREF _Toc29834 \h </w:instrText>
      </w:r>
      <w:r>
        <w:rPr>
          <w:color w:val="auto"/>
        </w:rPr>
        <w:fldChar w:fldCharType="separate"/>
      </w:r>
      <w:r>
        <w:rPr>
          <w:color w:val="auto"/>
        </w:rPr>
        <w:t>128</w:t>
      </w:r>
      <w:r>
        <w:rPr>
          <w:color w:val="auto"/>
        </w:rPr>
        <w:fldChar w:fldCharType="end"/>
      </w:r>
      <w:r>
        <w:rPr>
          <w:color w:val="auto"/>
        </w:rPr>
        <w:fldChar w:fldCharType="end"/>
      </w:r>
    </w:p>
    <w:p w14:paraId="1CF1D957">
      <w:pPr>
        <w:pStyle w:val="22"/>
        <w:tabs>
          <w:tab w:val="right" w:leader="dot" w:pos="8730"/>
        </w:tabs>
        <w:ind w:left="960"/>
        <w:rPr>
          <w:color w:val="auto"/>
        </w:rPr>
      </w:pPr>
      <w:r>
        <w:fldChar w:fldCharType="begin"/>
      </w:r>
      <w:r>
        <w:instrText xml:space="preserve"> HYPERLINK \l "_Toc27711" </w:instrText>
      </w:r>
      <w:r>
        <w:fldChar w:fldCharType="separate"/>
      </w:r>
      <w:r>
        <w:rPr>
          <w:rFonts w:hint="eastAsia" w:ascii="宋体" w:hAnsi="宋体" w:eastAsia="宋体" w:cs="宋体"/>
          <w:color w:val="auto"/>
          <w:szCs w:val="28"/>
          <w:lang w:eastAsia="zh-CN"/>
        </w:rPr>
        <w:t>（五） 拟投入本项目的主要试验检测仪器、交通办公设备表</w:t>
      </w:r>
      <w:r>
        <w:rPr>
          <w:color w:val="auto"/>
        </w:rPr>
        <w:tab/>
      </w:r>
      <w:r>
        <w:rPr>
          <w:color w:val="auto"/>
        </w:rPr>
        <w:fldChar w:fldCharType="begin"/>
      </w:r>
      <w:r>
        <w:rPr>
          <w:color w:val="auto"/>
        </w:rPr>
        <w:instrText xml:space="preserve"> PAGEREF _Toc27711 \h </w:instrText>
      </w:r>
      <w:r>
        <w:rPr>
          <w:color w:val="auto"/>
        </w:rPr>
        <w:fldChar w:fldCharType="separate"/>
      </w:r>
      <w:r>
        <w:rPr>
          <w:color w:val="auto"/>
        </w:rPr>
        <w:t>131</w:t>
      </w:r>
      <w:r>
        <w:rPr>
          <w:color w:val="auto"/>
        </w:rPr>
        <w:fldChar w:fldCharType="end"/>
      </w:r>
      <w:r>
        <w:rPr>
          <w:color w:val="auto"/>
        </w:rPr>
        <w:fldChar w:fldCharType="end"/>
      </w:r>
    </w:p>
    <w:p w14:paraId="052BAB43">
      <w:pPr>
        <w:pStyle w:val="37"/>
        <w:tabs>
          <w:tab w:val="right" w:leader="dot" w:pos="8730"/>
        </w:tabs>
        <w:ind w:left="480"/>
        <w:rPr>
          <w:color w:val="auto"/>
        </w:rPr>
      </w:pPr>
      <w:r>
        <w:fldChar w:fldCharType="begin"/>
      </w:r>
      <w:r>
        <w:instrText xml:space="preserve"> HYPERLINK \l "_Toc16359" </w:instrText>
      </w:r>
      <w:r>
        <w:fldChar w:fldCharType="separate"/>
      </w:r>
      <w:r>
        <w:rPr>
          <w:rFonts w:hint="eastAsia" w:ascii="宋体" w:hAnsi="宋体" w:eastAsia="宋体" w:cs="宋体"/>
          <w:color w:val="auto"/>
          <w:spacing w:val="-10"/>
          <w:szCs w:val="32"/>
          <w:lang w:eastAsia="zh-CN" w:bidi="ar-SA"/>
        </w:rPr>
        <w:t>五</w:t>
      </w:r>
      <w:r>
        <w:rPr>
          <w:rFonts w:ascii="宋体" w:hAnsi="宋体" w:eastAsia="宋体" w:cs="宋体"/>
          <w:color w:val="auto"/>
          <w:spacing w:val="-10"/>
          <w:szCs w:val="32"/>
          <w:lang w:eastAsia="zh-CN" w:bidi="ar-SA"/>
        </w:rPr>
        <w:t>、</w:t>
      </w:r>
      <w:r>
        <w:rPr>
          <w:rFonts w:hint="eastAsia" w:ascii="宋体" w:hAnsi="宋体" w:eastAsia="宋体" w:cs="宋体"/>
          <w:color w:val="auto"/>
          <w:spacing w:val="-10"/>
          <w:szCs w:val="32"/>
          <w:lang w:eastAsia="zh-CN" w:bidi="ar-SA"/>
        </w:rPr>
        <w:t>监理大纲</w:t>
      </w:r>
      <w:r>
        <w:rPr>
          <w:color w:val="auto"/>
        </w:rPr>
        <w:tab/>
      </w:r>
      <w:r>
        <w:rPr>
          <w:color w:val="auto"/>
        </w:rPr>
        <w:fldChar w:fldCharType="begin"/>
      </w:r>
      <w:r>
        <w:rPr>
          <w:color w:val="auto"/>
        </w:rPr>
        <w:instrText xml:space="preserve"> PAGEREF _Toc16359 \h </w:instrText>
      </w:r>
      <w:r>
        <w:rPr>
          <w:color w:val="auto"/>
        </w:rPr>
        <w:fldChar w:fldCharType="separate"/>
      </w:r>
      <w:r>
        <w:rPr>
          <w:color w:val="auto"/>
        </w:rPr>
        <w:t>132</w:t>
      </w:r>
      <w:r>
        <w:rPr>
          <w:color w:val="auto"/>
        </w:rPr>
        <w:fldChar w:fldCharType="end"/>
      </w:r>
      <w:r>
        <w:rPr>
          <w:color w:val="auto"/>
        </w:rPr>
        <w:fldChar w:fldCharType="end"/>
      </w:r>
    </w:p>
    <w:p w14:paraId="7755D5D8">
      <w:pPr>
        <w:pStyle w:val="37"/>
        <w:tabs>
          <w:tab w:val="right" w:leader="dot" w:pos="8730"/>
        </w:tabs>
        <w:ind w:left="480"/>
        <w:rPr>
          <w:color w:val="auto"/>
        </w:rPr>
      </w:pPr>
      <w:r>
        <w:fldChar w:fldCharType="begin"/>
      </w:r>
      <w:r>
        <w:instrText xml:space="preserve"> HYPERLINK \l "_Toc12805" </w:instrText>
      </w:r>
      <w:r>
        <w:fldChar w:fldCharType="separate"/>
      </w:r>
      <w:r>
        <w:rPr>
          <w:rFonts w:hint="eastAsia" w:ascii="宋体" w:hAnsi="宋体" w:eastAsia="宋体" w:cs="宋体"/>
          <w:color w:val="auto"/>
          <w:spacing w:val="-10"/>
          <w:szCs w:val="32"/>
          <w:lang w:eastAsia="zh-CN" w:bidi="ar-SA"/>
        </w:rPr>
        <w:t>六</w:t>
      </w:r>
      <w:r>
        <w:rPr>
          <w:rFonts w:ascii="宋体" w:hAnsi="宋体" w:eastAsia="宋体" w:cs="宋体"/>
          <w:color w:val="auto"/>
          <w:spacing w:val="-10"/>
          <w:szCs w:val="32"/>
          <w:lang w:eastAsia="zh-CN" w:bidi="ar-SA"/>
        </w:rPr>
        <w:t>、其他资料</w:t>
      </w:r>
      <w:r>
        <w:rPr>
          <w:color w:val="auto"/>
        </w:rPr>
        <w:tab/>
      </w:r>
      <w:r>
        <w:rPr>
          <w:color w:val="auto"/>
        </w:rPr>
        <w:fldChar w:fldCharType="begin"/>
      </w:r>
      <w:r>
        <w:rPr>
          <w:color w:val="auto"/>
        </w:rPr>
        <w:instrText xml:space="preserve"> PAGEREF _Toc12805 \h </w:instrText>
      </w:r>
      <w:r>
        <w:rPr>
          <w:color w:val="auto"/>
        </w:rPr>
        <w:fldChar w:fldCharType="separate"/>
      </w:r>
      <w:r>
        <w:rPr>
          <w:color w:val="auto"/>
        </w:rPr>
        <w:t>133</w:t>
      </w:r>
      <w:r>
        <w:rPr>
          <w:color w:val="auto"/>
        </w:rPr>
        <w:fldChar w:fldCharType="end"/>
      </w:r>
      <w:r>
        <w:rPr>
          <w:color w:val="auto"/>
        </w:rPr>
        <w:fldChar w:fldCharType="end"/>
      </w:r>
    </w:p>
    <w:p w14:paraId="32F9BBA0">
      <w:pPr>
        <w:pStyle w:val="37"/>
        <w:tabs>
          <w:tab w:val="right" w:leader="dot" w:pos="8730"/>
        </w:tabs>
        <w:ind w:left="480"/>
        <w:rPr>
          <w:color w:val="auto"/>
        </w:rPr>
      </w:pPr>
      <w:r>
        <w:fldChar w:fldCharType="begin"/>
      </w:r>
      <w:r>
        <w:instrText xml:space="preserve"> HYPERLINK \l "_Toc31769" </w:instrText>
      </w:r>
      <w:r>
        <w:fldChar w:fldCharType="separate"/>
      </w:r>
      <w:r>
        <w:rPr>
          <w:rFonts w:ascii="宋体" w:hAnsi="宋体" w:eastAsia="宋体" w:cs="宋体"/>
          <w:color w:val="auto"/>
          <w:spacing w:val="-10"/>
          <w:szCs w:val="32"/>
          <w:lang w:eastAsia="zh-CN" w:bidi="ar-SA"/>
        </w:rPr>
        <w:t>（报价文件</w:t>
      </w:r>
      <w:r>
        <w:rPr>
          <w:rFonts w:hint="eastAsia" w:ascii="宋体" w:hAnsi="宋体" w:eastAsia="宋体" w:cs="宋体"/>
          <w:color w:val="auto"/>
          <w:spacing w:val="-10"/>
          <w:szCs w:val="32"/>
          <w:lang w:eastAsia="zh-CN" w:bidi="ar-SA"/>
        </w:rPr>
        <w:t>）</w:t>
      </w:r>
      <w:r>
        <w:rPr>
          <w:color w:val="auto"/>
        </w:rPr>
        <w:tab/>
      </w:r>
      <w:r>
        <w:rPr>
          <w:color w:val="auto"/>
        </w:rPr>
        <w:fldChar w:fldCharType="begin"/>
      </w:r>
      <w:r>
        <w:rPr>
          <w:color w:val="auto"/>
        </w:rPr>
        <w:instrText xml:space="preserve"> PAGEREF _Toc31769 \h </w:instrText>
      </w:r>
      <w:r>
        <w:rPr>
          <w:color w:val="auto"/>
        </w:rPr>
        <w:fldChar w:fldCharType="separate"/>
      </w:r>
      <w:r>
        <w:rPr>
          <w:color w:val="auto"/>
        </w:rPr>
        <w:t>135</w:t>
      </w:r>
      <w:r>
        <w:rPr>
          <w:color w:val="auto"/>
        </w:rPr>
        <w:fldChar w:fldCharType="end"/>
      </w:r>
      <w:r>
        <w:rPr>
          <w:color w:val="auto"/>
        </w:rPr>
        <w:fldChar w:fldCharType="end"/>
      </w:r>
    </w:p>
    <w:p w14:paraId="319FC237">
      <w:pPr>
        <w:pStyle w:val="37"/>
        <w:tabs>
          <w:tab w:val="right" w:leader="dot" w:pos="8730"/>
        </w:tabs>
        <w:ind w:left="480"/>
        <w:rPr>
          <w:color w:val="auto"/>
        </w:rPr>
      </w:pPr>
      <w:r>
        <w:fldChar w:fldCharType="begin"/>
      </w:r>
      <w:r>
        <w:instrText xml:space="preserve"> HYPERLINK \l "_Toc17797" </w:instrText>
      </w:r>
      <w:r>
        <w:fldChar w:fldCharType="separate"/>
      </w:r>
      <w:r>
        <w:rPr>
          <w:rFonts w:ascii="宋体" w:hAnsi="宋体" w:eastAsia="宋体" w:cs="宋体"/>
          <w:color w:val="auto"/>
          <w:spacing w:val="-10"/>
          <w:szCs w:val="32"/>
          <w:lang w:eastAsia="zh-CN" w:bidi="ar-SA"/>
        </w:rPr>
        <w:t>一、投标函</w:t>
      </w:r>
      <w:r>
        <w:rPr>
          <w:color w:val="auto"/>
        </w:rPr>
        <w:tab/>
      </w:r>
      <w:r>
        <w:rPr>
          <w:color w:val="auto"/>
        </w:rPr>
        <w:fldChar w:fldCharType="begin"/>
      </w:r>
      <w:r>
        <w:rPr>
          <w:color w:val="auto"/>
        </w:rPr>
        <w:instrText xml:space="preserve"> PAGEREF _Toc17797 \h </w:instrText>
      </w:r>
      <w:r>
        <w:rPr>
          <w:color w:val="auto"/>
        </w:rPr>
        <w:fldChar w:fldCharType="separate"/>
      </w:r>
      <w:r>
        <w:rPr>
          <w:color w:val="auto"/>
        </w:rPr>
        <w:t>137</w:t>
      </w:r>
      <w:r>
        <w:rPr>
          <w:color w:val="auto"/>
        </w:rPr>
        <w:fldChar w:fldCharType="end"/>
      </w:r>
      <w:r>
        <w:rPr>
          <w:color w:val="auto"/>
        </w:rPr>
        <w:fldChar w:fldCharType="end"/>
      </w:r>
    </w:p>
    <w:p w14:paraId="58EA90B2">
      <w:pPr>
        <w:pStyle w:val="37"/>
        <w:tabs>
          <w:tab w:val="right" w:leader="dot" w:pos="8730"/>
        </w:tabs>
        <w:ind w:left="480"/>
        <w:rPr>
          <w:color w:val="auto"/>
        </w:rPr>
      </w:pPr>
      <w:r>
        <w:fldChar w:fldCharType="begin"/>
      </w:r>
      <w:r>
        <w:instrText xml:space="preserve"> HYPERLINK \l "_Toc6010" </w:instrText>
      </w:r>
      <w:r>
        <w:fldChar w:fldCharType="separate"/>
      </w:r>
      <w:r>
        <w:rPr>
          <w:rFonts w:ascii="宋体" w:hAnsi="宋体" w:eastAsia="宋体" w:cs="宋体"/>
          <w:color w:val="auto"/>
          <w:spacing w:val="-10"/>
          <w:szCs w:val="32"/>
          <w:lang w:eastAsia="zh-CN" w:bidi="ar-SA"/>
        </w:rPr>
        <w:t>二、</w:t>
      </w:r>
      <w:r>
        <w:rPr>
          <w:rFonts w:hint="eastAsia" w:ascii="宋体" w:hAnsi="宋体" w:eastAsia="宋体" w:cs="宋体"/>
          <w:color w:val="auto"/>
          <w:spacing w:val="-10"/>
          <w:szCs w:val="32"/>
          <w:lang w:eastAsia="zh-CN" w:bidi="ar-SA"/>
        </w:rPr>
        <w:t>监理报酬</w:t>
      </w:r>
      <w:r>
        <w:rPr>
          <w:rFonts w:ascii="宋体" w:hAnsi="宋体" w:eastAsia="宋体" w:cs="宋体"/>
          <w:color w:val="auto"/>
          <w:spacing w:val="-10"/>
          <w:szCs w:val="32"/>
          <w:lang w:eastAsia="zh-CN" w:bidi="ar-SA"/>
        </w:rPr>
        <w:t>清单</w:t>
      </w:r>
      <w:r>
        <w:rPr>
          <w:color w:val="auto"/>
        </w:rPr>
        <w:tab/>
      </w:r>
      <w:r>
        <w:rPr>
          <w:color w:val="auto"/>
        </w:rPr>
        <w:fldChar w:fldCharType="begin"/>
      </w:r>
      <w:r>
        <w:rPr>
          <w:color w:val="auto"/>
        </w:rPr>
        <w:instrText xml:space="preserve"> PAGEREF _Toc6010 \h </w:instrText>
      </w:r>
      <w:r>
        <w:rPr>
          <w:color w:val="auto"/>
        </w:rPr>
        <w:fldChar w:fldCharType="separate"/>
      </w:r>
      <w:r>
        <w:rPr>
          <w:color w:val="auto"/>
        </w:rPr>
        <w:t>138</w:t>
      </w:r>
      <w:r>
        <w:rPr>
          <w:color w:val="auto"/>
        </w:rPr>
        <w:fldChar w:fldCharType="end"/>
      </w:r>
      <w:r>
        <w:rPr>
          <w:color w:val="auto"/>
        </w:rPr>
        <w:fldChar w:fldCharType="end"/>
      </w:r>
    </w:p>
    <w:p w14:paraId="39BDD8E7">
      <w:pPr>
        <w:pStyle w:val="22"/>
        <w:tabs>
          <w:tab w:val="right" w:leader="dot" w:pos="8730"/>
        </w:tabs>
        <w:ind w:left="960"/>
        <w:rPr>
          <w:color w:val="auto"/>
        </w:rPr>
      </w:pPr>
      <w:r>
        <w:fldChar w:fldCharType="begin"/>
      </w:r>
      <w:r>
        <w:instrText xml:space="preserve"> HYPERLINK \l "_Toc26463" </w:instrText>
      </w:r>
      <w:r>
        <w:fldChar w:fldCharType="separate"/>
      </w:r>
      <w:r>
        <w:rPr>
          <w:rFonts w:eastAsia="宋体"/>
          <w:bCs/>
          <w:color w:val="auto"/>
          <w:kern w:val="2"/>
          <w:szCs w:val="32"/>
          <w:lang w:eastAsia="zh-CN" w:bidi="ar-SA"/>
        </w:rPr>
        <w:t>1. 监理报酬清单说明</w:t>
      </w:r>
      <w:r>
        <w:rPr>
          <w:color w:val="auto"/>
        </w:rPr>
        <w:tab/>
      </w:r>
      <w:r>
        <w:rPr>
          <w:color w:val="auto"/>
        </w:rPr>
        <w:fldChar w:fldCharType="begin"/>
      </w:r>
      <w:r>
        <w:rPr>
          <w:color w:val="auto"/>
        </w:rPr>
        <w:instrText xml:space="preserve"> PAGEREF _Toc26463 \h </w:instrText>
      </w:r>
      <w:r>
        <w:rPr>
          <w:color w:val="auto"/>
        </w:rPr>
        <w:fldChar w:fldCharType="separate"/>
      </w:r>
      <w:r>
        <w:rPr>
          <w:color w:val="auto"/>
        </w:rPr>
        <w:t>138</w:t>
      </w:r>
      <w:r>
        <w:rPr>
          <w:color w:val="auto"/>
        </w:rPr>
        <w:fldChar w:fldCharType="end"/>
      </w:r>
      <w:r>
        <w:rPr>
          <w:color w:val="auto"/>
        </w:rPr>
        <w:fldChar w:fldCharType="end"/>
      </w:r>
    </w:p>
    <w:p w14:paraId="4336E066">
      <w:pPr>
        <w:pStyle w:val="22"/>
        <w:tabs>
          <w:tab w:val="right" w:leader="dot" w:pos="8730"/>
        </w:tabs>
        <w:ind w:left="960"/>
        <w:rPr>
          <w:color w:val="auto"/>
        </w:rPr>
      </w:pPr>
      <w:r>
        <w:fldChar w:fldCharType="begin"/>
      </w:r>
      <w:r>
        <w:instrText xml:space="preserve"> HYPERLINK \l "_Toc29972" </w:instrText>
      </w:r>
      <w:r>
        <w:fldChar w:fldCharType="separate"/>
      </w:r>
      <w:r>
        <w:rPr>
          <w:rFonts w:eastAsia="宋体"/>
          <w:bCs/>
          <w:color w:val="auto"/>
          <w:kern w:val="2"/>
          <w:szCs w:val="32"/>
          <w:lang w:eastAsia="zh-CN" w:bidi="ar-SA"/>
        </w:rPr>
        <w:t>2. 监理报酬清单</w:t>
      </w:r>
      <w:r>
        <w:rPr>
          <w:color w:val="auto"/>
        </w:rPr>
        <w:tab/>
      </w:r>
      <w:r>
        <w:rPr>
          <w:color w:val="auto"/>
        </w:rPr>
        <w:fldChar w:fldCharType="begin"/>
      </w:r>
      <w:r>
        <w:rPr>
          <w:color w:val="auto"/>
        </w:rPr>
        <w:instrText xml:space="preserve"> PAGEREF _Toc29972 \h </w:instrText>
      </w:r>
      <w:r>
        <w:rPr>
          <w:color w:val="auto"/>
        </w:rPr>
        <w:fldChar w:fldCharType="separate"/>
      </w:r>
      <w:r>
        <w:rPr>
          <w:color w:val="auto"/>
        </w:rPr>
        <w:t>139</w:t>
      </w:r>
      <w:r>
        <w:rPr>
          <w:color w:val="auto"/>
        </w:rPr>
        <w:fldChar w:fldCharType="end"/>
      </w:r>
      <w:r>
        <w:rPr>
          <w:color w:val="auto"/>
        </w:rPr>
        <w:fldChar w:fldCharType="end"/>
      </w:r>
    </w:p>
    <w:p w14:paraId="2B4B71A9">
      <w:pPr>
        <w:pStyle w:val="37"/>
        <w:tabs>
          <w:tab w:val="right" w:leader="dot" w:pos="8730"/>
        </w:tabs>
        <w:ind w:left="480"/>
        <w:rPr>
          <w:color w:val="auto"/>
        </w:rPr>
      </w:pPr>
      <w:r>
        <w:fldChar w:fldCharType="begin"/>
      </w:r>
      <w:r>
        <w:instrText xml:space="preserve"> HYPERLINK \l "_Toc10169" </w:instrText>
      </w:r>
      <w:r>
        <w:fldChar w:fldCharType="separate"/>
      </w:r>
      <w:r>
        <w:rPr>
          <w:rFonts w:hint="eastAsia" w:ascii="宋体" w:hAnsi="宋体" w:eastAsia="宋体" w:cs="宋体"/>
          <w:color w:val="auto"/>
          <w:spacing w:val="-10"/>
          <w:szCs w:val="32"/>
          <w:lang w:eastAsia="zh-CN" w:bidi="ar-SA"/>
        </w:rPr>
        <w:t>三、开标一览表</w:t>
      </w:r>
      <w:r>
        <w:rPr>
          <w:color w:val="auto"/>
        </w:rPr>
        <w:tab/>
      </w:r>
      <w:r>
        <w:rPr>
          <w:color w:val="auto"/>
        </w:rPr>
        <w:fldChar w:fldCharType="begin"/>
      </w:r>
      <w:r>
        <w:rPr>
          <w:color w:val="auto"/>
        </w:rPr>
        <w:instrText xml:space="preserve"> PAGEREF _Toc10169 \h </w:instrText>
      </w:r>
      <w:r>
        <w:rPr>
          <w:color w:val="auto"/>
        </w:rPr>
        <w:fldChar w:fldCharType="separate"/>
      </w:r>
      <w:r>
        <w:rPr>
          <w:color w:val="auto"/>
        </w:rPr>
        <w:t>140</w:t>
      </w:r>
      <w:r>
        <w:rPr>
          <w:color w:val="auto"/>
        </w:rPr>
        <w:fldChar w:fldCharType="end"/>
      </w:r>
      <w:r>
        <w:rPr>
          <w:color w:val="auto"/>
        </w:rPr>
        <w:fldChar w:fldCharType="end"/>
      </w:r>
    </w:p>
    <w:p w14:paraId="08543A9D">
      <w:pPr>
        <w:widowControl/>
        <w:spacing w:line="360" w:lineRule="auto"/>
        <w:rPr>
          <w:rFonts w:hint="eastAsia" w:cs="宋体" w:asciiTheme="minorEastAsia" w:hAnsiTheme="minorEastAsia" w:eastAsiaTheme="minorEastAsia"/>
          <w:color w:val="auto"/>
          <w:w w:val="107"/>
          <w:lang w:eastAsia="zh-CN" w:bidi="ar-SA"/>
        </w:rPr>
      </w:pPr>
      <w:r>
        <w:rPr>
          <w:rFonts w:ascii="宋体" w:hAnsi="宋体" w:eastAsia="宋体" w:cs="宋体"/>
          <w:caps/>
          <w:color w:val="auto"/>
          <w:w w:val="107"/>
          <w:lang w:eastAsia="zh-CN" w:bidi="ar-SA"/>
        </w:rPr>
        <w:fldChar w:fldCharType="end"/>
      </w:r>
    </w:p>
    <w:p w14:paraId="225940D3">
      <w:pPr>
        <w:tabs>
          <w:tab w:val="left" w:pos="1114"/>
        </w:tabs>
        <w:rPr>
          <w:rFonts w:hint="eastAsia" w:cs="宋体" w:asciiTheme="minorEastAsia" w:hAnsiTheme="minorEastAsia" w:eastAsiaTheme="minorEastAsia"/>
          <w:color w:val="auto"/>
          <w:lang w:eastAsia="zh-CN" w:bidi="ar-SA"/>
        </w:rPr>
      </w:pPr>
      <w:r>
        <w:rPr>
          <w:rFonts w:cs="宋体" w:asciiTheme="minorEastAsia" w:hAnsiTheme="minorEastAsia" w:eastAsiaTheme="minorEastAsia"/>
          <w:color w:val="auto"/>
          <w:lang w:eastAsia="zh-CN" w:bidi="ar-SA"/>
        </w:rPr>
        <w:tab/>
      </w:r>
    </w:p>
    <w:p w14:paraId="5518A370">
      <w:pPr>
        <w:tabs>
          <w:tab w:val="left" w:pos="1114"/>
        </w:tabs>
        <w:rPr>
          <w:rFonts w:hint="eastAsia" w:cs="宋体" w:asciiTheme="minorEastAsia" w:hAnsiTheme="minorEastAsia" w:eastAsiaTheme="minorEastAsia"/>
          <w:color w:val="auto"/>
          <w:lang w:eastAsia="zh-CN" w:bidi="ar-SA"/>
        </w:rPr>
      </w:pPr>
    </w:p>
    <w:p w14:paraId="2D42CFCA">
      <w:pPr>
        <w:tabs>
          <w:tab w:val="left" w:pos="1114"/>
        </w:tabs>
        <w:rPr>
          <w:rFonts w:hint="eastAsia" w:cs="宋体" w:asciiTheme="minorEastAsia" w:hAnsiTheme="minorEastAsia" w:eastAsiaTheme="minorEastAsia"/>
          <w:color w:val="auto"/>
          <w:lang w:eastAsia="zh-CN" w:bidi="ar-SA"/>
        </w:rPr>
      </w:pPr>
      <w:r>
        <w:rPr>
          <w:rFonts w:cs="宋体" w:asciiTheme="minorEastAsia" w:hAnsiTheme="minorEastAsia" w:eastAsiaTheme="minorEastAsia"/>
          <w:color w:val="auto"/>
          <w:lang w:eastAsia="zh-CN" w:bidi="ar-SA"/>
        </w:rPr>
        <w:tab/>
      </w:r>
    </w:p>
    <w:p w14:paraId="772A3286">
      <w:pPr>
        <w:rPr>
          <w:rFonts w:hint="eastAsia" w:cs="宋体" w:asciiTheme="minorEastAsia" w:hAnsiTheme="minorEastAsia" w:eastAsiaTheme="minorEastAsia"/>
          <w:color w:val="auto"/>
          <w:lang w:eastAsia="zh-CN" w:bidi="ar-SA"/>
        </w:rPr>
      </w:pPr>
      <w:r>
        <w:rPr>
          <w:rFonts w:cs="宋体" w:asciiTheme="minorEastAsia" w:hAnsiTheme="minorEastAsia" w:eastAsiaTheme="minorEastAsia"/>
          <w:color w:val="auto"/>
          <w:lang w:eastAsia="zh-CN" w:bidi="ar-SA"/>
        </w:rPr>
        <w:br w:type="page"/>
      </w:r>
    </w:p>
    <w:p w14:paraId="7B2425D6">
      <w:pPr>
        <w:tabs>
          <w:tab w:val="left" w:pos="1114"/>
        </w:tabs>
        <w:jc w:val="center"/>
        <w:rPr>
          <w:rFonts w:hint="eastAsia" w:ascii="宋体" w:hAnsi="宋体" w:eastAsia="宋体"/>
          <w:b/>
          <w:color w:val="auto"/>
          <w:spacing w:val="-11"/>
          <w:sz w:val="44"/>
          <w:szCs w:val="44"/>
          <w:lang w:eastAsia="zh-CN" w:bidi="ar-SA"/>
        </w:rPr>
        <w:sectPr>
          <w:headerReference r:id="rId16" w:type="first"/>
          <w:footerReference r:id="rId19" w:type="first"/>
          <w:headerReference r:id="rId14" w:type="default"/>
          <w:footerReference r:id="rId17" w:type="default"/>
          <w:headerReference r:id="rId15" w:type="even"/>
          <w:footerReference r:id="rId18" w:type="even"/>
          <w:pgSz w:w="11906" w:h="16838"/>
          <w:pgMar w:top="1418" w:right="1588" w:bottom="1418" w:left="1588" w:header="680" w:footer="992" w:gutter="0"/>
          <w:pgNumType w:start="1"/>
          <w:cols w:space="720" w:num="1"/>
          <w:vAlign w:val="center"/>
          <w:docGrid w:linePitch="326" w:charSpace="0"/>
        </w:sectPr>
      </w:pPr>
      <w:r>
        <w:rPr>
          <w:rFonts w:hint="eastAsia" w:ascii="宋体" w:hAnsi="宋体" w:eastAsia="宋体"/>
          <w:b/>
          <w:color w:val="auto"/>
          <w:spacing w:val="-11"/>
          <w:sz w:val="44"/>
          <w:szCs w:val="44"/>
          <w:lang w:eastAsia="zh-CN" w:bidi="ar-SA"/>
        </w:rPr>
        <w:t>第一章    招标公告</w:t>
      </w:r>
    </w:p>
    <w:p w14:paraId="63F138F3">
      <w:pPr>
        <w:wordWrap w:val="0"/>
        <w:spacing w:line="360" w:lineRule="auto"/>
        <w:jc w:val="center"/>
        <w:rPr>
          <w:rFonts w:hint="eastAsia" w:ascii="宋体" w:hAnsi="宋体" w:eastAsia="宋体" w:cs="宋体"/>
          <w:b/>
          <w:color w:val="auto"/>
          <w:sz w:val="32"/>
          <w:szCs w:val="32"/>
          <w:u w:color="000000"/>
          <w:lang w:eastAsia="zh-CN" w:bidi="ar-SA"/>
        </w:rPr>
      </w:pPr>
      <w:r>
        <w:rPr>
          <w:rFonts w:hint="eastAsia" w:ascii="宋体" w:hAnsi="宋体" w:eastAsia="宋体" w:cs="宋体"/>
          <w:b/>
          <w:color w:val="auto"/>
          <w:sz w:val="32"/>
          <w:szCs w:val="32"/>
          <w:u w:color="000000"/>
          <w:lang w:eastAsia="zh-CN" w:bidi="ar-SA"/>
        </w:rPr>
        <w:t>新余市港口水运基础设施建设项目-袁河航道提升工程新余段库区工程第二标段监理</w:t>
      </w:r>
      <w:r>
        <w:rPr>
          <w:rFonts w:ascii="宋体" w:hAnsi="宋体" w:eastAsia="宋体" w:cs="宋体"/>
          <w:b/>
          <w:color w:val="auto"/>
          <w:sz w:val="32"/>
          <w:szCs w:val="32"/>
          <w:u w:color="000000"/>
          <w:lang w:eastAsia="zh-CN" w:bidi="ar-SA"/>
        </w:rPr>
        <w:t>招标公告</w:t>
      </w:r>
    </w:p>
    <w:p w14:paraId="3822B8D1">
      <w:pPr>
        <w:wordWrap w:val="0"/>
        <w:jc w:val="center"/>
        <w:rPr>
          <w:rFonts w:hint="eastAsia" w:ascii="黑体" w:hAnsi="黑体" w:eastAsia="黑体" w:cs="宋体"/>
          <w:color w:val="auto"/>
          <w:sz w:val="32"/>
          <w:szCs w:val="32"/>
          <w:u w:color="000000"/>
          <w:lang w:eastAsia="zh-CN" w:bidi="ar-SA"/>
        </w:rPr>
      </w:pPr>
    </w:p>
    <w:p w14:paraId="2718EB0A">
      <w:pPr>
        <w:pStyle w:val="6"/>
        <w:adjustRightInd w:val="0"/>
        <w:snapToGrid w:val="0"/>
        <w:spacing w:before="0" w:after="0" w:line="360" w:lineRule="auto"/>
        <w:jc w:val="both"/>
        <w:rPr>
          <w:rFonts w:ascii="Times New Roman" w:hAnsi="Times New Roman" w:eastAsia="黑体" w:cs="Times New Roman"/>
          <w:b w:val="0"/>
          <w:color w:val="auto"/>
          <w:kern w:val="28"/>
          <w:sz w:val="28"/>
          <w:lang w:eastAsia="zh-CN" w:bidi="ar-SA"/>
        </w:rPr>
      </w:pPr>
      <w:bookmarkStart w:id="1" w:name="_Toc29085"/>
      <w:r>
        <w:rPr>
          <w:rFonts w:ascii="Times New Roman" w:hAnsi="Times New Roman" w:eastAsia="黑体" w:cs="Times New Roman"/>
          <w:b w:val="0"/>
          <w:color w:val="auto"/>
          <w:kern w:val="28"/>
          <w:sz w:val="28"/>
          <w:lang w:eastAsia="zh-CN" w:bidi="ar-SA"/>
        </w:rPr>
        <w:t>1.</w:t>
      </w:r>
      <w:r>
        <w:rPr>
          <w:rFonts w:hint="eastAsia" w:ascii="Times New Roman" w:hAnsi="Times New Roman" w:eastAsia="黑体" w:cs="Times New Roman"/>
          <w:b w:val="0"/>
          <w:color w:val="auto"/>
          <w:kern w:val="28"/>
          <w:sz w:val="28"/>
          <w:lang w:eastAsia="zh-CN" w:bidi="ar-SA"/>
        </w:rPr>
        <w:t>招标条件</w:t>
      </w:r>
      <w:bookmarkEnd w:id="1"/>
    </w:p>
    <w:p w14:paraId="01FDB28E">
      <w:pPr>
        <w:spacing w:line="360" w:lineRule="auto"/>
        <w:ind w:firstLine="480" w:firstLineChars="200"/>
        <w:rPr>
          <w:rFonts w:hint="eastAsia" w:ascii="宋体" w:hAnsi="宋体" w:eastAsia="宋体"/>
          <w:color w:val="auto"/>
          <w:kern w:val="2"/>
          <w:lang w:eastAsia="zh-CN" w:bidi="ar-SA"/>
        </w:rPr>
      </w:pPr>
      <w:r>
        <w:rPr>
          <w:rFonts w:hint="eastAsia" w:ascii="宋体" w:hAnsi="宋体" w:eastAsia="宋体"/>
          <w:color w:val="auto"/>
          <w:kern w:val="2"/>
          <w:lang w:eastAsia="zh-CN" w:bidi="ar-SA"/>
        </w:rPr>
        <w:t>本招标项目新余市港口水运基础设施建设项目-袁河航道提升工程新余段库区工程第二标段监理（以下简称“本项目”）已由江西省发展和改革委员会（项目统一代码：2109-360000-04-01-530232）批准建设，施工图设计已由江西省交通运输厅以赣交许字[2025]175号文批复。项目法人单位为江西省港口集团有限公司，本项目招标人为新余市投资控股集团有限公司，建设资金来源为自筹，项目出资比例为100%，资金已落实。项目已具备招标条件，现对本项目监理进行公开招标。</w:t>
      </w:r>
    </w:p>
    <w:p w14:paraId="7CB7B5D8">
      <w:pPr>
        <w:pStyle w:val="6"/>
        <w:adjustRightInd w:val="0"/>
        <w:snapToGrid w:val="0"/>
        <w:spacing w:before="0" w:after="0" w:line="360" w:lineRule="auto"/>
        <w:jc w:val="both"/>
        <w:rPr>
          <w:rFonts w:ascii="Times New Roman" w:hAnsi="Times New Roman" w:eastAsia="黑体" w:cs="Times New Roman"/>
          <w:b w:val="0"/>
          <w:color w:val="auto"/>
          <w:kern w:val="28"/>
          <w:sz w:val="28"/>
          <w:lang w:eastAsia="zh-CN" w:bidi="ar-SA"/>
        </w:rPr>
      </w:pPr>
      <w:bookmarkStart w:id="2" w:name="_Toc22698"/>
      <w:r>
        <w:rPr>
          <w:rFonts w:ascii="Times New Roman" w:hAnsi="Times New Roman" w:eastAsia="黑体" w:cs="Times New Roman"/>
          <w:b w:val="0"/>
          <w:color w:val="auto"/>
          <w:kern w:val="28"/>
          <w:sz w:val="28"/>
          <w:lang w:eastAsia="zh-CN" w:bidi="ar-SA"/>
        </w:rPr>
        <w:t>2.</w:t>
      </w:r>
      <w:r>
        <w:rPr>
          <w:rFonts w:hint="eastAsia" w:ascii="Times New Roman" w:hAnsi="Times New Roman" w:eastAsia="黑体" w:cs="Times New Roman"/>
          <w:b w:val="0"/>
          <w:color w:val="auto"/>
          <w:kern w:val="28"/>
          <w:sz w:val="28"/>
          <w:lang w:eastAsia="zh-CN" w:bidi="ar-SA"/>
        </w:rPr>
        <w:t>项目概况与招标范围</w:t>
      </w:r>
      <w:bookmarkEnd w:id="2"/>
    </w:p>
    <w:p w14:paraId="2EC80B85">
      <w:pPr>
        <w:adjustRightInd w:val="0"/>
        <w:snapToGrid w:val="0"/>
        <w:spacing w:line="360" w:lineRule="auto"/>
        <w:ind w:firstLine="470" w:firstLineChars="196"/>
        <w:jc w:val="both"/>
        <w:rPr>
          <w:rFonts w:hint="eastAsia" w:ascii="宋体" w:hAnsi="宋体" w:eastAsia="宋体"/>
          <w:color w:val="auto"/>
          <w:kern w:val="2"/>
          <w:lang w:eastAsia="zh-CN" w:bidi="ar-SA"/>
        </w:rPr>
      </w:pPr>
      <w:r>
        <w:rPr>
          <w:rFonts w:hint="eastAsia" w:ascii="宋体" w:hAnsi="宋体" w:eastAsia="宋体"/>
          <w:color w:val="auto"/>
          <w:kern w:val="2"/>
          <w:lang w:eastAsia="zh-CN" w:bidi="ar-SA"/>
        </w:rPr>
        <w:t>2.1</w:t>
      </w:r>
      <w:r>
        <w:rPr>
          <w:rFonts w:ascii="宋体" w:hAnsi="宋体" w:eastAsia="宋体"/>
          <w:color w:val="auto"/>
          <w:kern w:val="2"/>
          <w:lang w:eastAsia="zh-CN" w:bidi="ar-SA"/>
        </w:rPr>
        <w:t xml:space="preserve"> </w:t>
      </w:r>
      <w:r>
        <w:rPr>
          <w:rFonts w:hint="eastAsia" w:ascii="宋体" w:hAnsi="宋体" w:eastAsia="宋体"/>
          <w:color w:val="auto"/>
          <w:kern w:val="2"/>
          <w:lang w:eastAsia="zh-CN" w:bidi="ar-SA"/>
        </w:rPr>
        <w:t>项目概况</w:t>
      </w:r>
    </w:p>
    <w:p w14:paraId="4B6EB506">
      <w:pPr>
        <w:adjustRightInd w:val="0"/>
        <w:snapToGrid w:val="0"/>
        <w:spacing w:line="360" w:lineRule="auto"/>
        <w:ind w:firstLine="470" w:firstLineChars="196"/>
        <w:jc w:val="both"/>
        <w:rPr>
          <w:rFonts w:hint="eastAsia" w:ascii="宋体" w:hAnsi="宋体" w:eastAsia="宋体" w:cs="宋体"/>
          <w:color w:val="auto"/>
          <w:szCs w:val="20"/>
          <w:lang w:eastAsia="zh-CN"/>
        </w:rPr>
      </w:pPr>
      <w:bookmarkStart w:id="3" w:name="_Hlk38805492"/>
      <w:r>
        <w:rPr>
          <w:rFonts w:hint="eastAsia" w:ascii="宋体" w:hAnsi="宋体" w:eastAsia="宋体" w:cs="宋体"/>
          <w:color w:val="auto"/>
          <w:szCs w:val="20"/>
          <w:lang w:eastAsia="zh-CN"/>
        </w:rPr>
        <w:t>新余市港口水运基础设施建设项目</w:t>
      </w:r>
      <w:r>
        <w:rPr>
          <w:rFonts w:ascii="宋体" w:hAnsi="宋体" w:eastAsia="宋体" w:cs="宋体"/>
          <w:color w:val="auto"/>
          <w:szCs w:val="20"/>
          <w:lang w:eastAsia="zh-CN"/>
        </w:rPr>
        <w:t>-</w:t>
      </w:r>
      <w:r>
        <w:rPr>
          <w:rFonts w:hint="eastAsia" w:ascii="宋体" w:hAnsi="宋体" w:eastAsia="宋体" w:cs="宋体"/>
          <w:color w:val="auto"/>
          <w:szCs w:val="20"/>
          <w:lang w:eastAsia="zh-CN"/>
        </w:rPr>
        <w:t>袁河航道提升工程新余段库区工程第二标段为袁河航道提升工程的配套、附属工程，设计内容包括拆除重建河坪和泥洲电排站，新建新屋上电排站和彭家自排闸</w:t>
      </w:r>
      <w:r>
        <w:rPr>
          <w:rFonts w:ascii="宋体" w:hAnsi="宋体" w:eastAsia="宋体" w:cs="宋体"/>
          <w:color w:val="auto"/>
          <w:szCs w:val="20"/>
          <w:lang w:eastAsia="zh-CN"/>
        </w:rPr>
        <w:t>,</w:t>
      </w:r>
      <w:r>
        <w:rPr>
          <w:rFonts w:hint="eastAsia" w:ascii="宋体" w:hAnsi="宋体" w:eastAsia="宋体" w:cs="宋体"/>
          <w:color w:val="auto"/>
          <w:szCs w:val="20"/>
          <w:lang w:eastAsia="zh-CN"/>
        </w:rPr>
        <w:t>库岸加固工程，防渗墙工程,</w:t>
      </w:r>
      <w:r>
        <w:rPr>
          <w:rFonts w:hint="eastAsia"/>
          <w:lang w:eastAsia="zh-CN"/>
        </w:rPr>
        <w:t xml:space="preserve"> </w:t>
      </w:r>
      <w:r>
        <w:rPr>
          <w:rFonts w:hint="eastAsia" w:ascii="宋体" w:hAnsi="宋体" w:eastAsia="宋体" w:cs="宋体"/>
          <w:color w:val="auto"/>
          <w:szCs w:val="20"/>
          <w:lang w:eastAsia="zh-CN"/>
        </w:rPr>
        <w:t>污水提升泵站和污水管线工程等。</w:t>
      </w:r>
    </w:p>
    <w:p w14:paraId="71237A7F">
      <w:pPr>
        <w:adjustRightInd w:val="0"/>
        <w:snapToGrid w:val="0"/>
        <w:spacing w:line="360" w:lineRule="auto"/>
        <w:ind w:firstLine="470" w:firstLineChars="196"/>
        <w:jc w:val="both"/>
        <w:rPr>
          <w:rFonts w:hint="eastAsia" w:ascii="宋体" w:hAnsi="宋体" w:eastAsia="宋体"/>
          <w:color w:val="auto"/>
          <w:kern w:val="2"/>
          <w:lang w:eastAsia="zh-CN" w:bidi="ar-SA"/>
        </w:rPr>
      </w:pPr>
      <w:r>
        <w:rPr>
          <w:rFonts w:ascii="宋体" w:hAnsi="宋体" w:eastAsia="宋体"/>
          <w:color w:val="auto"/>
          <w:kern w:val="2"/>
          <w:lang w:eastAsia="zh-CN" w:bidi="ar-SA"/>
        </w:rPr>
        <w:t xml:space="preserve">2.2 </w:t>
      </w:r>
      <w:r>
        <w:rPr>
          <w:rFonts w:hint="eastAsia" w:ascii="宋体" w:hAnsi="宋体" w:eastAsia="宋体"/>
          <w:color w:val="auto"/>
          <w:kern w:val="2"/>
          <w:lang w:eastAsia="zh-CN" w:bidi="ar-SA"/>
        </w:rPr>
        <w:t>标段划分及招标范围</w:t>
      </w:r>
    </w:p>
    <w:p w14:paraId="791F59BD">
      <w:pPr>
        <w:spacing w:line="360" w:lineRule="auto"/>
        <w:ind w:firstLine="480" w:firstLineChars="200"/>
        <w:rPr>
          <w:rFonts w:hint="eastAsia" w:ascii="宋体" w:hAnsi="宋体" w:eastAsia="宋体"/>
          <w:color w:val="auto"/>
          <w:kern w:val="2"/>
          <w:lang w:eastAsia="zh-CN" w:bidi="ar-SA"/>
        </w:rPr>
      </w:pPr>
      <w:bookmarkStart w:id="4" w:name="_Hlk504552181"/>
      <w:r>
        <w:rPr>
          <w:rFonts w:hint="eastAsia" w:ascii="宋体" w:hAnsi="宋体" w:eastAsia="宋体"/>
          <w:color w:val="auto"/>
          <w:kern w:val="2"/>
          <w:lang w:eastAsia="zh-CN" w:bidi="ar-SA"/>
        </w:rPr>
        <w:t>本项目标段划分初步拟定为1个标段，控制价为192万元。</w:t>
      </w:r>
    </w:p>
    <w:p w14:paraId="42C28E63">
      <w:pPr>
        <w:spacing w:line="360" w:lineRule="auto"/>
        <w:ind w:firstLine="480" w:firstLineChars="200"/>
        <w:rPr>
          <w:rFonts w:hint="eastAsia" w:ascii="宋体" w:hAnsi="宋体" w:eastAsia="宋体"/>
          <w:color w:val="auto"/>
          <w:kern w:val="2"/>
          <w:lang w:eastAsia="zh-CN" w:bidi="ar-SA"/>
        </w:rPr>
      </w:pPr>
      <w:r>
        <w:rPr>
          <w:rFonts w:hint="eastAsia" w:ascii="宋体" w:hAnsi="宋体" w:eastAsia="宋体"/>
          <w:color w:val="auto"/>
          <w:kern w:val="2"/>
          <w:lang w:eastAsia="zh-CN" w:bidi="ar-SA"/>
        </w:rPr>
        <w:t>监理服务招标范围为：施工图纸范围内土建、设备安装相关全部工程（施工图设计及施工准备阶段、施工阶段、交工验收阶段、工程结算、缺陷责任期阶段、竣工验收阶段等）的质量、进度、投资控制和安全生产监督管理的全过程监理。</w:t>
      </w:r>
    </w:p>
    <w:bookmarkEnd w:id="3"/>
    <w:bookmarkEnd w:id="4"/>
    <w:p w14:paraId="3CDD4701">
      <w:pPr>
        <w:adjustRightInd w:val="0"/>
        <w:snapToGrid w:val="0"/>
        <w:spacing w:line="360" w:lineRule="auto"/>
        <w:ind w:firstLine="470" w:firstLineChars="196"/>
        <w:jc w:val="both"/>
        <w:rPr>
          <w:rFonts w:hint="eastAsia" w:ascii="宋体" w:hAnsi="宋体" w:eastAsia="宋体"/>
          <w:color w:val="auto"/>
          <w:kern w:val="2"/>
          <w:lang w:eastAsia="zh-CN" w:bidi="ar-SA"/>
        </w:rPr>
      </w:pPr>
      <w:bookmarkStart w:id="5" w:name="_Hlk38097759"/>
      <w:r>
        <w:rPr>
          <w:rFonts w:hint="eastAsia" w:ascii="宋体" w:hAnsi="宋体" w:eastAsia="宋体"/>
          <w:color w:val="auto"/>
          <w:kern w:val="2"/>
          <w:lang w:eastAsia="zh-CN" w:bidi="ar-SA"/>
        </w:rPr>
        <w:t>2.</w:t>
      </w:r>
      <w:r>
        <w:rPr>
          <w:rFonts w:ascii="宋体" w:hAnsi="宋体" w:eastAsia="宋体"/>
          <w:color w:val="auto"/>
          <w:kern w:val="2"/>
          <w:lang w:eastAsia="zh-CN" w:bidi="ar-SA"/>
        </w:rPr>
        <w:t xml:space="preserve">3 </w:t>
      </w:r>
      <w:r>
        <w:rPr>
          <w:rFonts w:hint="eastAsia" w:ascii="宋体" w:hAnsi="宋体" w:eastAsia="宋体"/>
          <w:color w:val="auto"/>
          <w:kern w:val="2"/>
          <w:lang w:eastAsia="zh-CN" w:bidi="ar-SA"/>
        </w:rPr>
        <w:t>计划工期</w:t>
      </w:r>
    </w:p>
    <w:p w14:paraId="0FF9BF71">
      <w:pPr>
        <w:adjustRightInd w:val="0"/>
        <w:snapToGrid w:val="0"/>
        <w:spacing w:line="360" w:lineRule="auto"/>
        <w:ind w:firstLine="470" w:firstLineChars="196"/>
        <w:jc w:val="both"/>
        <w:rPr>
          <w:rFonts w:hint="eastAsia" w:ascii="宋体" w:hAnsi="宋体" w:eastAsia="宋体"/>
          <w:color w:val="auto"/>
          <w:kern w:val="2"/>
          <w:lang w:eastAsia="zh-CN" w:bidi="ar-SA"/>
        </w:rPr>
      </w:pPr>
      <w:bookmarkStart w:id="6" w:name="_Hlk62223454"/>
      <w:r>
        <w:rPr>
          <w:rFonts w:hint="eastAsia" w:ascii="宋体" w:hAnsi="宋体" w:eastAsia="宋体"/>
          <w:color w:val="auto"/>
          <w:kern w:val="2"/>
          <w:lang w:eastAsia="zh-CN" w:bidi="ar-SA"/>
        </w:rPr>
        <w:t>项目计划开工时间为18个月，拟于2025年11月开工，2027年4月竣工。</w:t>
      </w:r>
    </w:p>
    <w:bookmarkEnd w:id="6"/>
    <w:p w14:paraId="7B320FDD">
      <w:pPr>
        <w:pStyle w:val="6"/>
        <w:adjustRightInd w:val="0"/>
        <w:snapToGrid w:val="0"/>
        <w:spacing w:before="0" w:after="0" w:line="360" w:lineRule="auto"/>
        <w:jc w:val="both"/>
        <w:rPr>
          <w:rFonts w:ascii="Times New Roman" w:hAnsi="Times New Roman" w:eastAsia="黑体" w:cs="Times New Roman"/>
          <w:b w:val="0"/>
          <w:color w:val="auto"/>
          <w:kern w:val="28"/>
          <w:sz w:val="28"/>
          <w:lang w:eastAsia="zh-CN" w:bidi="ar-SA"/>
        </w:rPr>
      </w:pPr>
      <w:bookmarkStart w:id="7" w:name="_Toc2482"/>
      <w:r>
        <w:rPr>
          <w:rFonts w:hint="eastAsia" w:ascii="Times New Roman" w:hAnsi="Times New Roman" w:eastAsia="黑体" w:cs="Times New Roman"/>
          <w:b w:val="0"/>
          <w:color w:val="auto"/>
          <w:kern w:val="28"/>
          <w:sz w:val="28"/>
          <w:lang w:eastAsia="zh-CN" w:bidi="ar-SA"/>
        </w:rPr>
        <w:t>3.投标人资格要求</w:t>
      </w:r>
      <w:bookmarkEnd w:id="7"/>
    </w:p>
    <w:p w14:paraId="4A978BDE">
      <w:pPr>
        <w:adjustRightInd w:val="0"/>
        <w:snapToGrid w:val="0"/>
        <w:spacing w:line="360" w:lineRule="auto"/>
        <w:ind w:firstLine="470" w:firstLineChars="196"/>
        <w:jc w:val="both"/>
        <w:rPr>
          <w:rFonts w:hint="eastAsia" w:ascii="宋体" w:hAnsi="宋体" w:eastAsia="宋体"/>
          <w:color w:val="auto"/>
          <w:kern w:val="2"/>
          <w:lang w:eastAsia="zh-CN" w:bidi="ar-SA"/>
        </w:rPr>
      </w:pPr>
      <w:bookmarkStart w:id="8" w:name="_Hlk46753046"/>
      <w:r>
        <w:rPr>
          <w:rFonts w:ascii="宋体" w:hAnsi="宋体" w:eastAsia="宋体"/>
          <w:color w:val="auto"/>
          <w:kern w:val="2"/>
          <w:lang w:eastAsia="zh-CN" w:bidi="ar-SA"/>
        </w:rPr>
        <w:t>3.1 本次招标要求投标人</w:t>
      </w:r>
      <w:r>
        <w:rPr>
          <w:rFonts w:hint="eastAsia" w:ascii="宋体" w:hAnsi="宋体" w:eastAsia="宋体"/>
          <w:color w:val="auto"/>
          <w:kern w:val="2"/>
          <w:lang w:eastAsia="zh-CN" w:bidi="ar-SA"/>
        </w:rPr>
        <w:t>具备的资质条件、财务要求、业绩要求、信誉要求、总监理工程师资格最低要求、其他主要人员要求详见附录</w:t>
      </w:r>
      <w:r>
        <w:rPr>
          <w:rFonts w:ascii="宋体" w:hAnsi="宋体" w:eastAsia="宋体"/>
          <w:color w:val="auto"/>
          <w:kern w:val="2"/>
          <w:lang w:eastAsia="zh-CN" w:bidi="ar-SA"/>
        </w:rPr>
        <w:t>1</w:t>
      </w:r>
      <w:r>
        <w:rPr>
          <w:rFonts w:hint="eastAsia" w:ascii="宋体" w:hAnsi="宋体" w:eastAsia="宋体"/>
          <w:color w:val="auto"/>
          <w:kern w:val="2"/>
          <w:lang w:eastAsia="zh-CN" w:bidi="ar-SA"/>
        </w:rPr>
        <w:t>至附录6，并具备承担本标段施工监理的能力</w:t>
      </w:r>
      <w:r>
        <w:rPr>
          <w:rFonts w:ascii="宋体" w:hAnsi="宋体" w:eastAsia="宋体"/>
          <w:color w:val="auto"/>
          <w:kern w:val="2"/>
          <w:lang w:eastAsia="zh-CN" w:bidi="ar-SA"/>
        </w:rPr>
        <w:t>。</w:t>
      </w:r>
    </w:p>
    <w:p w14:paraId="32DDA3C8">
      <w:pPr>
        <w:adjustRightInd w:val="0"/>
        <w:snapToGrid w:val="0"/>
        <w:spacing w:line="360" w:lineRule="auto"/>
        <w:ind w:firstLine="470" w:firstLineChars="196"/>
        <w:jc w:val="both"/>
        <w:rPr>
          <w:rFonts w:hint="eastAsia" w:ascii="宋体" w:hAnsi="宋体" w:eastAsia="宋体"/>
          <w:color w:val="auto"/>
          <w:kern w:val="2"/>
          <w:lang w:eastAsia="zh-CN" w:bidi="ar-SA"/>
        </w:rPr>
      </w:pPr>
      <w:bookmarkStart w:id="9" w:name="_Hlk45104978"/>
      <w:r>
        <w:rPr>
          <w:rFonts w:hint="eastAsia" w:ascii="宋体" w:hAnsi="宋体" w:eastAsia="宋体"/>
          <w:color w:val="auto"/>
          <w:kern w:val="2"/>
          <w:lang w:eastAsia="zh-CN" w:bidi="ar-SA"/>
        </w:rPr>
        <w:t>3.2本次招标项目不接受联合体投标。</w:t>
      </w:r>
      <w:bookmarkEnd w:id="9"/>
      <w:bookmarkStart w:id="10" w:name="_Hlk45104961"/>
    </w:p>
    <w:p w14:paraId="7BE10B37">
      <w:pPr>
        <w:adjustRightInd w:val="0"/>
        <w:snapToGrid w:val="0"/>
        <w:spacing w:line="360" w:lineRule="auto"/>
        <w:ind w:firstLine="470" w:firstLineChars="196"/>
        <w:jc w:val="both"/>
        <w:rPr>
          <w:rFonts w:hint="eastAsia" w:ascii="宋体" w:hAnsi="宋体" w:eastAsia="宋体"/>
          <w:color w:val="auto"/>
          <w:kern w:val="2"/>
          <w:lang w:eastAsia="zh-CN" w:bidi="ar-SA"/>
        </w:rPr>
      </w:pPr>
      <w:r>
        <w:rPr>
          <w:rFonts w:hint="eastAsia" w:ascii="宋体" w:hAnsi="宋体" w:eastAsia="宋体"/>
          <w:color w:val="auto"/>
          <w:kern w:val="2"/>
          <w:lang w:eastAsia="zh-CN" w:bidi="ar-SA"/>
        </w:rPr>
        <w:t>3</w:t>
      </w:r>
      <w:r>
        <w:rPr>
          <w:rFonts w:ascii="宋体" w:hAnsi="宋体" w:eastAsia="宋体"/>
          <w:color w:val="auto"/>
          <w:kern w:val="2"/>
          <w:lang w:eastAsia="zh-CN" w:bidi="ar-SA"/>
        </w:rPr>
        <w:t xml:space="preserve">.3 </w:t>
      </w:r>
      <w:r>
        <w:rPr>
          <w:rFonts w:hint="eastAsia" w:ascii="宋体" w:hAnsi="宋体" w:eastAsia="宋体"/>
          <w:color w:val="auto"/>
          <w:kern w:val="2"/>
          <w:lang w:eastAsia="zh-CN" w:bidi="ar-SA"/>
        </w:rPr>
        <w:t>对投标人信用等级的认定条件为：在江西省交通运输厅发布的</w:t>
      </w:r>
      <w:r>
        <w:rPr>
          <w:rFonts w:ascii="宋体" w:hAnsi="宋体" w:eastAsia="宋体"/>
          <w:color w:val="auto"/>
          <w:kern w:val="2"/>
          <w:lang w:eastAsia="zh-CN" w:bidi="ar-SA"/>
        </w:rPr>
        <w:t>2024年度</w:t>
      </w:r>
      <w:r>
        <w:rPr>
          <w:rFonts w:hint="eastAsia" w:ascii="宋体" w:hAnsi="宋体" w:eastAsia="宋体"/>
          <w:color w:val="auto"/>
          <w:kern w:val="2"/>
          <w:lang w:eastAsia="zh-CN" w:bidi="ar-SA"/>
        </w:rPr>
        <w:t>全省公路水运监理信用评价结果中，均未被评定为</w:t>
      </w:r>
      <w:r>
        <w:rPr>
          <w:rFonts w:ascii="宋体" w:hAnsi="宋体" w:eastAsia="宋体"/>
          <w:color w:val="auto"/>
          <w:kern w:val="2"/>
          <w:lang w:eastAsia="zh-CN" w:bidi="ar-SA"/>
        </w:rPr>
        <w:t>D</w:t>
      </w:r>
      <w:r>
        <w:rPr>
          <w:rFonts w:hint="eastAsia" w:ascii="宋体" w:hAnsi="宋体" w:eastAsia="宋体"/>
          <w:color w:val="auto"/>
          <w:kern w:val="2"/>
          <w:lang w:eastAsia="zh-CN" w:bidi="ar-SA"/>
        </w:rPr>
        <w:t>级；若投标人未参与评价，其信用等级按</w:t>
      </w:r>
      <w:r>
        <w:rPr>
          <w:rFonts w:ascii="宋体" w:hAnsi="宋体" w:eastAsia="宋体"/>
          <w:color w:val="auto"/>
          <w:kern w:val="2"/>
          <w:lang w:eastAsia="zh-CN" w:bidi="ar-SA"/>
        </w:rPr>
        <w:t>B</w:t>
      </w:r>
      <w:r>
        <w:rPr>
          <w:rFonts w:hint="eastAsia" w:ascii="宋体" w:hAnsi="宋体" w:eastAsia="宋体"/>
          <w:color w:val="auto"/>
          <w:kern w:val="2"/>
          <w:lang w:eastAsia="zh-CN" w:bidi="ar-SA"/>
        </w:rPr>
        <w:t>级对待。</w:t>
      </w:r>
      <w:bookmarkEnd w:id="10"/>
    </w:p>
    <w:p w14:paraId="03783BD7">
      <w:pPr>
        <w:adjustRightInd w:val="0"/>
        <w:snapToGrid w:val="0"/>
        <w:spacing w:line="360" w:lineRule="auto"/>
        <w:ind w:firstLine="470" w:firstLineChars="196"/>
        <w:jc w:val="both"/>
        <w:rPr>
          <w:rFonts w:hint="eastAsia" w:ascii="宋体" w:hAnsi="宋体" w:eastAsia="宋体"/>
          <w:color w:val="auto"/>
          <w:kern w:val="2"/>
          <w:lang w:eastAsia="zh-CN" w:bidi="ar-SA"/>
        </w:rPr>
      </w:pPr>
      <w:r>
        <w:rPr>
          <w:rFonts w:ascii="宋体" w:hAnsi="宋体" w:eastAsia="宋体"/>
          <w:color w:val="auto"/>
          <w:kern w:val="2"/>
          <w:lang w:eastAsia="zh-CN" w:bidi="ar-SA"/>
        </w:rPr>
        <w:t>3.4 与招标人存在利害关系可能影响招标公正性的单位，不得参加投标。单位负责人为同一人或存在控股、管理关系的不同单位，不得参加同一标段投标，否则，相关</w:t>
      </w:r>
      <w:r>
        <w:rPr>
          <w:rFonts w:hint="eastAsia" w:ascii="宋体" w:hAnsi="宋体" w:eastAsia="宋体"/>
          <w:color w:val="auto"/>
          <w:kern w:val="2"/>
          <w:lang w:eastAsia="zh-CN" w:bidi="ar-SA"/>
        </w:rPr>
        <w:t>投标</w:t>
      </w:r>
      <w:r>
        <w:rPr>
          <w:rFonts w:ascii="宋体" w:hAnsi="宋体" w:eastAsia="宋体"/>
          <w:color w:val="auto"/>
          <w:kern w:val="2"/>
          <w:lang w:eastAsia="zh-CN" w:bidi="ar-SA"/>
        </w:rPr>
        <w:t>均无效。</w:t>
      </w:r>
    </w:p>
    <w:p w14:paraId="369C4826">
      <w:pPr>
        <w:adjustRightInd w:val="0"/>
        <w:snapToGrid w:val="0"/>
        <w:spacing w:line="360" w:lineRule="auto"/>
        <w:ind w:firstLine="470" w:firstLineChars="196"/>
        <w:jc w:val="both"/>
        <w:rPr>
          <w:rFonts w:hint="eastAsia" w:ascii="宋体" w:hAnsi="宋体" w:eastAsia="宋体"/>
          <w:color w:val="auto"/>
          <w:kern w:val="2"/>
          <w:lang w:eastAsia="zh-CN" w:bidi="ar-SA"/>
        </w:rPr>
      </w:pPr>
      <w:r>
        <w:rPr>
          <w:rFonts w:ascii="宋体" w:hAnsi="宋体" w:eastAsia="宋体"/>
          <w:color w:val="auto"/>
          <w:kern w:val="2"/>
          <w:lang w:eastAsia="zh-CN" w:bidi="ar-SA"/>
        </w:rPr>
        <w:t>3.5</w:t>
      </w:r>
      <w:r>
        <w:rPr>
          <w:rFonts w:hint="eastAsia" w:ascii="宋体" w:hAnsi="宋体" w:eastAsia="宋体"/>
          <w:color w:val="auto"/>
          <w:kern w:val="2"/>
          <w:lang w:eastAsia="zh-CN" w:bidi="ar-SA"/>
        </w:rPr>
        <w:t xml:space="preserve"> </w:t>
      </w:r>
      <w:r>
        <w:rPr>
          <w:rFonts w:ascii="宋体" w:hAnsi="宋体" w:eastAsia="宋体"/>
          <w:color w:val="auto"/>
          <w:kern w:val="2"/>
          <w:lang w:eastAsia="zh-CN" w:bidi="ar-SA"/>
        </w:rPr>
        <w:t>在</w:t>
      </w:r>
      <w:r>
        <w:rPr>
          <w:rFonts w:hint="eastAsia" w:ascii="宋体" w:hAnsi="宋体" w:eastAsia="宋体"/>
          <w:color w:val="auto"/>
          <w:kern w:val="2"/>
          <w:lang w:eastAsia="zh-CN" w:bidi="ar-SA"/>
        </w:rPr>
        <w:t>“</w:t>
      </w:r>
      <w:r>
        <w:rPr>
          <w:rFonts w:ascii="宋体" w:hAnsi="宋体" w:eastAsia="宋体"/>
          <w:color w:val="auto"/>
          <w:kern w:val="2"/>
          <w:lang w:eastAsia="zh-CN" w:bidi="ar-SA"/>
        </w:rPr>
        <w:t>信用中国</w:t>
      </w:r>
      <w:r>
        <w:rPr>
          <w:rFonts w:hint="eastAsia" w:ascii="宋体" w:hAnsi="宋体" w:eastAsia="宋体"/>
          <w:color w:val="auto"/>
          <w:kern w:val="2"/>
          <w:lang w:eastAsia="zh-CN" w:bidi="ar-SA"/>
        </w:rPr>
        <w:t>”</w:t>
      </w:r>
      <w:r>
        <w:rPr>
          <w:rFonts w:ascii="宋体" w:hAnsi="宋体" w:eastAsia="宋体"/>
          <w:color w:val="auto"/>
          <w:kern w:val="2"/>
          <w:lang w:eastAsia="zh-CN" w:bidi="ar-SA"/>
        </w:rPr>
        <w:t>网站（ http</w:t>
      </w:r>
      <w:r>
        <w:rPr>
          <w:rFonts w:hint="eastAsia" w:ascii="宋体" w:hAnsi="宋体" w:eastAsia="宋体"/>
          <w:color w:val="auto"/>
          <w:kern w:val="2"/>
          <w:lang w:eastAsia="zh-CN" w:bidi="ar-SA"/>
        </w:rPr>
        <w:t>:</w:t>
      </w:r>
      <w:r>
        <w:rPr>
          <w:rFonts w:ascii="宋体" w:hAnsi="宋体" w:eastAsia="宋体"/>
          <w:color w:val="auto"/>
          <w:kern w:val="2"/>
          <w:lang w:eastAsia="zh-CN" w:bidi="ar-SA"/>
        </w:rPr>
        <w:t>//www.creditchina.gov.cn/）中被列入失信被执行人名单的投标人</w:t>
      </w:r>
      <w:r>
        <w:rPr>
          <w:rFonts w:hint="eastAsia" w:ascii="宋体" w:hAnsi="宋体" w:eastAsia="宋体"/>
          <w:color w:val="auto"/>
          <w:kern w:val="2"/>
          <w:lang w:eastAsia="zh-CN" w:bidi="ar-SA"/>
        </w:rPr>
        <w:t>，</w:t>
      </w:r>
      <w:r>
        <w:rPr>
          <w:rFonts w:ascii="宋体" w:hAnsi="宋体" w:eastAsia="宋体"/>
          <w:color w:val="auto"/>
          <w:kern w:val="2"/>
          <w:lang w:eastAsia="zh-CN" w:bidi="ar-SA"/>
        </w:rPr>
        <w:t>不得参加投标。</w:t>
      </w:r>
    </w:p>
    <w:p w14:paraId="2488B79E">
      <w:pPr>
        <w:adjustRightInd w:val="0"/>
        <w:snapToGrid w:val="0"/>
        <w:spacing w:line="360" w:lineRule="auto"/>
        <w:ind w:firstLine="470" w:firstLineChars="196"/>
        <w:jc w:val="both"/>
        <w:rPr>
          <w:rFonts w:hint="eastAsia" w:ascii="宋体" w:hAnsi="宋体" w:eastAsia="宋体"/>
          <w:color w:val="auto"/>
          <w:kern w:val="2"/>
          <w:lang w:eastAsia="zh-CN" w:bidi="ar-SA"/>
        </w:rPr>
      </w:pPr>
      <w:r>
        <w:rPr>
          <w:rFonts w:ascii="宋体" w:hAnsi="宋体" w:eastAsia="宋体"/>
          <w:color w:val="auto"/>
          <w:kern w:val="2"/>
          <w:lang w:eastAsia="zh-CN" w:bidi="ar-SA"/>
        </w:rPr>
        <w:t>3.6在国家企业信用信息公示系统（http://www.gsxt.gov.cn/）中被列入</w:t>
      </w:r>
      <w:r>
        <w:rPr>
          <w:rFonts w:hint="eastAsia" w:ascii="宋体" w:hAnsi="宋体" w:eastAsia="宋体"/>
          <w:color w:val="auto"/>
          <w:kern w:val="2"/>
          <w:lang w:eastAsia="zh-CN" w:bidi="ar-SA"/>
        </w:rPr>
        <w:t>严重违法失信</w:t>
      </w:r>
      <w:r>
        <w:rPr>
          <w:rFonts w:ascii="宋体" w:hAnsi="宋体" w:eastAsia="宋体"/>
          <w:color w:val="auto"/>
          <w:kern w:val="2"/>
          <w:lang w:eastAsia="zh-CN" w:bidi="ar-SA"/>
        </w:rPr>
        <w:t>名单的投标人不得参加投标。</w:t>
      </w:r>
      <w:bookmarkEnd w:id="8"/>
    </w:p>
    <w:p w14:paraId="2BF8EBC3">
      <w:pPr>
        <w:pStyle w:val="6"/>
        <w:adjustRightInd w:val="0"/>
        <w:snapToGrid w:val="0"/>
        <w:spacing w:before="0" w:after="0" w:line="360" w:lineRule="auto"/>
        <w:jc w:val="both"/>
        <w:rPr>
          <w:rFonts w:ascii="Times New Roman" w:hAnsi="Times New Roman" w:eastAsia="黑体" w:cs="Times New Roman"/>
          <w:b w:val="0"/>
          <w:color w:val="auto"/>
          <w:kern w:val="28"/>
          <w:sz w:val="28"/>
          <w:lang w:eastAsia="zh-CN" w:bidi="ar-SA"/>
        </w:rPr>
      </w:pPr>
      <w:bookmarkStart w:id="11" w:name="_Toc31104"/>
      <w:r>
        <w:rPr>
          <w:rFonts w:ascii="Times New Roman" w:hAnsi="Times New Roman" w:eastAsia="黑体" w:cs="Times New Roman"/>
          <w:b w:val="0"/>
          <w:color w:val="auto"/>
          <w:kern w:val="28"/>
          <w:sz w:val="28"/>
          <w:lang w:eastAsia="zh-CN" w:bidi="ar-SA"/>
        </w:rPr>
        <w:t>4.招标文件的获取</w:t>
      </w:r>
      <w:bookmarkEnd w:id="11"/>
    </w:p>
    <w:p w14:paraId="077956A2">
      <w:pPr>
        <w:adjustRightInd w:val="0"/>
        <w:snapToGrid w:val="0"/>
        <w:spacing w:line="360" w:lineRule="auto"/>
        <w:ind w:firstLine="470" w:firstLineChars="196"/>
        <w:jc w:val="both"/>
        <w:rPr>
          <w:rFonts w:hint="eastAsia" w:ascii="宋体" w:hAnsi="宋体" w:eastAsia="宋体"/>
          <w:color w:val="auto"/>
          <w:kern w:val="2"/>
          <w:lang w:eastAsia="zh-CN" w:bidi="ar-SA"/>
        </w:rPr>
      </w:pPr>
      <w:r>
        <w:rPr>
          <w:rFonts w:hint="eastAsia" w:ascii="宋体" w:hAnsi="宋体" w:eastAsia="宋体"/>
          <w:color w:val="auto"/>
          <w:kern w:val="2"/>
          <w:lang w:eastAsia="zh-CN" w:bidi="ar-SA"/>
        </w:rPr>
        <w:t>4.1凡有意参加投标者，请于2025年XX月XX日至2025年XX月XX日（北京时间，下同）在江西省公共资源数智交易平台</w:t>
      </w:r>
      <w:r>
        <w:rPr>
          <w:rFonts w:ascii="宋体" w:hAnsi="宋体" w:eastAsia="宋体"/>
          <w:color w:val="auto"/>
          <w:kern w:val="2"/>
          <w:lang w:eastAsia="zh-CN" w:bidi="ar-SA"/>
        </w:rPr>
        <w:t>-</w:t>
      </w:r>
      <w:r>
        <w:rPr>
          <w:rFonts w:hint="eastAsia" w:ascii="宋体" w:hAnsi="宋体" w:eastAsia="宋体"/>
          <w:color w:val="auto"/>
          <w:kern w:val="2"/>
          <w:lang w:eastAsia="zh-CN" w:bidi="ar-SA"/>
        </w:rPr>
        <w:t>交易系统</w:t>
      </w:r>
      <w:r>
        <w:rPr>
          <w:rFonts w:ascii="宋体" w:hAnsi="宋体" w:eastAsia="宋体"/>
          <w:color w:val="auto"/>
          <w:kern w:val="2"/>
          <w:lang w:eastAsia="zh-CN" w:bidi="ar-SA"/>
        </w:rPr>
        <w:t xml:space="preserve"> https://ggzyjy.jxggzyjy.cn/tpbidder</w:t>
      </w:r>
      <w:r>
        <w:rPr>
          <w:rFonts w:hint="eastAsia" w:ascii="宋体" w:hAnsi="宋体" w:eastAsia="宋体"/>
          <w:color w:val="auto"/>
          <w:kern w:val="2"/>
          <w:lang w:eastAsia="zh-CN" w:bidi="ar-SA"/>
        </w:rPr>
        <w:t>中的“交通工程（非自动评审类）”使用CA数字证书下载招标文件和相关资料。</w:t>
      </w:r>
    </w:p>
    <w:p w14:paraId="54FD4092">
      <w:pPr>
        <w:adjustRightInd w:val="0"/>
        <w:snapToGrid w:val="0"/>
        <w:spacing w:line="360" w:lineRule="auto"/>
        <w:ind w:firstLine="470" w:firstLineChars="196"/>
        <w:jc w:val="both"/>
        <w:rPr>
          <w:rFonts w:hint="eastAsia" w:ascii="宋体" w:hAnsi="宋体" w:eastAsia="宋体"/>
          <w:color w:val="auto"/>
          <w:kern w:val="2"/>
          <w:lang w:eastAsia="zh-CN" w:bidi="ar-SA"/>
        </w:rPr>
      </w:pPr>
      <w:r>
        <w:rPr>
          <w:rFonts w:hint="eastAsia" w:ascii="宋体" w:hAnsi="宋体" w:eastAsia="宋体"/>
          <w:color w:val="auto"/>
          <w:kern w:val="2"/>
          <w:lang w:eastAsia="zh-CN" w:bidi="ar-SA"/>
        </w:rPr>
        <w:t>4.2</w:t>
      </w:r>
      <w:r>
        <w:rPr>
          <w:rFonts w:ascii="宋体" w:hAnsi="宋体" w:eastAsia="宋体"/>
          <w:color w:val="auto"/>
          <w:kern w:val="2"/>
          <w:lang w:eastAsia="zh-CN" w:bidi="ar-SA"/>
        </w:rPr>
        <w:t xml:space="preserve"> </w:t>
      </w:r>
      <w:r>
        <w:rPr>
          <w:rFonts w:hint="eastAsia" w:ascii="宋体" w:hAnsi="宋体" w:eastAsia="宋体"/>
          <w:color w:val="auto"/>
          <w:kern w:val="2"/>
          <w:lang w:eastAsia="zh-CN" w:bidi="ar-SA"/>
        </w:rPr>
        <w:t>用户类型获取方式及系统操作请参阅江西省公共资源交易平台首页“通知公告”栏中的《江西省交通运输厅关于优化提升交通项目招投标工作效能的通知》。</w:t>
      </w:r>
    </w:p>
    <w:p w14:paraId="12A2F1F7">
      <w:pPr>
        <w:pStyle w:val="6"/>
        <w:adjustRightInd w:val="0"/>
        <w:snapToGrid w:val="0"/>
        <w:spacing w:before="0" w:after="0" w:line="360" w:lineRule="auto"/>
        <w:jc w:val="both"/>
        <w:rPr>
          <w:rFonts w:ascii="Times New Roman" w:hAnsi="Times New Roman" w:eastAsia="黑体" w:cs="Times New Roman"/>
          <w:b w:val="0"/>
          <w:color w:val="auto"/>
          <w:kern w:val="28"/>
          <w:sz w:val="28"/>
          <w:lang w:eastAsia="zh-CN" w:bidi="ar-SA"/>
        </w:rPr>
      </w:pPr>
      <w:bookmarkStart w:id="12" w:name="_Toc16664"/>
      <w:r>
        <w:rPr>
          <w:rFonts w:ascii="Times New Roman" w:hAnsi="Times New Roman" w:eastAsia="黑体" w:cs="Times New Roman"/>
          <w:b w:val="0"/>
          <w:color w:val="auto"/>
          <w:kern w:val="28"/>
          <w:sz w:val="28"/>
          <w:lang w:eastAsia="zh-CN" w:bidi="ar-SA"/>
        </w:rPr>
        <w:t>5.投标文件的递交及相关事宜</w:t>
      </w:r>
      <w:bookmarkEnd w:id="12"/>
    </w:p>
    <w:p w14:paraId="10294ACE">
      <w:pPr>
        <w:adjustRightInd w:val="0"/>
        <w:snapToGrid w:val="0"/>
        <w:spacing w:line="360" w:lineRule="auto"/>
        <w:ind w:firstLine="470" w:firstLineChars="196"/>
        <w:jc w:val="both"/>
        <w:rPr>
          <w:rFonts w:hint="eastAsia" w:ascii="宋体" w:hAnsi="宋体" w:eastAsia="宋体"/>
          <w:color w:val="auto"/>
          <w:kern w:val="2"/>
          <w:lang w:eastAsia="zh-CN" w:bidi="ar-SA"/>
        </w:rPr>
      </w:pPr>
      <w:r>
        <w:rPr>
          <w:rFonts w:ascii="宋体" w:hAnsi="宋体" w:eastAsia="宋体"/>
          <w:color w:val="auto"/>
          <w:kern w:val="2"/>
          <w:lang w:eastAsia="zh-CN" w:bidi="ar-SA"/>
        </w:rPr>
        <w:t>5.1 招标人不组织进行工程现场踏勘和不召开投标预备会。</w:t>
      </w:r>
    </w:p>
    <w:p w14:paraId="1B276B8C">
      <w:pPr>
        <w:adjustRightInd w:val="0"/>
        <w:snapToGrid w:val="0"/>
        <w:spacing w:line="360" w:lineRule="auto"/>
        <w:ind w:firstLine="470" w:firstLineChars="196"/>
        <w:jc w:val="both"/>
        <w:rPr>
          <w:rFonts w:hint="eastAsia" w:ascii="宋体" w:hAnsi="宋体" w:eastAsia="宋体"/>
          <w:color w:val="auto"/>
          <w:kern w:val="2"/>
          <w:lang w:eastAsia="zh-CN" w:bidi="ar-SA"/>
        </w:rPr>
      </w:pPr>
      <w:r>
        <w:rPr>
          <w:rFonts w:hint="eastAsia" w:ascii="宋体" w:hAnsi="宋体" w:eastAsia="宋体"/>
          <w:color w:val="auto"/>
          <w:kern w:val="2"/>
          <w:lang w:eastAsia="zh-CN" w:bidi="ar-SA"/>
        </w:rPr>
        <w:t>5.2</w:t>
      </w:r>
      <w:r>
        <w:rPr>
          <w:rFonts w:ascii="宋体" w:hAnsi="宋体" w:eastAsia="宋体"/>
          <w:color w:val="auto"/>
          <w:kern w:val="2"/>
          <w:lang w:eastAsia="zh-CN" w:bidi="ar-SA"/>
        </w:rPr>
        <w:t xml:space="preserve"> </w:t>
      </w:r>
      <w:r>
        <w:rPr>
          <w:rFonts w:hint="eastAsia" w:ascii="宋体" w:hAnsi="宋体" w:eastAsia="宋体"/>
          <w:color w:val="auto"/>
          <w:lang w:eastAsia="zh-CN"/>
        </w:rPr>
        <w:t>投标文件应为加密的、交易系统可识别格式的投标文件。</w:t>
      </w:r>
      <w:r>
        <w:rPr>
          <w:rFonts w:hint="eastAsia" w:ascii="宋体" w:hAnsi="宋体" w:eastAsia="宋体"/>
          <w:color w:val="auto"/>
          <w:kern w:val="2"/>
          <w:lang w:eastAsia="zh-CN" w:bidi="ar-SA"/>
        </w:rPr>
        <w:t>投标文件递交的截止时间（投标截止时间，下同）为2025年XX月XX日9时</w:t>
      </w:r>
      <w:r>
        <w:rPr>
          <w:rFonts w:ascii="宋体" w:hAnsi="宋体" w:eastAsia="宋体"/>
          <w:color w:val="auto"/>
          <w:kern w:val="2"/>
          <w:lang w:eastAsia="zh-CN" w:bidi="ar-SA"/>
        </w:rPr>
        <w:t>0</w:t>
      </w:r>
      <w:r>
        <w:rPr>
          <w:rFonts w:hint="eastAsia" w:ascii="宋体" w:hAnsi="宋体" w:eastAsia="宋体"/>
          <w:color w:val="auto"/>
          <w:kern w:val="2"/>
          <w:lang w:eastAsia="zh-CN" w:bidi="ar-SA"/>
        </w:rPr>
        <w:t>0分。投标人应于投标截止时间前，通过互联网使用</w:t>
      </w:r>
      <w:r>
        <w:rPr>
          <w:rFonts w:ascii="宋体" w:hAnsi="宋体" w:eastAsia="宋体"/>
          <w:color w:val="auto"/>
          <w:kern w:val="2"/>
          <w:lang w:eastAsia="zh-CN" w:bidi="ar-SA"/>
        </w:rPr>
        <w:t>CA</w:t>
      </w:r>
      <w:r>
        <w:rPr>
          <w:rFonts w:hint="eastAsia" w:ascii="宋体" w:hAnsi="宋体" w:eastAsia="宋体"/>
          <w:color w:val="auto"/>
          <w:kern w:val="2"/>
          <w:lang w:eastAsia="zh-CN" w:bidi="ar-SA"/>
        </w:rPr>
        <w:t>数字证书登录交易系统，将加密的投标文件上传，投标文件到达交易系统的时间即为电子签收凭证时间。逾期未完成上传或未按时到达交易系统或未按规定加密或未采用交易系统可识别格式的投标文件，交易系统将予以拒收。</w:t>
      </w:r>
    </w:p>
    <w:p w14:paraId="5255A1DD">
      <w:pPr>
        <w:pStyle w:val="6"/>
        <w:adjustRightInd w:val="0"/>
        <w:snapToGrid w:val="0"/>
        <w:spacing w:before="0" w:after="0" w:line="360" w:lineRule="auto"/>
        <w:jc w:val="both"/>
        <w:rPr>
          <w:rFonts w:ascii="Times New Roman" w:hAnsi="Times New Roman" w:eastAsia="黑体" w:cs="Times New Roman"/>
          <w:b w:val="0"/>
          <w:color w:val="auto"/>
          <w:kern w:val="28"/>
          <w:sz w:val="28"/>
          <w:lang w:eastAsia="zh-CN" w:bidi="ar-SA"/>
        </w:rPr>
      </w:pPr>
      <w:bookmarkStart w:id="13" w:name="_Toc1590"/>
      <w:r>
        <w:rPr>
          <w:rFonts w:ascii="Times New Roman" w:hAnsi="Times New Roman" w:eastAsia="黑体" w:cs="Times New Roman"/>
          <w:b w:val="0"/>
          <w:color w:val="auto"/>
          <w:kern w:val="28"/>
          <w:sz w:val="28"/>
          <w:lang w:eastAsia="zh-CN" w:bidi="ar-SA"/>
        </w:rPr>
        <w:t>6.发布公告的媒介</w:t>
      </w:r>
      <w:bookmarkEnd w:id="13"/>
    </w:p>
    <w:p w14:paraId="3A2F8A7B">
      <w:pPr>
        <w:adjustRightInd w:val="0"/>
        <w:snapToGrid w:val="0"/>
        <w:spacing w:line="360" w:lineRule="auto"/>
        <w:ind w:firstLine="424" w:firstLineChars="177"/>
        <w:jc w:val="both"/>
        <w:rPr>
          <w:rFonts w:hint="eastAsia" w:ascii="宋体" w:hAnsi="宋体" w:eastAsia="宋体"/>
          <w:color w:val="auto"/>
          <w:kern w:val="2"/>
          <w:lang w:eastAsia="zh-CN" w:bidi="ar-SA"/>
        </w:rPr>
      </w:pPr>
      <w:r>
        <w:rPr>
          <w:rFonts w:hint="eastAsia" w:ascii="宋体" w:hAnsi="宋体" w:eastAsia="宋体"/>
          <w:color w:val="auto"/>
          <w:kern w:val="2"/>
          <w:lang w:eastAsia="zh-CN" w:bidi="ar-SA"/>
        </w:rPr>
        <w:t>本次招标公告同时在江西省公共资源交易平台（</w:t>
      </w:r>
      <w:r>
        <w:rPr>
          <w:rFonts w:hint="eastAsia" w:eastAsia="宋体"/>
          <w:color w:val="auto"/>
          <w:kern w:val="2"/>
          <w:lang w:eastAsia="zh-CN" w:bidi="ar-SA"/>
        </w:rPr>
        <w:t>http://www.jxsggzy.cn</w:t>
      </w:r>
      <w:r>
        <w:rPr>
          <w:rFonts w:hint="eastAsia" w:ascii="宋体" w:hAnsi="宋体" w:eastAsia="宋体"/>
          <w:color w:val="auto"/>
          <w:kern w:val="2"/>
          <w:lang w:eastAsia="zh-CN" w:bidi="ar-SA"/>
        </w:rPr>
        <w:t>）网站上发布，</w:t>
      </w:r>
      <w:r>
        <w:rPr>
          <w:rFonts w:hint="eastAsia" w:eastAsia="宋体"/>
          <w:color w:val="auto"/>
          <w:kern w:val="2"/>
          <w:lang w:eastAsia="zh-CN" w:bidi="ar-SA"/>
        </w:rPr>
        <w:t>招标文件的关键内容同时在上述网站公开</w:t>
      </w:r>
      <w:r>
        <w:rPr>
          <w:rFonts w:hint="eastAsia" w:ascii="宋体" w:hAnsi="宋体" w:eastAsia="宋体"/>
          <w:color w:val="auto"/>
          <w:kern w:val="2"/>
          <w:lang w:eastAsia="zh-CN" w:bidi="ar-SA"/>
        </w:rPr>
        <w:t>。</w:t>
      </w:r>
    </w:p>
    <w:bookmarkEnd w:id="5"/>
    <w:p w14:paraId="4CE05970">
      <w:pPr>
        <w:pStyle w:val="6"/>
        <w:adjustRightInd w:val="0"/>
        <w:snapToGrid w:val="0"/>
        <w:spacing w:before="0" w:after="0" w:line="360" w:lineRule="auto"/>
        <w:jc w:val="both"/>
        <w:rPr>
          <w:rFonts w:ascii="Times New Roman" w:hAnsi="Times New Roman" w:eastAsia="黑体" w:cs="Times New Roman"/>
          <w:b w:val="0"/>
          <w:color w:val="auto"/>
          <w:kern w:val="28"/>
          <w:sz w:val="28"/>
          <w:lang w:eastAsia="zh-CN" w:bidi="ar-SA"/>
        </w:rPr>
      </w:pPr>
      <w:bookmarkStart w:id="14" w:name="_Toc91"/>
      <w:r>
        <w:rPr>
          <w:rFonts w:ascii="Times New Roman" w:hAnsi="Times New Roman" w:eastAsia="黑体" w:cs="Times New Roman"/>
          <w:b w:val="0"/>
          <w:color w:val="auto"/>
          <w:kern w:val="28"/>
          <w:sz w:val="28"/>
          <w:lang w:eastAsia="zh-CN" w:bidi="ar-SA"/>
        </w:rPr>
        <w:t>7.</w:t>
      </w:r>
      <w:r>
        <w:rPr>
          <w:rFonts w:hint="eastAsia" w:ascii="Times New Roman" w:hAnsi="Times New Roman" w:eastAsia="黑体" w:cs="Times New Roman"/>
          <w:b w:val="0"/>
          <w:color w:val="auto"/>
          <w:kern w:val="28"/>
          <w:sz w:val="28"/>
          <w:lang w:eastAsia="zh-CN" w:bidi="ar-SA"/>
        </w:rPr>
        <w:t>联系方式</w:t>
      </w:r>
      <w:bookmarkEnd w:id="14"/>
    </w:p>
    <w:p w14:paraId="55D405D6">
      <w:pPr>
        <w:adjustRightInd w:val="0"/>
        <w:snapToGrid w:val="0"/>
        <w:spacing w:line="360" w:lineRule="auto"/>
        <w:ind w:firstLine="470" w:firstLineChars="196"/>
        <w:jc w:val="both"/>
        <w:rPr>
          <w:rFonts w:hint="eastAsia" w:ascii="宋体" w:hAnsi="宋体" w:eastAsia="宋体"/>
          <w:color w:val="auto"/>
          <w:kern w:val="2"/>
          <w:lang w:eastAsia="zh-CN" w:bidi="ar-SA"/>
        </w:rPr>
      </w:pPr>
      <w:r>
        <w:rPr>
          <w:rFonts w:ascii="宋体" w:hAnsi="宋体" w:eastAsia="宋体"/>
          <w:color w:val="auto"/>
          <w:kern w:val="2"/>
          <w:lang w:eastAsia="zh-CN" w:bidi="ar-SA"/>
        </w:rPr>
        <w:t>招 标 人：</w:t>
      </w:r>
      <w:r>
        <w:rPr>
          <w:rFonts w:hint="eastAsia" w:ascii="宋体" w:hAnsi="宋体" w:eastAsia="宋体"/>
          <w:color w:val="auto"/>
          <w:kern w:val="2"/>
          <w:lang w:eastAsia="zh-CN" w:bidi="ar-SA"/>
        </w:rPr>
        <w:t>新余市投资控股集团有限公司</w:t>
      </w:r>
    </w:p>
    <w:p w14:paraId="41F0CF04">
      <w:pPr>
        <w:adjustRightInd w:val="0"/>
        <w:snapToGrid w:val="0"/>
        <w:spacing w:line="360" w:lineRule="auto"/>
        <w:ind w:firstLine="470" w:firstLineChars="196"/>
        <w:jc w:val="both"/>
        <w:rPr>
          <w:rFonts w:hint="eastAsia" w:ascii="宋体" w:hAnsi="宋体" w:eastAsia="宋体"/>
          <w:color w:val="auto"/>
          <w:kern w:val="2"/>
          <w:lang w:eastAsia="zh-CN" w:bidi="ar-SA"/>
        </w:rPr>
      </w:pPr>
      <w:r>
        <w:rPr>
          <w:rFonts w:ascii="宋体" w:hAnsi="宋体" w:eastAsia="宋体"/>
          <w:color w:val="auto"/>
          <w:kern w:val="2"/>
          <w:lang w:eastAsia="zh-CN" w:bidi="ar-SA"/>
        </w:rPr>
        <w:t>地    址：</w:t>
      </w:r>
      <w:r>
        <w:rPr>
          <w:rFonts w:hint="eastAsia" w:ascii="宋体" w:hAnsi="宋体" w:eastAsia="宋体"/>
          <w:color w:val="auto"/>
          <w:kern w:val="2"/>
          <w:lang w:eastAsia="zh-CN" w:bidi="ar-SA"/>
        </w:rPr>
        <w:t>新余市沿江路</w:t>
      </w:r>
      <w:r>
        <w:rPr>
          <w:rFonts w:ascii="宋体" w:hAnsi="宋体" w:eastAsia="宋体"/>
          <w:color w:val="auto"/>
          <w:kern w:val="2"/>
          <w:lang w:eastAsia="zh-CN" w:bidi="ar-SA"/>
        </w:rPr>
        <w:t>1388</w:t>
      </w:r>
      <w:r>
        <w:rPr>
          <w:rFonts w:hint="eastAsia" w:ascii="宋体" w:hAnsi="宋体" w:eastAsia="宋体"/>
          <w:color w:val="auto"/>
          <w:kern w:val="2"/>
          <w:lang w:eastAsia="zh-CN" w:bidi="ar-SA"/>
        </w:rPr>
        <w:t>号投控大厦</w:t>
      </w:r>
    </w:p>
    <w:p w14:paraId="4E4291FC">
      <w:pPr>
        <w:adjustRightInd w:val="0"/>
        <w:snapToGrid w:val="0"/>
        <w:spacing w:line="360" w:lineRule="auto"/>
        <w:ind w:firstLine="470" w:firstLineChars="196"/>
        <w:jc w:val="both"/>
        <w:rPr>
          <w:rFonts w:hint="eastAsia" w:ascii="宋体" w:hAnsi="宋体" w:eastAsia="宋体"/>
          <w:color w:val="auto"/>
          <w:kern w:val="2"/>
          <w:lang w:eastAsia="zh-CN" w:bidi="ar-SA"/>
        </w:rPr>
      </w:pPr>
      <w:r>
        <w:rPr>
          <w:rFonts w:ascii="宋体" w:hAnsi="宋体" w:eastAsia="宋体"/>
          <w:color w:val="auto"/>
          <w:kern w:val="2"/>
          <w:lang w:eastAsia="zh-CN" w:bidi="ar-SA"/>
        </w:rPr>
        <w:t>邮    编：</w:t>
      </w:r>
      <w:r>
        <w:rPr>
          <w:rFonts w:hint="eastAsia" w:ascii="宋体" w:hAnsi="宋体" w:eastAsia="宋体"/>
          <w:color w:val="auto"/>
          <w:kern w:val="2"/>
          <w:lang w:eastAsia="zh-CN" w:bidi="ar-SA"/>
        </w:rPr>
        <w:t>338000</w:t>
      </w:r>
    </w:p>
    <w:p w14:paraId="6AE75FF7">
      <w:pPr>
        <w:adjustRightInd w:val="0"/>
        <w:snapToGrid w:val="0"/>
        <w:spacing w:line="360" w:lineRule="auto"/>
        <w:ind w:firstLine="470" w:firstLineChars="196"/>
        <w:jc w:val="both"/>
        <w:rPr>
          <w:rFonts w:hint="eastAsia" w:ascii="宋体" w:hAnsi="宋体" w:eastAsia="宋体"/>
          <w:color w:val="auto"/>
          <w:kern w:val="2"/>
          <w:lang w:eastAsia="zh-CN" w:bidi="ar-SA"/>
        </w:rPr>
      </w:pPr>
      <w:r>
        <w:rPr>
          <w:rFonts w:ascii="宋体" w:hAnsi="宋体" w:eastAsia="宋体"/>
          <w:color w:val="auto"/>
          <w:kern w:val="2"/>
          <w:lang w:eastAsia="zh-CN" w:bidi="ar-SA"/>
        </w:rPr>
        <w:t>联 系 人：</w:t>
      </w:r>
      <w:r>
        <w:rPr>
          <w:rFonts w:hint="eastAsia" w:ascii="宋体" w:hAnsi="宋体" w:eastAsia="宋体"/>
          <w:color w:val="auto"/>
          <w:kern w:val="2"/>
          <w:lang w:eastAsia="zh-CN" w:bidi="ar-SA"/>
        </w:rPr>
        <w:t>廖女士</w:t>
      </w:r>
    </w:p>
    <w:p w14:paraId="49596464">
      <w:pPr>
        <w:adjustRightInd w:val="0"/>
        <w:snapToGrid w:val="0"/>
        <w:spacing w:line="360" w:lineRule="auto"/>
        <w:ind w:firstLine="470" w:firstLineChars="196"/>
        <w:jc w:val="both"/>
        <w:rPr>
          <w:rFonts w:hint="eastAsia" w:ascii="宋体" w:hAnsi="宋体" w:eastAsia="宋体"/>
          <w:color w:val="auto"/>
          <w:kern w:val="2"/>
          <w:lang w:eastAsia="zh-CN" w:bidi="ar-SA"/>
        </w:rPr>
      </w:pPr>
      <w:r>
        <w:rPr>
          <w:rFonts w:ascii="宋体" w:hAnsi="宋体" w:eastAsia="宋体"/>
          <w:color w:val="auto"/>
          <w:kern w:val="2"/>
          <w:lang w:eastAsia="zh-CN" w:bidi="ar-SA"/>
        </w:rPr>
        <w:t>电    话：</w:t>
      </w:r>
      <w:r>
        <w:rPr>
          <w:rFonts w:hint="eastAsia" w:ascii="宋体" w:hAnsi="宋体" w:eastAsia="宋体"/>
          <w:color w:val="auto"/>
          <w:kern w:val="2"/>
          <w:lang w:eastAsia="zh-CN" w:bidi="ar-SA"/>
        </w:rPr>
        <w:t>07906962832</w:t>
      </w:r>
    </w:p>
    <w:p w14:paraId="056D2C45">
      <w:pPr>
        <w:adjustRightInd w:val="0"/>
        <w:snapToGrid w:val="0"/>
        <w:spacing w:line="360" w:lineRule="auto"/>
        <w:ind w:firstLine="470" w:firstLineChars="196"/>
        <w:jc w:val="both"/>
        <w:rPr>
          <w:rFonts w:hint="eastAsia" w:ascii="宋体" w:hAnsi="宋体" w:eastAsia="宋体"/>
          <w:color w:val="auto"/>
          <w:kern w:val="2"/>
          <w:lang w:eastAsia="zh-CN" w:bidi="ar-SA"/>
        </w:rPr>
      </w:pPr>
      <w:r>
        <w:rPr>
          <w:rFonts w:hint="eastAsia" w:ascii="宋体" w:hAnsi="宋体" w:eastAsia="宋体"/>
          <w:color w:val="auto"/>
          <w:kern w:val="2"/>
          <w:lang w:eastAsia="zh-CN" w:bidi="ar-SA"/>
        </w:rPr>
        <w:t xml:space="preserve">邮   </w:t>
      </w:r>
      <w:r>
        <w:rPr>
          <w:rFonts w:ascii="宋体" w:hAnsi="宋体" w:eastAsia="宋体"/>
          <w:color w:val="auto"/>
          <w:kern w:val="2"/>
          <w:lang w:eastAsia="zh-CN" w:bidi="ar-SA"/>
        </w:rPr>
        <w:t xml:space="preserve"> </w:t>
      </w:r>
      <w:r>
        <w:rPr>
          <w:rFonts w:hint="eastAsia" w:ascii="宋体" w:hAnsi="宋体" w:eastAsia="宋体"/>
          <w:color w:val="auto"/>
          <w:kern w:val="2"/>
          <w:lang w:eastAsia="zh-CN" w:bidi="ar-SA"/>
        </w:rPr>
        <w:t>箱</w:t>
      </w:r>
      <w:r>
        <w:rPr>
          <w:rFonts w:ascii="宋体" w:hAnsi="宋体" w:eastAsia="宋体"/>
          <w:color w:val="auto"/>
          <w:kern w:val="2"/>
          <w:lang w:eastAsia="zh-CN" w:bidi="ar-SA"/>
        </w:rPr>
        <w:t>：</w:t>
      </w:r>
      <w:r>
        <w:rPr>
          <w:rFonts w:hint="eastAsia" w:ascii="宋体" w:hAnsi="宋体" w:eastAsia="宋体"/>
          <w:color w:val="auto"/>
          <w:kern w:val="2"/>
          <w:lang w:eastAsia="zh-CN" w:bidi="ar-SA"/>
        </w:rPr>
        <w:t>xytkzgb@163.com</w:t>
      </w:r>
    </w:p>
    <w:p w14:paraId="484801AC">
      <w:pPr>
        <w:spacing w:line="360" w:lineRule="auto"/>
        <w:ind w:firstLine="480" w:firstLineChars="200"/>
        <w:rPr>
          <w:color w:val="auto"/>
          <w:szCs w:val="20"/>
          <w:lang w:eastAsia="zh-CN"/>
        </w:rPr>
      </w:pPr>
    </w:p>
    <w:p w14:paraId="0D74FC94">
      <w:pPr>
        <w:spacing w:line="360" w:lineRule="auto"/>
        <w:ind w:firstLine="480" w:firstLineChars="200"/>
        <w:rPr>
          <w:color w:val="auto"/>
          <w:szCs w:val="20"/>
          <w:lang w:eastAsia="zh-CN"/>
        </w:rPr>
      </w:pPr>
      <w:r>
        <w:rPr>
          <w:rFonts w:hint="eastAsia"/>
          <w:color w:val="auto"/>
          <w:szCs w:val="20"/>
          <w:lang w:eastAsia="zh-CN"/>
        </w:rPr>
        <w:t xml:space="preserve">招标代理机构：江西省江咨投控工程咨询有限公司 </w:t>
      </w:r>
    </w:p>
    <w:p w14:paraId="5C0A6C1E">
      <w:pPr>
        <w:spacing w:line="360" w:lineRule="auto"/>
        <w:ind w:firstLine="480" w:firstLineChars="200"/>
        <w:rPr>
          <w:color w:val="auto"/>
          <w:szCs w:val="20"/>
          <w:lang w:eastAsia="zh-CN"/>
        </w:rPr>
      </w:pPr>
      <w:r>
        <w:rPr>
          <w:rFonts w:hint="eastAsia"/>
          <w:color w:val="auto"/>
          <w:szCs w:val="20"/>
          <w:lang w:eastAsia="zh-CN"/>
        </w:rPr>
        <w:t xml:space="preserve">地    </w:t>
      </w:r>
      <w:r>
        <w:rPr>
          <w:rFonts w:hint="eastAsia" w:eastAsiaTheme="minorEastAsia"/>
          <w:color w:val="auto"/>
          <w:szCs w:val="20"/>
          <w:lang w:eastAsia="zh-CN"/>
        </w:rPr>
        <w:t xml:space="preserve">    </w:t>
      </w:r>
      <w:r>
        <w:rPr>
          <w:rFonts w:hint="eastAsia"/>
          <w:color w:val="auto"/>
          <w:szCs w:val="20"/>
          <w:lang w:eastAsia="zh-CN"/>
        </w:rPr>
        <w:t xml:space="preserve">址：新余市渝水区城北仰天岗东大道398号春江花月36栋2701 </w:t>
      </w:r>
    </w:p>
    <w:p w14:paraId="16E29723">
      <w:pPr>
        <w:spacing w:line="360" w:lineRule="auto"/>
        <w:ind w:firstLine="480" w:firstLineChars="200"/>
        <w:rPr>
          <w:color w:val="auto"/>
          <w:szCs w:val="20"/>
          <w:lang w:eastAsia="zh-CN"/>
        </w:rPr>
      </w:pPr>
      <w:r>
        <w:rPr>
          <w:rFonts w:hint="eastAsia"/>
          <w:color w:val="auto"/>
          <w:szCs w:val="20"/>
          <w:lang w:eastAsia="zh-CN"/>
        </w:rPr>
        <w:t xml:space="preserve">邮政编码：330000 </w:t>
      </w:r>
    </w:p>
    <w:p w14:paraId="0DCCE432">
      <w:pPr>
        <w:spacing w:line="360" w:lineRule="auto"/>
        <w:ind w:firstLine="480" w:firstLineChars="200"/>
        <w:rPr>
          <w:color w:val="auto"/>
          <w:szCs w:val="20"/>
          <w:lang w:eastAsia="zh-CN"/>
        </w:rPr>
      </w:pPr>
      <w:r>
        <w:rPr>
          <w:rFonts w:hint="eastAsia"/>
          <w:color w:val="auto"/>
          <w:szCs w:val="20"/>
          <w:lang w:eastAsia="zh-CN"/>
        </w:rPr>
        <w:t xml:space="preserve">联 </w:t>
      </w:r>
      <w:r>
        <w:rPr>
          <w:rFonts w:hint="eastAsia" w:eastAsiaTheme="minorEastAsia"/>
          <w:color w:val="auto"/>
          <w:szCs w:val="20"/>
          <w:lang w:eastAsia="zh-CN"/>
        </w:rPr>
        <w:t xml:space="preserve"> </w:t>
      </w:r>
      <w:r>
        <w:rPr>
          <w:rFonts w:hint="eastAsia"/>
          <w:color w:val="auto"/>
          <w:szCs w:val="20"/>
          <w:lang w:eastAsia="zh-CN"/>
        </w:rPr>
        <w:t>系 人：</w:t>
      </w:r>
      <w:r>
        <w:rPr>
          <w:rFonts w:hint="eastAsia" w:ascii="宋体" w:hAnsi="宋体" w:eastAsia="宋体" w:cs="宋体"/>
          <w:color w:val="auto"/>
          <w:szCs w:val="20"/>
          <w:lang w:eastAsia="zh-CN"/>
        </w:rPr>
        <w:t>李先生</w:t>
      </w:r>
    </w:p>
    <w:p w14:paraId="085B1AC6">
      <w:pPr>
        <w:spacing w:line="360" w:lineRule="auto"/>
        <w:ind w:firstLine="480" w:firstLineChars="200"/>
        <w:rPr>
          <w:color w:val="auto"/>
          <w:szCs w:val="20"/>
          <w:lang w:eastAsia="zh-CN"/>
        </w:rPr>
      </w:pPr>
      <w:r>
        <w:rPr>
          <w:rFonts w:hint="eastAsia"/>
          <w:color w:val="auto"/>
          <w:szCs w:val="20"/>
          <w:lang w:eastAsia="zh-CN"/>
        </w:rPr>
        <w:t xml:space="preserve">电    </w:t>
      </w:r>
      <w:r>
        <w:rPr>
          <w:rFonts w:hint="eastAsia" w:eastAsiaTheme="minorEastAsia"/>
          <w:color w:val="auto"/>
          <w:szCs w:val="20"/>
          <w:lang w:eastAsia="zh-CN"/>
        </w:rPr>
        <w:t xml:space="preserve">   </w:t>
      </w:r>
      <w:r>
        <w:rPr>
          <w:rFonts w:hint="eastAsia"/>
          <w:color w:val="auto"/>
          <w:szCs w:val="20"/>
          <w:lang w:eastAsia="zh-CN"/>
        </w:rPr>
        <w:t>话：13979068115</w:t>
      </w:r>
    </w:p>
    <w:p w14:paraId="2A1ED1C8">
      <w:pPr>
        <w:spacing w:line="360" w:lineRule="auto"/>
        <w:ind w:firstLine="480" w:firstLineChars="200"/>
        <w:rPr>
          <w:color w:val="auto"/>
          <w:szCs w:val="20"/>
          <w:lang w:eastAsia="zh-CN"/>
        </w:rPr>
      </w:pPr>
      <w:r>
        <w:rPr>
          <w:rFonts w:hint="eastAsia"/>
          <w:color w:val="auto"/>
          <w:szCs w:val="20"/>
          <w:lang w:eastAsia="zh-CN"/>
        </w:rPr>
        <w:t xml:space="preserve">电子邮箱：jztk@jxbidding.com  </w:t>
      </w:r>
    </w:p>
    <w:p w14:paraId="7B62B3CE">
      <w:pPr>
        <w:widowControl/>
        <w:spacing w:line="420" w:lineRule="exact"/>
        <w:ind w:firstLine="480" w:firstLineChars="200"/>
        <w:rPr>
          <w:rFonts w:hint="eastAsia" w:ascii="宋体" w:hAnsi="宋体" w:eastAsia="宋体"/>
          <w:color w:val="auto"/>
          <w:kern w:val="2"/>
          <w:lang w:eastAsia="zh-CN" w:bidi="ar-SA"/>
        </w:rPr>
      </w:pPr>
    </w:p>
    <w:p w14:paraId="1498D0FD">
      <w:pPr>
        <w:widowControl/>
        <w:spacing w:line="420" w:lineRule="exact"/>
        <w:ind w:firstLine="480" w:firstLineChars="200"/>
        <w:rPr>
          <w:rFonts w:hint="eastAsia" w:ascii="宋体" w:hAnsi="宋体" w:eastAsia="宋体"/>
          <w:color w:val="auto"/>
          <w:kern w:val="2"/>
          <w:lang w:eastAsia="zh-CN" w:bidi="ar-SA"/>
        </w:rPr>
      </w:pPr>
      <w:r>
        <w:rPr>
          <w:rFonts w:hint="eastAsia" w:ascii="宋体" w:hAnsi="宋体" w:eastAsia="宋体"/>
          <w:color w:val="auto"/>
          <w:kern w:val="2"/>
          <w:lang w:eastAsia="zh-CN" w:bidi="ar-SA"/>
        </w:rPr>
        <w:t>监督部门：新余市交通运输局</w:t>
      </w:r>
    </w:p>
    <w:p w14:paraId="459623CC">
      <w:pPr>
        <w:widowControl/>
        <w:spacing w:line="420" w:lineRule="exact"/>
        <w:ind w:firstLine="480" w:firstLineChars="200"/>
        <w:rPr>
          <w:rFonts w:hint="eastAsia" w:ascii="宋体" w:hAnsi="宋体" w:eastAsia="宋体"/>
          <w:color w:val="auto"/>
          <w:kern w:val="2"/>
          <w:lang w:eastAsia="zh-CN" w:bidi="ar-SA"/>
        </w:rPr>
      </w:pPr>
      <w:r>
        <w:rPr>
          <w:rFonts w:hint="eastAsia" w:ascii="宋体" w:hAnsi="宋体" w:eastAsia="宋体"/>
          <w:color w:val="auto"/>
          <w:kern w:val="2"/>
          <w:lang w:eastAsia="zh-CN" w:bidi="ar-SA"/>
        </w:rPr>
        <w:t>地    址：江西省新余市仰天岗大道69号</w:t>
      </w:r>
    </w:p>
    <w:p w14:paraId="2BE81131">
      <w:pPr>
        <w:widowControl/>
        <w:spacing w:line="420" w:lineRule="exact"/>
        <w:ind w:firstLine="480" w:firstLineChars="200"/>
        <w:rPr>
          <w:rFonts w:hint="eastAsia" w:ascii="宋体" w:hAnsi="宋体" w:eastAsia="宋体"/>
          <w:color w:val="auto"/>
          <w:kern w:val="2"/>
          <w:lang w:eastAsia="zh-CN" w:bidi="ar-SA"/>
        </w:rPr>
      </w:pPr>
      <w:r>
        <w:rPr>
          <w:rFonts w:hint="eastAsia" w:ascii="宋体" w:hAnsi="宋体" w:eastAsia="宋体"/>
          <w:color w:val="auto"/>
          <w:kern w:val="2"/>
          <w:lang w:eastAsia="zh-CN" w:bidi="ar-SA"/>
        </w:rPr>
        <w:t>联系电话：0790-6442346</w:t>
      </w:r>
    </w:p>
    <w:p w14:paraId="00E8549B">
      <w:pPr>
        <w:widowControl/>
        <w:spacing w:line="420" w:lineRule="exact"/>
        <w:ind w:firstLine="480" w:firstLineChars="200"/>
        <w:rPr>
          <w:rFonts w:hint="eastAsia" w:ascii="宋体" w:hAnsi="宋体" w:eastAsia="宋体"/>
          <w:color w:val="auto"/>
          <w:kern w:val="2"/>
          <w:lang w:eastAsia="zh-CN" w:bidi="ar-SA"/>
        </w:rPr>
      </w:pPr>
    </w:p>
    <w:p w14:paraId="6C025C94">
      <w:pPr>
        <w:widowControl/>
        <w:spacing w:line="420" w:lineRule="exact"/>
        <w:jc w:val="center"/>
        <w:rPr>
          <w:rFonts w:hint="eastAsia" w:ascii="宋体" w:hAnsi="宋体" w:eastAsia="宋体" w:cs="宋体"/>
          <w:color w:val="auto"/>
          <w:lang w:eastAsia="zh-CN" w:bidi="ar-SA"/>
        </w:rPr>
      </w:pPr>
    </w:p>
    <w:p w14:paraId="31A6824B">
      <w:pPr>
        <w:adjustRightInd w:val="0"/>
        <w:snapToGrid w:val="0"/>
        <w:spacing w:line="360" w:lineRule="auto"/>
        <w:ind w:firstLine="470" w:firstLineChars="196"/>
        <w:jc w:val="right"/>
        <w:rPr>
          <w:rFonts w:hint="eastAsia" w:ascii="宋体" w:hAnsi="宋体" w:eastAsia="宋体"/>
          <w:color w:val="auto"/>
          <w:kern w:val="2"/>
          <w:lang w:eastAsia="zh-CN" w:bidi="ar-SA"/>
        </w:rPr>
      </w:pPr>
      <w:r>
        <w:rPr>
          <w:rFonts w:ascii="宋体" w:hAnsi="宋体" w:eastAsia="宋体"/>
          <w:color w:val="auto"/>
          <w:kern w:val="2"/>
          <w:lang w:eastAsia="zh-CN" w:bidi="ar-SA"/>
        </w:rPr>
        <w:br w:type="page"/>
      </w:r>
    </w:p>
    <w:p w14:paraId="3ED6A1B1">
      <w:pPr>
        <w:widowControl/>
        <w:wordWrap w:val="0"/>
        <w:spacing w:before="240" w:beforeLines="100" w:after="480" w:afterLines="200" w:line="360" w:lineRule="auto"/>
        <w:jc w:val="center"/>
        <w:outlineLvl w:val="1"/>
        <w:rPr>
          <w:rFonts w:hint="eastAsia" w:ascii="宋体" w:hAnsi="宋体" w:eastAsia="宋体"/>
          <w:color w:val="auto"/>
          <w:kern w:val="2"/>
          <w:lang w:eastAsia="zh-CN" w:bidi="ar-SA"/>
        </w:rPr>
        <w:sectPr>
          <w:pgSz w:w="11906" w:h="16838"/>
          <w:pgMar w:top="1418" w:right="1588" w:bottom="1418" w:left="1588" w:header="680" w:footer="992" w:gutter="0"/>
          <w:cols w:space="720" w:num="1"/>
          <w:docGrid w:linePitch="326" w:charSpace="0"/>
        </w:sectPr>
      </w:pPr>
      <w:bookmarkStart w:id="15" w:name="_Toc11117"/>
      <w:bookmarkStart w:id="16" w:name="_Toc17644"/>
      <w:bookmarkStart w:id="17" w:name="_Toc22690"/>
      <w:bookmarkStart w:id="18" w:name="_Toc33793215"/>
    </w:p>
    <w:p w14:paraId="6C2A5F18">
      <w:pPr>
        <w:widowControl/>
        <w:wordWrap w:val="0"/>
        <w:spacing w:before="240" w:beforeLines="100" w:after="480" w:afterLines="200" w:line="360" w:lineRule="auto"/>
        <w:jc w:val="center"/>
        <w:outlineLvl w:val="1"/>
        <w:rPr>
          <w:rFonts w:hint="eastAsia" w:ascii="宋体" w:hAnsi="宋体" w:eastAsia="宋体" w:cs="宋体"/>
          <w:b/>
          <w:color w:val="auto"/>
          <w:kern w:val="28"/>
          <w:sz w:val="28"/>
          <w:szCs w:val="32"/>
          <w:lang w:eastAsia="zh-CN" w:bidi="ar-SA"/>
        </w:rPr>
      </w:pPr>
      <w:bookmarkStart w:id="19" w:name="_Toc504633877"/>
      <w:bookmarkStart w:id="20" w:name="_Toc7647"/>
      <w:r>
        <w:rPr>
          <w:rFonts w:hint="eastAsia" w:ascii="宋体" w:hAnsi="宋体" w:eastAsia="宋体" w:cs="宋体"/>
          <w:b/>
          <w:color w:val="auto"/>
          <w:kern w:val="28"/>
          <w:sz w:val="28"/>
          <w:szCs w:val="32"/>
          <w:lang w:eastAsia="zh-CN" w:bidi="ar-SA"/>
        </w:rPr>
        <w:t>附表1：合同划分一览表</w:t>
      </w:r>
      <w:bookmarkEnd w:id="19"/>
      <w:bookmarkEnd w:id="20"/>
    </w:p>
    <w:p w14:paraId="308F1A6C">
      <w:pPr>
        <w:jc w:val="center"/>
        <w:rPr>
          <w:rFonts w:hint="eastAsia" w:ascii="宋体" w:hAnsi="宋体" w:eastAsia="宋体" w:cs="宋体"/>
          <w:b/>
          <w:color w:val="auto"/>
          <w:sz w:val="28"/>
          <w:lang w:eastAsia="zh-CN"/>
        </w:rPr>
      </w:pPr>
      <w:r>
        <w:rPr>
          <w:rFonts w:hint="eastAsia" w:ascii="宋体" w:hAnsi="宋体" w:eastAsia="宋体" w:cs="宋体"/>
          <w:b/>
          <w:color w:val="auto"/>
          <w:sz w:val="28"/>
          <w:lang w:eastAsia="zh-CN"/>
        </w:rPr>
        <w:t>新余市港口水运基础设施建设项目-袁河航道提升工程新余段库区工程第二标段监理标段划分一览表</w:t>
      </w:r>
    </w:p>
    <w:p w14:paraId="7CF58110">
      <w:pPr>
        <w:jc w:val="center"/>
        <w:rPr>
          <w:b/>
          <w:color w:val="auto"/>
          <w:sz w:val="28"/>
          <w:lang w:eastAsia="zh-CN"/>
        </w:rPr>
      </w:pPr>
    </w:p>
    <w:tbl>
      <w:tblPr>
        <w:tblStyle w:val="4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1"/>
        <w:gridCol w:w="1196"/>
        <w:gridCol w:w="2266"/>
        <w:gridCol w:w="1183"/>
        <w:gridCol w:w="1276"/>
        <w:gridCol w:w="1275"/>
        <w:gridCol w:w="674"/>
      </w:tblGrid>
      <w:tr w14:paraId="73648E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951" w:type="dxa"/>
            <w:vAlign w:val="center"/>
          </w:tcPr>
          <w:p w14:paraId="71654F3A">
            <w:pPr>
              <w:jc w:val="center"/>
              <w:rPr>
                <w:bCs/>
                <w:color w:val="auto"/>
                <w:sz w:val="21"/>
                <w:szCs w:val="20"/>
                <w:lang w:eastAsia="zh-CN"/>
              </w:rPr>
            </w:pPr>
            <w:r>
              <w:rPr>
                <w:rFonts w:hint="eastAsia" w:ascii="宋体" w:hAnsi="宋体" w:eastAsia="宋体" w:cs="宋体"/>
                <w:bCs/>
                <w:color w:val="auto"/>
                <w:sz w:val="21"/>
                <w:szCs w:val="20"/>
                <w:lang w:eastAsia="zh-CN"/>
              </w:rPr>
              <w:t>序号</w:t>
            </w:r>
          </w:p>
        </w:tc>
        <w:tc>
          <w:tcPr>
            <w:tcW w:w="1095" w:type="dxa"/>
            <w:vAlign w:val="center"/>
          </w:tcPr>
          <w:p w14:paraId="569D4D32">
            <w:pPr>
              <w:jc w:val="center"/>
              <w:rPr>
                <w:bCs/>
                <w:color w:val="auto"/>
                <w:sz w:val="21"/>
                <w:szCs w:val="20"/>
                <w:lang w:eastAsia="zh-CN"/>
              </w:rPr>
            </w:pPr>
            <w:r>
              <w:rPr>
                <w:rFonts w:hint="eastAsia" w:ascii="宋体" w:hAnsi="宋体" w:eastAsia="宋体" w:cs="宋体"/>
                <w:bCs/>
                <w:color w:val="auto"/>
                <w:sz w:val="21"/>
                <w:szCs w:val="20"/>
                <w:lang w:eastAsia="zh-CN"/>
              </w:rPr>
              <w:t>标段</w:t>
            </w:r>
          </w:p>
        </w:tc>
        <w:tc>
          <w:tcPr>
            <w:tcW w:w="2266" w:type="dxa"/>
            <w:vAlign w:val="center"/>
          </w:tcPr>
          <w:p w14:paraId="6BA74B02">
            <w:pPr>
              <w:jc w:val="center"/>
              <w:rPr>
                <w:bCs/>
                <w:color w:val="auto"/>
                <w:sz w:val="21"/>
                <w:szCs w:val="20"/>
                <w:lang w:eastAsia="zh-CN"/>
              </w:rPr>
            </w:pPr>
            <w:r>
              <w:rPr>
                <w:rFonts w:hint="eastAsia" w:ascii="宋体" w:hAnsi="宋体" w:eastAsia="宋体" w:cs="宋体"/>
                <w:bCs/>
                <w:color w:val="auto"/>
                <w:sz w:val="21"/>
                <w:szCs w:val="20"/>
                <w:lang w:eastAsia="zh-CN"/>
              </w:rPr>
              <w:t>包含监理内容</w:t>
            </w:r>
          </w:p>
        </w:tc>
        <w:tc>
          <w:tcPr>
            <w:tcW w:w="1183" w:type="dxa"/>
            <w:vAlign w:val="center"/>
          </w:tcPr>
          <w:p w14:paraId="0BF56F62">
            <w:pPr>
              <w:jc w:val="center"/>
              <w:rPr>
                <w:bCs/>
                <w:color w:val="auto"/>
                <w:sz w:val="21"/>
                <w:szCs w:val="20"/>
                <w:lang w:eastAsia="zh-CN"/>
              </w:rPr>
            </w:pPr>
            <w:r>
              <w:rPr>
                <w:rFonts w:hint="eastAsia" w:ascii="宋体" w:hAnsi="宋体" w:eastAsia="宋体" w:cs="宋体"/>
                <w:bCs/>
                <w:color w:val="auto"/>
                <w:sz w:val="21"/>
                <w:szCs w:val="20"/>
                <w:lang w:eastAsia="zh-CN"/>
              </w:rPr>
              <w:t>监理服务期限（月）</w:t>
            </w:r>
          </w:p>
        </w:tc>
        <w:tc>
          <w:tcPr>
            <w:tcW w:w="1276" w:type="dxa"/>
            <w:vAlign w:val="center"/>
          </w:tcPr>
          <w:p w14:paraId="61BECC8E">
            <w:pPr>
              <w:jc w:val="center"/>
              <w:rPr>
                <w:bCs/>
                <w:color w:val="auto"/>
                <w:sz w:val="21"/>
                <w:szCs w:val="20"/>
                <w:lang w:eastAsia="zh-CN"/>
              </w:rPr>
            </w:pPr>
            <w:r>
              <w:rPr>
                <w:rFonts w:hint="eastAsia" w:ascii="宋体" w:hAnsi="宋体" w:eastAsia="宋体" w:cs="宋体"/>
                <w:bCs/>
                <w:color w:val="auto"/>
                <w:sz w:val="21"/>
                <w:szCs w:val="20"/>
                <w:lang w:eastAsia="zh-CN"/>
              </w:rPr>
              <w:t>施工阶段监理服务期</w:t>
            </w:r>
          </w:p>
          <w:p w14:paraId="6FBA4823">
            <w:pPr>
              <w:jc w:val="center"/>
              <w:rPr>
                <w:bCs/>
                <w:color w:val="auto"/>
                <w:sz w:val="21"/>
                <w:szCs w:val="20"/>
                <w:lang w:eastAsia="zh-CN"/>
              </w:rPr>
            </w:pPr>
            <w:r>
              <w:rPr>
                <w:rFonts w:hint="eastAsia" w:ascii="宋体" w:hAnsi="宋体" w:eastAsia="宋体" w:cs="宋体"/>
                <w:bCs/>
                <w:color w:val="auto"/>
                <w:sz w:val="21"/>
                <w:szCs w:val="20"/>
                <w:lang w:eastAsia="zh-CN"/>
              </w:rPr>
              <w:t>（月）</w:t>
            </w:r>
          </w:p>
        </w:tc>
        <w:tc>
          <w:tcPr>
            <w:tcW w:w="1275" w:type="dxa"/>
            <w:vAlign w:val="center"/>
          </w:tcPr>
          <w:p w14:paraId="586E5DC6">
            <w:pPr>
              <w:jc w:val="center"/>
              <w:rPr>
                <w:rFonts w:hint="eastAsia" w:ascii="宋体" w:hAnsi="宋体" w:eastAsia="宋体" w:cs="宋体"/>
                <w:bCs/>
                <w:color w:val="auto"/>
                <w:sz w:val="21"/>
                <w:szCs w:val="20"/>
                <w:lang w:eastAsia="zh-CN"/>
              </w:rPr>
            </w:pPr>
            <w:r>
              <w:rPr>
                <w:rFonts w:hint="eastAsia" w:ascii="宋体" w:hAnsi="宋体" w:eastAsia="宋体" w:cs="宋体"/>
                <w:bCs/>
                <w:color w:val="auto"/>
                <w:sz w:val="21"/>
                <w:szCs w:val="20"/>
                <w:lang w:eastAsia="zh-CN"/>
              </w:rPr>
              <w:t>缺陷责任</w:t>
            </w:r>
          </w:p>
          <w:p w14:paraId="1D1066E6">
            <w:pPr>
              <w:jc w:val="center"/>
              <w:rPr>
                <w:bCs/>
                <w:color w:val="auto"/>
                <w:sz w:val="21"/>
                <w:szCs w:val="20"/>
                <w:lang w:eastAsia="zh-CN"/>
              </w:rPr>
            </w:pPr>
            <w:r>
              <w:rPr>
                <w:rFonts w:hint="eastAsia" w:ascii="宋体" w:hAnsi="宋体" w:eastAsia="宋体" w:cs="宋体"/>
                <w:bCs/>
                <w:color w:val="auto"/>
                <w:sz w:val="21"/>
                <w:szCs w:val="20"/>
                <w:lang w:eastAsia="zh-CN"/>
              </w:rPr>
              <w:t>监理服务期</w:t>
            </w:r>
          </w:p>
          <w:p w14:paraId="19484399">
            <w:pPr>
              <w:jc w:val="center"/>
              <w:rPr>
                <w:bCs/>
                <w:color w:val="auto"/>
                <w:sz w:val="21"/>
                <w:szCs w:val="20"/>
                <w:lang w:eastAsia="zh-CN"/>
              </w:rPr>
            </w:pPr>
            <w:r>
              <w:rPr>
                <w:rFonts w:hint="eastAsia" w:ascii="宋体" w:hAnsi="宋体" w:eastAsia="宋体" w:cs="宋体"/>
                <w:bCs/>
                <w:color w:val="auto"/>
                <w:sz w:val="21"/>
                <w:szCs w:val="20"/>
                <w:lang w:eastAsia="zh-CN"/>
              </w:rPr>
              <w:t>（月）</w:t>
            </w:r>
          </w:p>
        </w:tc>
        <w:tc>
          <w:tcPr>
            <w:tcW w:w="674" w:type="dxa"/>
            <w:vAlign w:val="center"/>
          </w:tcPr>
          <w:p w14:paraId="04560759">
            <w:pPr>
              <w:jc w:val="center"/>
              <w:rPr>
                <w:bCs/>
                <w:color w:val="auto"/>
                <w:sz w:val="21"/>
                <w:szCs w:val="20"/>
                <w:lang w:eastAsia="zh-CN"/>
              </w:rPr>
            </w:pPr>
            <w:r>
              <w:rPr>
                <w:rFonts w:hint="eastAsia" w:ascii="宋体" w:hAnsi="宋体" w:eastAsia="宋体" w:cs="宋体"/>
                <w:bCs/>
                <w:color w:val="auto"/>
                <w:sz w:val="21"/>
                <w:szCs w:val="20"/>
                <w:lang w:eastAsia="zh-CN"/>
              </w:rPr>
              <w:t>备注</w:t>
            </w:r>
          </w:p>
        </w:tc>
      </w:tr>
      <w:tr w14:paraId="38E850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5" w:hRule="atLeast"/>
          <w:jc w:val="center"/>
        </w:trPr>
        <w:tc>
          <w:tcPr>
            <w:tcW w:w="951" w:type="dxa"/>
            <w:vAlign w:val="center"/>
          </w:tcPr>
          <w:p w14:paraId="73C4C558">
            <w:pPr>
              <w:jc w:val="center"/>
              <w:rPr>
                <w:rFonts w:eastAsiaTheme="minorEastAsia"/>
                <w:bCs/>
                <w:color w:val="auto"/>
                <w:sz w:val="21"/>
                <w:szCs w:val="20"/>
                <w:lang w:eastAsia="zh-CN"/>
              </w:rPr>
            </w:pPr>
            <w:r>
              <w:rPr>
                <w:rFonts w:hint="eastAsia" w:eastAsiaTheme="minorEastAsia"/>
                <w:bCs/>
                <w:color w:val="auto"/>
                <w:sz w:val="21"/>
                <w:szCs w:val="20"/>
                <w:lang w:eastAsia="zh-CN"/>
              </w:rPr>
              <w:t>1</w:t>
            </w:r>
          </w:p>
        </w:tc>
        <w:tc>
          <w:tcPr>
            <w:tcW w:w="1095" w:type="dxa"/>
            <w:vAlign w:val="center"/>
          </w:tcPr>
          <w:p w14:paraId="5ED3B555">
            <w:pPr>
              <w:jc w:val="center"/>
              <w:rPr>
                <w:rFonts w:eastAsiaTheme="minorEastAsia"/>
                <w:bCs/>
                <w:color w:val="auto"/>
                <w:sz w:val="21"/>
                <w:szCs w:val="20"/>
                <w:lang w:eastAsia="zh-CN"/>
              </w:rPr>
            </w:pPr>
            <w:r>
              <w:rPr>
                <w:rFonts w:hint="eastAsia" w:eastAsiaTheme="minorEastAsia"/>
                <w:bCs/>
                <w:color w:val="auto"/>
                <w:sz w:val="21"/>
                <w:szCs w:val="20"/>
                <w:lang w:eastAsia="zh-CN"/>
              </w:rPr>
              <w:t>JXTK-S3-1</w:t>
            </w:r>
          </w:p>
        </w:tc>
        <w:tc>
          <w:tcPr>
            <w:tcW w:w="2266" w:type="dxa"/>
            <w:vAlign w:val="center"/>
          </w:tcPr>
          <w:p w14:paraId="7AE05B29">
            <w:pPr>
              <w:rPr>
                <w:rFonts w:hint="eastAsia" w:ascii="宋体" w:hAnsi="宋体" w:eastAsia="宋体" w:cs="宋体"/>
                <w:bCs/>
                <w:color w:val="auto"/>
                <w:sz w:val="21"/>
                <w:szCs w:val="20"/>
                <w:lang w:eastAsia="zh-CN"/>
              </w:rPr>
            </w:pPr>
            <w:r>
              <w:rPr>
                <w:rFonts w:hint="eastAsia" w:ascii="宋体" w:hAnsi="宋体" w:eastAsia="宋体" w:cs="宋体"/>
                <w:bCs/>
                <w:color w:val="auto"/>
                <w:sz w:val="21"/>
                <w:szCs w:val="20"/>
                <w:lang w:eastAsia="zh-CN"/>
              </w:rPr>
              <w:t>拆除重建河坪和泥洲电排站，新建新屋上电排站和彭家自排闸,库岸加固工程，防渗墙工程</w:t>
            </w:r>
            <w:r>
              <w:rPr>
                <w:rFonts w:ascii="宋体" w:hAnsi="宋体" w:eastAsia="宋体" w:cs="宋体"/>
                <w:bCs/>
                <w:color w:val="auto"/>
                <w:sz w:val="21"/>
                <w:szCs w:val="20"/>
                <w:lang w:eastAsia="zh-CN"/>
              </w:rPr>
              <w:t xml:space="preserve">, </w:t>
            </w:r>
            <w:r>
              <w:rPr>
                <w:rFonts w:hint="eastAsia" w:ascii="宋体" w:hAnsi="宋体" w:eastAsia="宋体" w:cs="宋体"/>
                <w:bCs/>
                <w:color w:val="auto"/>
                <w:sz w:val="21"/>
                <w:szCs w:val="20"/>
                <w:lang w:eastAsia="zh-CN"/>
              </w:rPr>
              <w:t>污水提升泵站和污水管线工程等</w:t>
            </w:r>
          </w:p>
        </w:tc>
        <w:tc>
          <w:tcPr>
            <w:tcW w:w="1183" w:type="dxa"/>
            <w:vAlign w:val="center"/>
          </w:tcPr>
          <w:p w14:paraId="0C163992">
            <w:pPr>
              <w:jc w:val="center"/>
              <w:rPr>
                <w:rFonts w:eastAsiaTheme="minorEastAsia"/>
                <w:bCs/>
                <w:color w:val="auto"/>
                <w:sz w:val="21"/>
                <w:szCs w:val="20"/>
                <w:lang w:eastAsia="zh-CN"/>
              </w:rPr>
            </w:pPr>
            <w:r>
              <w:rPr>
                <w:rFonts w:hint="eastAsia" w:eastAsiaTheme="minorEastAsia"/>
                <w:bCs/>
                <w:color w:val="auto"/>
                <w:sz w:val="21"/>
                <w:szCs w:val="20"/>
                <w:lang w:eastAsia="zh-CN"/>
              </w:rPr>
              <w:t>42</w:t>
            </w:r>
          </w:p>
        </w:tc>
        <w:tc>
          <w:tcPr>
            <w:tcW w:w="1276" w:type="dxa"/>
            <w:vAlign w:val="center"/>
          </w:tcPr>
          <w:p w14:paraId="4BAB4B50">
            <w:pPr>
              <w:jc w:val="center"/>
              <w:rPr>
                <w:rFonts w:eastAsiaTheme="minorEastAsia"/>
                <w:bCs/>
                <w:color w:val="auto"/>
                <w:sz w:val="21"/>
                <w:szCs w:val="20"/>
                <w:lang w:eastAsia="zh-CN"/>
              </w:rPr>
            </w:pPr>
            <w:r>
              <w:rPr>
                <w:rFonts w:hint="eastAsia" w:eastAsiaTheme="minorEastAsia"/>
                <w:bCs/>
                <w:color w:val="auto"/>
                <w:sz w:val="21"/>
                <w:szCs w:val="20"/>
                <w:lang w:eastAsia="zh-CN"/>
              </w:rPr>
              <w:t>18</w:t>
            </w:r>
          </w:p>
        </w:tc>
        <w:tc>
          <w:tcPr>
            <w:tcW w:w="1275" w:type="dxa"/>
            <w:vAlign w:val="center"/>
          </w:tcPr>
          <w:p w14:paraId="05751B86">
            <w:pPr>
              <w:jc w:val="center"/>
              <w:rPr>
                <w:rFonts w:eastAsiaTheme="minorEastAsia"/>
                <w:bCs/>
                <w:color w:val="auto"/>
                <w:sz w:val="21"/>
                <w:szCs w:val="20"/>
                <w:lang w:eastAsia="zh-CN"/>
              </w:rPr>
            </w:pPr>
            <w:r>
              <w:rPr>
                <w:rFonts w:hint="eastAsia" w:eastAsiaTheme="minorEastAsia"/>
                <w:bCs/>
                <w:color w:val="auto"/>
                <w:sz w:val="21"/>
                <w:szCs w:val="20"/>
                <w:lang w:eastAsia="zh-CN"/>
              </w:rPr>
              <w:t>2</w:t>
            </w:r>
            <w:r>
              <w:rPr>
                <w:rFonts w:eastAsiaTheme="minorEastAsia"/>
                <w:bCs/>
                <w:color w:val="auto"/>
                <w:sz w:val="21"/>
                <w:szCs w:val="20"/>
                <w:lang w:eastAsia="zh-CN"/>
              </w:rPr>
              <w:t>4</w:t>
            </w:r>
          </w:p>
        </w:tc>
        <w:tc>
          <w:tcPr>
            <w:tcW w:w="674" w:type="dxa"/>
            <w:vAlign w:val="center"/>
          </w:tcPr>
          <w:p w14:paraId="78ADA6E3">
            <w:pPr>
              <w:ind w:left="480"/>
              <w:jc w:val="center"/>
              <w:rPr>
                <w:bCs/>
                <w:color w:val="auto"/>
                <w:sz w:val="21"/>
                <w:szCs w:val="20"/>
                <w:lang w:eastAsia="zh-CN"/>
              </w:rPr>
            </w:pPr>
          </w:p>
        </w:tc>
      </w:tr>
    </w:tbl>
    <w:p w14:paraId="4353A052">
      <w:pPr>
        <w:jc w:val="center"/>
        <w:rPr>
          <w:b/>
          <w:color w:val="auto"/>
          <w:sz w:val="28"/>
          <w:lang w:eastAsia="zh-CN"/>
        </w:rPr>
      </w:pPr>
    </w:p>
    <w:p w14:paraId="50BAD74D">
      <w:pPr>
        <w:widowControl/>
        <w:wordWrap w:val="0"/>
        <w:spacing w:before="240" w:beforeLines="100" w:after="480" w:afterLines="200" w:line="360" w:lineRule="auto"/>
        <w:jc w:val="center"/>
        <w:outlineLvl w:val="1"/>
        <w:rPr>
          <w:rFonts w:eastAsia="黑体" w:cs="宋体"/>
          <w:bCs/>
          <w:color w:val="auto"/>
          <w:kern w:val="28"/>
          <w:sz w:val="28"/>
          <w:szCs w:val="32"/>
          <w:lang w:eastAsia="zh-CN" w:bidi="ar-SA"/>
        </w:rPr>
        <w:sectPr>
          <w:pgSz w:w="11906" w:h="16838"/>
          <w:pgMar w:top="1418" w:right="1588" w:bottom="1418" w:left="1588" w:header="680" w:footer="992" w:gutter="0"/>
          <w:cols w:space="720" w:num="1"/>
          <w:docGrid w:linePitch="326" w:charSpace="0"/>
        </w:sectPr>
      </w:pPr>
    </w:p>
    <w:p w14:paraId="26CE79D8">
      <w:pPr>
        <w:widowControl/>
        <w:wordWrap w:val="0"/>
        <w:spacing w:before="240" w:beforeLines="100" w:after="480" w:afterLines="200" w:line="360" w:lineRule="auto"/>
        <w:jc w:val="center"/>
        <w:outlineLvl w:val="1"/>
        <w:rPr>
          <w:rFonts w:hint="eastAsia" w:ascii="宋体" w:hAnsi="宋体" w:eastAsia="宋体" w:cs="宋体"/>
          <w:bCs/>
          <w:color w:val="auto"/>
          <w:w w:val="90"/>
          <w:sz w:val="36"/>
          <w:szCs w:val="36"/>
          <w:lang w:eastAsia="zh-CN" w:bidi="ar-SA"/>
        </w:rPr>
      </w:pPr>
      <w:bookmarkStart w:id="21" w:name="_Toc10285"/>
      <w:bookmarkStart w:id="22" w:name="_Hlk45106034"/>
      <w:r>
        <w:rPr>
          <w:rFonts w:ascii="宋体" w:hAnsi="宋体" w:eastAsia="宋体" w:cs="宋体"/>
          <w:bCs/>
          <w:color w:val="auto"/>
          <w:kern w:val="28"/>
          <w:sz w:val="28"/>
          <w:szCs w:val="32"/>
          <w:lang w:eastAsia="zh-CN" w:bidi="ar-SA"/>
        </w:rPr>
        <w:t>附</w:t>
      </w:r>
      <w:r>
        <w:rPr>
          <w:rFonts w:hint="eastAsia" w:ascii="宋体" w:hAnsi="宋体" w:eastAsia="宋体" w:cs="宋体"/>
          <w:bCs/>
          <w:color w:val="auto"/>
          <w:kern w:val="28"/>
          <w:sz w:val="28"/>
          <w:szCs w:val="32"/>
          <w:lang w:eastAsia="zh-CN" w:bidi="ar-SA"/>
        </w:rPr>
        <w:t>录</w:t>
      </w:r>
      <w:r>
        <w:rPr>
          <w:rFonts w:ascii="宋体" w:hAnsi="宋体" w:eastAsia="宋体" w:cs="宋体"/>
          <w:bCs/>
          <w:color w:val="auto"/>
          <w:kern w:val="28"/>
          <w:sz w:val="28"/>
          <w:szCs w:val="32"/>
          <w:lang w:eastAsia="zh-CN" w:bidi="ar-SA"/>
        </w:rPr>
        <w:t>1</w:t>
      </w:r>
      <w:r>
        <w:rPr>
          <w:rFonts w:hint="eastAsia" w:ascii="宋体" w:hAnsi="宋体" w:eastAsia="宋体" w:cs="宋体"/>
          <w:bCs/>
          <w:color w:val="auto"/>
          <w:kern w:val="28"/>
          <w:sz w:val="28"/>
          <w:szCs w:val="32"/>
          <w:lang w:eastAsia="zh-CN" w:bidi="ar-SA"/>
        </w:rPr>
        <w:t>：</w:t>
      </w:r>
      <w:r>
        <w:rPr>
          <w:rFonts w:ascii="宋体" w:hAnsi="宋体" w:eastAsia="宋体" w:cs="宋体"/>
          <w:bCs/>
          <w:color w:val="auto"/>
          <w:kern w:val="28"/>
          <w:sz w:val="28"/>
          <w:szCs w:val="32"/>
          <w:lang w:eastAsia="zh-CN" w:bidi="ar-SA"/>
        </w:rPr>
        <w:t>资格审</w:t>
      </w:r>
      <w:r>
        <w:rPr>
          <w:rFonts w:hint="eastAsia" w:ascii="宋体" w:hAnsi="宋体" w:eastAsia="宋体" w:cs="宋体"/>
          <w:bCs/>
          <w:color w:val="auto"/>
          <w:kern w:val="28"/>
          <w:sz w:val="28"/>
          <w:szCs w:val="32"/>
          <w:lang w:eastAsia="zh-CN" w:bidi="ar-SA"/>
        </w:rPr>
        <w:t>查</w:t>
      </w:r>
      <w:r>
        <w:rPr>
          <w:rFonts w:ascii="宋体" w:hAnsi="宋体" w:eastAsia="宋体" w:cs="宋体"/>
          <w:bCs/>
          <w:color w:val="auto"/>
          <w:kern w:val="28"/>
          <w:sz w:val="28"/>
          <w:szCs w:val="32"/>
          <w:lang w:eastAsia="zh-CN" w:bidi="ar-SA"/>
        </w:rPr>
        <w:t>条件</w:t>
      </w:r>
      <w:r>
        <w:rPr>
          <w:rFonts w:hint="eastAsia" w:ascii="宋体" w:hAnsi="宋体" w:eastAsia="宋体" w:cs="宋体"/>
          <w:bCs/>
          <w:color w:val="auto"/>
          <w:kern w:val="28"/>
          <w:sz w:val="28"/>
          <w:szCs w:val="32"/>
          <w:lang w:eastAsia="zh-CN" w:bidi="ar-SA"/>
        </w:rPr>
        <w:t>（</w:t>
      </w:r>
      <w:r>
        <w:rPr>
          <w:rFonts w:ascii="宋体" w:hAnsi="宋体" w:eastAsia="宋体" w:cs="宋体"/>
          <w:bCs/>
          <w:color w:val="auto"/>
          <w:kern w:val="28"/>
          <w:sz w:val="28"/>
          <w:szCs w:val="32"/>
          <w:lang w:eastAsia="zh-CN" w:bidi="ar-SA"/>
        </w:rPr>
        <w:t>资质最低</w:t>
      </w:r>
      <w:r>
        <w:rPr>
          <w:rFonts w:hint="eastAsia" w:ascii="宋体" w:hAnsi="宋体" w:eastAsia="宋体" w:cs="宋体"/>
          <w:bCs/>
          <w:color w:val="auto"/>
          <w:kern w:val="28"/>
          <w:sz w:val="28"/>
          <w:szCs w:val="32"/>
          <w:lang w:eastAsia="zh-CN" w:bidi="ar-SA"/>
        </w:rPr>
        <w:t>条件</w:t>
      </w:r>
      <w:r>
        <w:rPr>
          <w:rFonts w:ascii="宋体" w:hAnsi="宋体" w:eastAsia="宋体" w:cs="宋体"/>
          <w:bCs/>
          <w:color w:val="auto"/>
          <w:kern w:val="28"/>
          <w:sz w:val="28"/>
          <w:szCs w:val="32"/>
          <w:lang w:eastAsia="zh-CN" w:bidi="ar-SA"/>
        </w:rPr>
        <w:t>）</w:t>
      </w:r>
      <w:bookmarkEnd w:id="15"/>
      <w:bookmarkEnd w:id="16"/>
      <w:bookmarkEnd w:id="17"/>
      <w:bookmarkEnd w:id="18"/>
      <w:bookmarkEnd w:id="21"/>
    </w:p>
    <w:tbl>
      <w:tblPr>
        <w:tblStyle w:val="47"/>
        <w:tblW w:w="8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20"/>
      </w:tblGrid>
      <w:tr w14:paraId="5E67CB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8720" w:type="dxa"/>
            <w:vAlign w:val="center"/>
          </w:tcPr>
          <w:p w14:paraId="5A252776">
            <w:pPr>
              <w:widowControl/>
              <w:wordWrap w:val="0"/>
              <w:spacing w:line="360" w:lineRule="auto"/>
              <w:jc w:val="center"/>
              <w:rPr>
                <w:rFonts w:eastAsia="宋体" w:cs="宋体"/>
                <w:color w:val="auto"/>
                <w:szCs w:val="21"/>
                <w:lang w:eastAsia="zh-CN" w:bidi="ar-SA"/>
              </w:rPr>
            </w:pPr>
            <w:r>
              <w:rPr>
                <w:rFonts w:hAnsi="宋体" w:eastAsia="宋体" w:cs="宋体"/>
                <w:color w:val="auto"/>
                <w:szCs w:val="21"/>
                <w:lang w:eastAsia="zh-CN" w:bidi="ar-SA"/>
              </w:rPr>
              <w:t>资</w:t>
            </w:r>
            <w:r>
              <w:rPr>
                <w:rFonts w:hint="eastAsia" w:hAnsi="宋体" w:eastAsia="宋体" w:cs="宋体"/>
                <w:color w:val="auto"/>
                <w:szCs w:val="21"/>
                <w:lang w:eastAsia="zh-CN" w:bidi="ar-SA"/>
              </w:rPr>
              <w:t>质</w:t>
            </w:r>
            <w:r>
              <w:rPr>
                <w:rFonts w:hAnsi="宋体" w:eastAsia="宋体" w:cs="宋体"/>
                <w:color w:val="auto"/>
                <w:szCs w:val="21"/>
                <w:lang w:eastAsia="zh-CN" w:bidi="ar-SA"/>
              </w:rPr>
              <w:t>要求</w:t>
            </w:r>
          </w:p>
        </w:tc>
      </w:tr>
      <w:tr w14:paraId="6A9688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2" w:hRule="atLeast"/>
          <w:jc w:val="center"/>
        </w:trPr>
        <w:tc>
          <w:tcPr>
            <w:tcW w:w="8720" w:type="dxa"/>
            <w:vAlign w:val="center"/>
          </w:tcPr>
          <w:p w14:paraId="4EF52F6E">
            <w:pPr>
              <w:adjustRightInd w:val="0"/>
              <w:snapToGrid w:val="0"/>
              <w:spacing w:line="324" w:lineRule="auto"/>
              <w:ind w:firstLine="480"/>
              <w:rPr>
                <w:rFonts w:hint="eastAsia" w:ascii="宋体" w:hAnsi="宋体" w:eastAsia="宋体"/>
                <w:color w:val="auto"/>
                <w:kern w:val="2"/>
                <w:lang w:eastAsia="zh-CN" w:bidi="ar-SA"/>
              </w:rPr>
            </w:pPr>
            <w:r>
              <w:rPr>
                <w:rFonts w:hint="eastAsia" w:ascii="宋体" w:hAnsi="宋体" w:eastAsia="宋体"/>
                <w:color w:val="auto"/>
                <w:kern w:val="2"/>
                <w:lang w:eastAsia="zh-CN" w:bidi="ar-SA"/>
              </w:rPr>
              <w:t>投标人应同时具备以下条件：</w:t>
            </w:r>
          </w:p>
          <w:p w14:paraId="2F296654">
            <w:pPr>
              <w:adjustRightInd w:val="0"/>
              <w:snapToGrid w:val="0"/>
              <w:spacing w:line="324" w:lineRule="auto"/>
              <w:ind w:firstLine="480"/>
              <w:rPr>
                <w:rFonts w:hint="eastAsia" w:ascii="宋体" w:hAnsi="宋体" w:eastAsia="宋体"/>
                <w:color w:val="auto"/>
                <w:kern w:val="2"/>
                <w:lang w:eastAsia="zh-CN" w:bidi="ar-SA"/>
              </w:rPr>
            </w:pPr>
            <w:r>
              <w:rPr>
                <w:rFonts w:ascii="宋体" w:hAnsi="宋体" w:eastAsia="宋体"/>
                <w:color w:val="auto"/>
                <w:kern w:val="2"/>
                <w:lang w:eastAsia="zh-CN" w:bidi="ar-SA"/>
              </w:rPr>
              <w:t>1</w:t>
            </w:r>
            <w:r>
              <w:rPr>
                <w:rFonts w:hint="eastAsia" w:ascii="宋体" w:hAnsi="宋体" w:eastAsia="宋体"/>
                <w:color w:val="auto"/>
                <w:kern w:val="2"/>
                <w:lang w:eastAsia="zh-CN" w:bidi="ar-SA"/>
              </w:rPr>
              <w:t>、具有独立法人资格，持有有效的营业执照；</w:t>
            </w:r>
          </w:p>
          <w:p w14:paraId="62477669">
            <w:pPr>
              <w:adjustRightInd w:val="0"/>
              <w:snapToGrid w:val="0"/>
              <w:spacing w:line="324" w:lineRule="auto"/>
              <w:ind w:firstLine="480" w:firstLineChars="200"/>
              <w:jc w:val="both"/>
              <w:rPr>
                <w:rFonts w:hint="eastAsia" w:ascii="宋体" w:hAnsi="宋体" w:eastAsia="宋体"/>
                <w:color w:val="auto"/>
                <w:kern w:val="2"/>
                <w:lang w:eastAsia="zh-CN" w:bidi="ar-SA"/>
              </w:rPr>
            </w:pPr>
            <w:r>
              <w:rPr>
                <w:rFonts w:ascii="宋体" w:hAnsi="宋体" w:eastAsia="宋体"/>
                <w:color w:val="auto"/>
                <w:kern w:val="2"/>
                <w:lang w:eastAsia="zh-CN" w:bidi="ar-SA"/>
              </w:rPr>
              <w:t>2</w:t>
            </w:r>
            <w:r>
              <w:rPr>
                <w:rFonts w:hint="eastAsia" w:ascii="宋体" w:hAnsi="宋体" w:eastAsia="宋体"/>
                <w:color w:val="auto"/>
                <w:kern w:val="2"/>
                <w:lang w:eastAsia="zh-CN" w:bidi="ar-SA"/>
              </w:rPr>
              <w:t>、具有交通运输主管部门颁发的水运工程甲级监理资质或水利主管部门颁发的水利工程施工监理乙级及以上资质。</w:t>
            </w:r>
          </w:p>
        </w:tc>
      </w:tr>
    </w:tbl>
    <w:p w14:paraId="2BFD18EA">
      <w:pPr>
        <w:wordWrap w:val="0"/>
        <w:spacing w:after="120" w:line="360" w:lineRule="auto"/>
        <w:jc w:val="both"/>
        <w:rPr>
          <w:rFonts w:eastAsia="宋体" w:cs="宋体"/>
          <w:color w:val="auto"/>
          <w:sz w:val="21"/>
          <w:szCs w:val="21"/>
          <w:lang w:eastAsia="zh-CN" w:bidi="ar-SA"/>
        </w:rPr>
      </w:pPr>
      <w:r>
        <w:rPr>
          <w:rFonts w:hint="eastAsia" w:eastAsia="宋体" w:cs="宋体"/>
          <w:color w:val="auto"/>
          <w:sz w:val="21"/>
          <w:szCs w:val="21"/>
          <w:lang w:eastAsia="zh-CN" w:bidi="ar-SA"/>
        </w:rPr>
        <w:t xml:space="preserve"> </w:t>
      </w:r>
    </w:p>
    <w:p w14:paraId="27B195E3">
      <w:pPr>
        <w:widowControl/>
        <w:wordWrap w:val="0"/>
        <w:spacing w:before="240" w:beforeLines="100" w:after="480" w:afterLines="200" w:line="360" w:lineRule="auto"/>
        <w:jc w:val="center"/>
        <w:outlineLvl w:val="1"/>
        <w:rPr>
          <w:rFonts w:hint="eastAsia" w:ascii="宋体" w:hAnsi="宋体" w:eastAsia="宋体" w:cs="宋体"/>
          <w:bCs/>
          <w:color w:val="auto"/>
          <w:kern w:val="28"/>
          <w:sz w:val="28"/>
          <w:szCs w:val="32"/>
          <w:lang w:eastAsia="zh-CN" w:bidi="ar-SA"/>
        </w:rPr>
      </w:pPr>
      <w:bookmarkStart w:id="23" w:name="_Toc3236"/>
      <w:bookmarkStart w:id="24" w:name="_Toc18607"/>
      <w:bookmarkStart w:id="25" w:name="_Toc12232"/>
      <w:bookmarkStart w:id="26" w:name="_Toc20873"/>
      <w:bookmarkStart w:id="27" w:name="_Toc33793216"/>
      <w:r>
        <w:rPr>
          <w:rFonts w:ascii="宋体" w:hAnsi="宋体" w:eastAsia="宋体" w:cs="宋体"/>
          <w:bCs/>
          <w:color w:val="auto"/>
          <w:kern w:val="28"/>
          <w:sz w:val="28"/>
          <w:szCs w:val="32"/>
          <w:lang w:eastAsia="zh-CN" w:bidi="ar-SA"/>
        </w:rPr>
        <w:t>附</w:t>
      </w:r>
      <w:r>
        <w:rPr>
          <w:rFonts w:hint="eastAsia" w:ascii="宋体" w:hAnsi="宋体" w:eastAsia="宋体" w:cs="宋体"/>
          <w:bCs/>
          <w:color w:val="auto"/>
          <w:kern w:val="28"/>
          <w:sz w:val="28"/>
          <w:szCs w:val="32"/>
          <w:lang w:eastAsia="zh-CN" w:bidi="ar-SA"/>
        </w:rPr>
        <w:t>录</w:t>
      </w:r>
      <w:r>
        <w:rPr>
          <w:rFonts w:ascii="宋体" w:hAnsi="宋体" w:eastAsia="宋体" w:cs="宋体"/>
          <w:bCs/>
          <w:color w:val="auto"/>
          <w:kern w:val="28"/>
          <w:sz w:val="28"/>
          <w:szCs w:val="32"/>
          <w:lang w:eastAsia="zh-CN" w:bidi="ar-SA"/>
        </w:rPr>
        <w:t>2</w:t>
      </w:r>
      <w:r>
        <w:rPr>
          <w:rFonts w:hint="eastAsia" w:ascii="宋体" w:hAnsi="宋体" w:eastAsia="宋体" w:cs="宋体"/>
          <w:bCs/>
          <w:color w:val="auto"/>
          <w:kern w:val="28"/>
          <w:sz w:val="28"/>
          <w:szCs w:val="32"/>
          <w:lang w:eastAsia="zh-CN" w:bidi="ar-SA"/>
        </w:rPr>
        <w:t>：</w:t>
      </w:r>
      <w:r>
        <w:rPr>
          <w:rFonts w:ascii="宋体" w:hAnsi="宋体" w:eastAsia="宋体" w:cs="宋体"/>
          <w:bCs/>
          <w:color w:val="auto"/>
          <w:kern w:val="28"/>
          <w:sz w:val="28"/>
          <w:szCs w:val="32"/>
          <w:lang w:eastAsia="zh-CN" w:bidi="ar-SA"/>
        </w:rPr>
        <w:t>资格审查条件</w:t>
      </w:r>
      <w:r>
        <w:rPr>
          <w:rFonts w:hint="eastAsia" w:ascii="宋体" w:hAnsi="宋体" w:eastAsia="宋体" w:cs="宋体"/>
          <w:bCs/>
          <w:color w:val="auto"/>
          <w:kern w:val="28"/>
          <w:sz w:val="28"/>
          <w:szCs w:val="32"/>
          <w:lang w:eastAsia="zh-CN" w:bidi="ar-SA"/>
        </w:rPr>
        <w:t>（财务</w:t>
      </w:r>
      <w:r>
        <w:rPr>
          <w:rFonts w:ascii="宋体" w:hAnsi="宋体" w:eastAsia="宋体" w:cs="宋体"/>
          <w:bCs/>
          <w:color w:val="auto"/>
          <w:kern w:val="28"/>
          <w:sz w:val="28"/>
          <w:szCs w:val="32"/>
          <w:lang w:eastAsia="zh-CN" w:bidi="ar-SA"/>
        </w:rPr>
        <w:t>要求</w:t>
      </w:r>
      <w:r>
        <w:rPr>
          <w:rFonts w:hint="eastAsia" w:ascii="宋体" w:hAnsi="宋体" w:eastAsia="宋体" w:cs="宋体"/>
          <w:bCs/>
          <w:color w:val="auto"/>
          <w:kern w:val="28"/>
          <w:sz w:val="28"/>
          <w:szCs w:val="32"/>
          <w:lang w:eastAsia="zh-CN" w:bidi="ar-SA"/>
        </w:rPr>
        <w:t>）</w:t>
      </w:r>
      <w:bookmarkEnd w:id="23"/>
    </w:p>
    <w:tbl>
      <w:tblPr>
        <w:tblStyle w:val="47"/>
        <w:tblW w:w="8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20"/>
      </w:tblGrid>
      <w:tr w14:paraId="5CD90F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9" w:hRule="atLeast"/>
          <w:jc w:val="center"/>
        </w:trPr>
        <w:tc>
          <w:tcPr>
            <w:tcW w:w="8720" w:type="dxa"/>
            <w:vAlign w:val="center"/>
          </w:tcPr>
          <w:p w14:paraId="62CFE6E0">
            <w:pPr>
              <w:widowControl/>
              <w:wordWrap w:val="0"/>
              <w:spacing w:line="360" w:lineRule="auto"/>
              <w:jc w:val="center"/>
              <w:rPr>
                <w:rFonts w:eastAsia="宋体" w:cs="宋体"/>
                <w:color w:val="auto"/>
                <w:szCs w:val="21"/>
                <w:lang w:eastAsia="zh-CN" w:bidi="ar-SA"/>
              </w:rPr>
            </w:pPr>
            <w:r>
              <w:rPr>
                <w:rFonts w:hint="eastAsia" w:hAnsi="宋体" w:eastAsia="宋体" w:cs="宋体"/>
                <w:color w:val="auto"/>
                <w:szCs w:val="21"/>
                <w:lang w:eastAsia="zh-CN" w:bidi="ar-SA"/>
              </w:rPr>
              <w:t>财务</w:t>
            </w:r>
            <w:r>
              <w:rPr>
                <w:rFonts w:hAnsi="宋体" w:eastAsia="宋体" w:cs="宋体"/>
                <w:color w:val="auto"/>
                <w:szCs w:val="21"/>
                <w:lang w:eastAsia="zh-CN" w:bidi="ar-SA"/>
              </w:rPr>
              <w:t>要求</w:t>
            </w:r>
          </w:p>
        </w:tc>
      </w:tr>
      <w:tr w14:paraId="25CE06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74" w:hRule="atLeast"/>
          <w:jc w:val="center"/>
        </w:trPr>
        <w:tc>
          <w:tcPr>
            <w:tcW w:w="8720" w:type="dxa"/>
            <w:vAlign w:val="center"/>
          </w:tcPr>
          <w:p w14:paraId="0E27BEC3">
            <w:pPr>
              <w:adjustRightInd w:val="0"/>
              <w:snapToGrid w:val="0"/>
              <w:spacing w:line="324" w:lineRule="auto"/>
              <w:ind w:firstLine="480"/>
              <w:rPr>
                <w:rFonts w:hint="eastAsia" w:ascii="宋体" w:hAnsi="宋体" w:eastAsia="宋体"/>
                <w:color w:val="auto"/>
                <w:kern w:val="2"/>
                <w:lang w:eastAsia="zh-CN" w:bidi="ar-SA"/>
              </w:rPr>
            </w:pPr>
            <w:r>
              <w:rPr>
                <w:rFonts w:hint="eastAsia" w:ascii="宋体" w:hAnsi="宋体" w:eastAsia="宋体"/>
                <w:color w:val="auto"/>
                <w:kern w:val="2"/>
                <w:lang w:eastAsia="zh-CN" w:bidi="ar-SA"/>
              </w:rPr>
              <w:t>无</w:t>
            </w:r>
          </w:p>
        </w:tc>
      </w:tr>
    </w:tbl>
    <w:p w14:paraId="6BC9DD15">
      <w:pPr>
        <w:widowControl/>
        <w:wordWrap w:val="0"/>
        <w:spacing w:before="240" w:beforeLines="100" w:after="480" w:afterLines="200" w:line="360" w:lineRule="auto"/>
        <w:jc w:val="center"/>
        <w:outlineLvl w:val="1"/>
        <w:rPr>
          <w:rFonts w:hint="eastAsia" w:ascii="宋体" w:hAnsi="宋体" w:eastAsia="宋体" w:cs="宋体"/>
          <w:bCs/>
          <w:color w:val="auto"/>
          <w:kern w:val="28"/>
          <w:sz w:val="28"/>
          <w:szCs w:val="32"/>
          <w:lang w:eastAsia="zh-CN" w:bidi="ar-SA"/>
        </w:rPr>
      </w:pPr>
      <w:bookmarkStart w:id="28" w:name="_Toc4426"/>
      <w:r>
        <w:rPr>
          <w:rFonts w:ascii="宋体" w:hAnsi="宋体" w:eastAsia="宋体" w:cs="宋体"/>
          <w:bCs/>
          <w:color w:val="auto"/>
          <w:kern w:val="28"/>
          <w:sz w:val="28"/>
          <w:szCs w:val="32"/>
          <w:lang w:eastAsia="zh-CN" w:bidi="ar-SA"/>
        </w:rPr>
        <w:t>附</w:t>
      </w:r>
      <w:r>
        <w:rPr>
          <w:rFonts w:hint="eastAsia" w:ascii="宋体" w:hAnsi="宋体" w:eastAsia="宋体" w:cs="宋体"/>
          <w:bCs/>
          <w:color w:val="auto"/>
          <w:kern w:val="28"/>
          <w:sz w:val="28"/>
          <w:szCs w:val="32"/>
          <w:lang w:eastAsia="zh-CN" w:bidi="ar-SA"/>
        </w:rPr>
        <w:t>录</w:t>
      </w:r>
      <w:r>
        <w:rPr>
          <w:rFonts w:ascii="宋体" w:hAnsi="宋体" w:eastAsia="宋体" w:cs="宋体"/>
          <w:bCs/>
          <w:color w:val="auto"/>
          <w:kern w:val="28"/>
          <w:sz w:val="28"/>
          <w:szCs w:val="32"/>
          <w:lang w:eastAsia="zh-CN" w:bidi="ar-SA"/>
        </w:rPr>
        <w:t>3</w:t>
      </w:r>
      <w:r>
        <w:rPr>
          <w:rFonts w:hint="eastAsia" w:ascii="宋体" w:hAnsi="宋体" w:eastAsia="宋体" w:cs="宋体"/>
          <w:bCs/>
          <w:color w:val="auto"/>
          <w:kern w:val="28"/>
          <w:sz w:val="28"/>
          <w:szCs w:val="32"/>
          <w:lang w:eastAsia="zh-CN" w:bidi="ar-SA"/>
        </w:rPr>
        <w:t>：</w:t>
      </w:r>
      <w:r>
        <w:rPr>
          <w:rFonts w:ascii="宋体" w:hAnsi="宋体" w:eastAsia="宋体" w:cs="宋体"/>
          <w:bCs/>
          <w:color w:val="auto"/>
          <w:kern w:val="28"/>
          <w:sz w:val="28"/>
          <w:szCs w:val="32"/>
          <w:lang w:eastAsia="zh-CN" w:bidi="ar-SA"/>
        </w:rPr>
        <w:t>资格审查条件</w:t>
      </w:r>
      <w:r>
        <w:rPr>
          <w:rFonts w:hint="eastAsia" w:ascii="宋体" w:hAnsi="宋体" w:eastAsia="宋体" w:cs="宋体"/>
          <w:bCs/>
          <w:color w:val="auto"/>
          <w:kern w:val="28"/>
          <w:sz w:val="28"/>
          <w:szCs w:val="32"/>
          <w:lang w:eastAsia="zh-CN" w:bidi="ar-SA"/>
        </w:rPr>
        <w:t>（</w:t>
      </w:r>
      <w:r>
        <w:rPr>
          <w:rFonts w:ascii="宋体" w:hAnsi="宋体" w:eastAsia="宋体" w:cs="宋体"/>
          <w:bCs/>
          <w:color w:val="auto"/>
          <w:kern w:val="28"/>
          <w:sz w:val="28"/>
          <w:szCs w:val="32"/>
          <w:lang w:eastAsia="zh-CN" w:bidi="ar-SA"/>
        </w:rPr>
        <w:t>业绩最低要求</w:t>
      </w:r>
      <w:r>
        <w:rPr>
          <w:rFonts w:hint="eastAsia" w:ascii="宋体" w:hAnsi="宋体" w:eastAsia="宋体" w:cs="宋体"/>
          <w:bCs/>
          <w:color w:val="auto"/>
          <w:kern w:val="28"/>
          <w:sz w:val="28"/>
          <w:szCs w:val="32"/>
          <w:lang w:eastAsia="zh-CN" w:bidi="ar-SA"/>
        </w:rPr>
        <w:t>）</w:t>
      </w:r>
      <w:bookmarkEnd w:id="24"/>
      <w:bookmarkEnd w:id="25"/>
      <w:bookmarkEnd w:id="26"/>
      <w:bookmarkEnd w:id="27"/>
      <w:bookmarkEnd w:id="28"/>
    </w:p>
    <w:tbl>
      <w:tblPr>
        <w:tblStyle w:val="47"/>
        <w:tblW w:w="8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20"/>
      </w:tblGrid>
      <w:tr w14:paraId="60ABA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8720" w:type="dxa"/>
            <w:vAlign w:val="center"/>
          </w:tcPr>
          <w:p w14:paraId="3A3364B7">
            <w:pPr>
              <w:widowControl/>
              <w:wordWrap w:val="0"/>
              <w:spacing w:line="360" w:lineRule="auto"/>
              <w:jc w:val="center"/>
              <w:rPr>
                <w:rFonts w:eastAsia="宋体" w:cs="宋体"/>
                <w:color w:val="auto"/>
                <w:szCs w:val="21"/>
                <w:lang w:eastAsia="zh-CN" w:bidi="ar-SA"/>
              </w:rPr>
            </w:pPr>
            <w:r>
              <w:rPr>
                <w:rFonts w:hint="eastAsia" w:hAnsi="宋体" w:eastAsia="宋体" w:cs="宋体"/>
                <w:color w:val="auto"/>
                <w:szCs w:val="21"/>
                <w:lang w:eastAsia="zh-CN" w:bidi="ar-SA"/>
              </w:rPr>
              <w:t>业绩</w:t>
            </w:r>
            <w:r>
              <w:rPr>
                <w:rFonts w:hAnsi="宋体" w:eastAsia="宋体" w:cs="宋体"/>
                <w:color w:val="auto"/>
                <w:szCs w:val="21"/>
                <w:lang w:eastAsia="zh-CN" w:bidi="ar-SA"/>
              </w:rPr>
              <w:t>要求</w:t>
            </w:r>
          </w:p>
        </w:tc>
      </w:tr>
      <w:tr w14:paraId="401582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3" w:hRule="atLeast"/>
          <w:jc w:val="center"/>
        </w:trPr>
        <w:tc>
          <w:tcPr>
            <w:tcW w:w="8720" w:type="dxa"/>
            <w:vAlign w:val="center"/>
          </w:tcPr>
          <w:p w14:paraId="33D2FBE0">
            <w:pPr>
              <w:adjustRightInd w:val="0"/>
              <w:snapToGrid w:val="0"/>
              <w:spacing w:line="360" w:lineRule="auto"/>
              <w:ind w:firstLine="240" w:firstLineChars="100"/>
              <w:rPr>
                <w:rFonts w:hint="eastAsia" w:ascii="宋体" w:hAnsi="宋体" w:eastAsia="宋体" w:cs="宋体"/>
                <w:bCs/>
                <w:color w:val="auto"/>
                <w:szCs w:val="21"/>
                <w:lang w:eastAsia="zh-CN" w:bidi="ar-SA"/>
              </w:rPr>
            </w:pPr>
            <w:bookmarkStart w:id="29" w:name="_Hlk45104913"/>
            <w:r>
              <w:rPr>
                <w:rFonts w:hint="eastAsia" w:ascii="宋体" w:hAnsi="宋体" w:eastAsia="宋体"/>
                <w:color w:val="auto"/>
                <w:kern w:val="2"/>
                <w:lang w:eastAsia="zh-CN" w:bidi="ar-SA"/>
              </w:rPr>
              <w:t>近五年内（2020年10月1日至招标公告发布前1日，以合同签订时间为准，下同）至少完成过1个监理合同金额不小于150万元的水运工程或水利工程的施工监理业绩。</w:t>
            </w:r>
            <w:bookmarkEnd w:id="29"/>
          </w:p>
        </w:tc>
      </w:tr>
    </w:tbl>
    <w:p w14:paraId="070BB29C">
      <w:pPr>
        <w:wordWrap w:val="0"/>
        <w:spacing w:after="120" w:line="360" w:lineRule="auto"/>
        <w:ind w:firstLine="525" w:firstLineChars="250"/>
        <w:jc w:val="both"/>
        <w:rPr>
          <w:rFonts w:eastAsia="宋体" w:cs="宋体"/>
          <w:color w:val="auto"/>
          <w:sz w:val="21"/>
          <w:szCs w:val="21"/>
          <w:lang w:eastAsia="zh-CN" w:bidi="ar-SA"/>
        </w:rPr>
        <w:sectPr>
          <w:pgSz w:w="11906" w:h="16838"/>
          <w:pgMar w:top="1418" w:right="1588" w:bottom="1418" w:left="1588" w:header="680" w:footer="992" w:gutter="0"/>
          <w:cols w:space="720" w:num="1"/>
          <w:docGrid w:linePitch="326" w:charSpace="0"/>
        </w:sectPr>
      </w:pPr>
      <w:bookmarkStart w:id="30" w:name="_Toc418857764"/>
    </w:p>
    <w:p w14:paraId="4036B3D4">
      <w:pPr>
        <w:widowControl/>
        <w:wordWrap w:val="0"/>
        <w:spacing w:before="240" w:beforeLines="100" w:after="480" w:afterLines="200" w:line="360" w:lineRule="auto"/>
        <w:jc w:val="center"/>
        <w:outlineLvl w:val="1"/>
        <w:rPr>
          <w:rFonts w:hint="eastAsia" w:ascii="宋体" w:hAnsi="宋体" w:eastAsia="宋体" w:cs="宋体"/>
          <w:bCs/>
          <w:color w:val="auto"/>
          <w:kern w:val="28"/>
          <w:sz w:val="28"/>
          <w:szCs w:val="32"/>
          <w:lang w:eastAsia="zh-CN" w:bidi="ar-SA"/>
        </w:rPr>
      </w:pPr>
      <w:bookmarkStart w:id="31" w:name="_Toc2956"/>
      <w:bookmarkStart w:id="32" w:name="_Toc130"/>
      <w:bookmarkStart w:id="33" w:name="_Toc33793217"/>
      <w:bookmarkStart w:id="34" w:name="_Toc30885"/>
      <w:bookmarkStart w:id="35" w:name="_Toc154"/>
      <w:r>
        <w:rPr>
          <w:rFonts w:ascii="宋体" w:hAnsi="宋体" w:eastAsia="宋体" w:cs="宋体"/>
          <w:bCs/>
          <w:color w:val="auto"/>
          <w:kern w:val="28"/>
          <w:sz w:val="28"/>
          <w:szCs w:val="32"/>
          <w:lang w:eastAsia="zh-CN" w:bidi="ar-SA"/>
        </w:rPr>
        <w:t>附</w:t>
      </w:r>
      <w:r>
        <w:rPr>
          <w:rFonts w:hint="eastAsia" w:ascii="宋体" w:hAnsi="宋体" w:eastAsia="宋体" w:cs="宋体"/>
          <w:bCs/>
          <w:color w:val="auto"/>
          <w:kern w:val="28"/>
          <w:sz w:val="28"/>
          <w:szCs w:val="32"/>
          <w:lang w:eastAsia="zh-CN" w:bidi="ar-SA"/>
        </w:rPr>
        <w:t>录</w:t>
      </w:r>
      <w:r>
        <w:rPr>
          <w:rFonts w:ascii="宋体" w:hAnsi="宋体" w:eastAsia="宋体" w:cs="宋体"/>
          <w:bCs/>
          <w:color w:val="auto"/>
          <w:kern w:val="28"/>
          <w:sz w:val="28"/>
          <w:szCs w:val="32"/>
          <w:lang w:eastAsia="zh-CN" w:bidi="ar-SA"/>
        </w:rPr>
        <w:t>4</w:t>
      </w:r>
      <w:r>
        <w:rPr>
          <w:rFonts w:hint="eastAsia" w:ascii="宋体" w:hAnsi="宋体" w:eastAsia="宋体" w:cs="宋体"/>
          <w:bCs/>
          <w:color w:val="auto"/>
          <w:kern w:val="28"/>
          <w:sz w:val="28"/>
          <w:szCs w:val="32"/>
          <w:lang w:eastAsia="zh-CN" w:bidi="ar-SA"/>
        </w:rPr>
        <w:t>：</w:t>
      </w:r>
      <w:r>
        <w:rPr>
          <w:rFonts w:ascii="宋体" w:hAnsi="宋体" w:eastAsia="宋体" w:cs="宋体"/>
          <w:bCs/>
          <w:color w:val="auto"/>
          <w:kern w:val="28"/>
          <w:sz w:val="28"/>
          <w:szCs w:val="32"/>
          <w:lang w:eastAsia="zh-CN" w:bidi="ar-SA"/>
        </w:rPr>
        <w:t>资格审查条件</w:t>
      </w:r>
      <w:r>
        <w:rPr>
          <w:rFonts w:hint="eastAsia" w:ascii="宋体" w:hAnsi="宋体" w:eastAsia="宋体" w:cs="宋体"/>
          <w:bCs/>
          <w:color w:val="auto"/>
          <w:kern w:val="28"/>
          <w:sz w:val="28"/>
          <w:szCs w:val="32"/>
          <w:lang w:eastAsia="zh-CN" w:bidi="ar-SA"/>
        </w:rPr>
        <w:t>（</w:t>
      </w:r>
      <w:r>
        <w:rPr>
          <w:rFonts w:ascii="宋体" w:hAnsi="宋体" w:eastAsia="宋体" w:cs="宋体"/>
          <w:bCs/>
          <w:color w:val="auto"/>
          <w:kern w:val="28"/>
          <w:sz w:val="28"/>
          <w:szCs w:val="32"/>
          <w:lang w:eastAsia="zh-CN" w:bidi="ar-SA"/>
        </w:rPr>
        <w:t>信誉最低要求</w:t>
      </w:r>
      <w:r>
        <w:rPr>
          <w:rFonts w:hint="eastAsia" w:ascii="宋体" w:hAnsi="宋体" w:eastAsia="宋体" w:cs="宋体"/>
          <w:bCs/>
          <w:color w:val="auto"/>
          <w:kern w:val="28"/>
          <w:sz w:val="28"/>
          <w:szCs w:val="32"/>
          <w:lang w:eastAsia="zh-CN" w:bidi="ar-SA"/>
        </w:rPr>
        <w:t>）</w:t>
      </w:r>
      <w:bookmarkEnd w:id="31"/>
      <w:bookmarkEnd w:id="32"/>
      <w:bookmarkEnd w:id="33"/>
      <w:bookmarkEnd w:id="34"/>
      <w:bookmarkEnd w:id="35"/>
    </w:p>
    <w:tbl>
      <w:tblPr>
        <w:tblStyle w:val="47"/>
        <w:tblW w:w="8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20"/>
      </w:tblGrid>
      <w:tr w14:paraId="7197CF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jc w:val="center"/>
        </w:trPr>
        <w:tc>
          <w:tcPr>
            <w:tcW w:w="8720" w:type="dxa"/>
            <w:vAlign w:val="center"/>
          </w:tcPr>
          <w:p w14:paraId="0D9D9633">
            <w:pPr>
              <w:wordWrap w:val="0"/>
              <w:spacing w:line="360" w:lineRule="auto"/>
              <w:jc w:val="center"/>
              <w:rPr>
                <w:rFonts w:eastAsia="宋体" w:cs="宋体"/>
                <w:color w:val="auto"/>
                <w:lang w:eastAsia="zh-CN" w:bidi="ar-SA"/>
              </w:rPr>
            </w:pPr>
            <w:r>
              <w:rPr>
                <w:rFonts w:eastAsia="宋体" w:cs="宋体"/>
                <w:color w:val="auto"/>
                <w:lang w:eastAsia="zh-CN" w:bidi="ar-SA"/>
              </w:rPr>
              <w:t>信誉要求</w:t>
            </w:r>
          </w:p>
        </w:tc>
      </w:tr>
      <w:tr w14:paraId="615C23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5" w:hRule="atLeast"/>
          <w:jc w:val="center"/>
        </w:trPr>
        <w:tc>
          <w:tcPr>
            <w:tcW w:w="8720" w:type="dxa"/>
            <w:vAlign w:val="center"/>
          </w:tcPr>
          <w:p w14:paraId="67F701AC">
            <w:pPr>
              <w:adjustRightInd w:val="0"/>
              <w:snapToGrid w:val="0"/>
              <w:spacing w:line="324" w:lineRule="auto"/>
              <w:ind w:firstLine="480" w:firstLineChars="200"/>
              <w:jc w:val="both"/>
              <w:rPr>
                <w:rFonts w:hint="eastAsia" w:ascii="宋体" w:hAnsi="宋体" w:eastAsia="宋体"/>
                <w:color w:val="auto"/>
                <w:kern w:val="2"/>
                <w:lang w:eastAsia="zh-CN" w:bidi="ar-SA"/>
              </w:rPr>
            </w:pPr>
            <w:r>
              <w:rPr>
                <w:rFonts w:hint="eastAsia" w:ascii="宋体" w:hAnsi="宋体" w:eastAsia="宋体"/>
                <w:color w:val="auto"/>
                <w:kern w:val="2"/>
                <w:lang w:eastAsia="zh-CN" w:bidi="ar-SA"/>
              </w:rPr>
              <w:t>①未被江西省交通运输厅及其上级单位取消在江西省内的投标资格或禁止进入江西省交通建设市场且处于有效期内。</w:t>
            </w:r>
          </w:p>
          <w:p w14:paraId="0A081681">
            <w:pPr>
              <w:adjustRightInd w:val="0"/>
              <w:snapToGrid w:val="0"/>
              <w:spacing w:line="324" w:lineRule="auto"/>
              <w:ind w:firstLine="480" w:firstLineChars="200"/>
              <w:jc w:val="both"/>
              <w:rPr>
                <w:rFonts w:hint="eastAsia" w:ascii="宋体" w:hAnsi="宋体" w:eastAsia="宋体"/>
                <w:color w:val="auto"/>
                <w:kern w:val="2"/>
                <w:lang w:eastAsia="zh-CN" w:bidi="ar-SA"/>
              </w:rPr>
            </w:pPr>
            <w:r>
              <w:rPr>
                <w:rFonts w:hint="eastAsia" w:ascii="宋体" w:hAnsi="宋体" w:eastAsia="宋体"/>
                <w:color w:val="auto"/>
                <w:kern w:val="2"/>
                <w:lang w:eastAsia="zh-CN" w:bidi="ar-SA"/>
              </w:rPr>
              <w:t>②</w:t>
            </w:r>
            <w:r>
              <w:rPr>
                <w:rFonts w:hint="eastAsia" w:ascii="宋体" w:hAnsi="宋体" w:eastAsia="宋体" w:cs="宋体"/>
                <w:color w:val="auto"/>
                <w:kern w:val="2"/>
                <w:lang w:eastAsia="zh-CN" w:bidi="ar-SA"/>
              </w:rPr>
              <w:t>在江西省交通运输厅发布的2024年度全省公路水运监理信用评价结果中未被评为D级。</w:t>
            </w:r>
          </w:p>
          <w:p w14:paraId="7353FF5E">
            <w:pPr>
              <w:adjustRightInd w:val="0"/>
              <w:snapToGrid w:val="0"/>
              <w:spacing w:line="324" w:lineRule="auto"/>
              <w:ind w:firstLine="480" w:firstLineChars="200"/>
              <w:jc w:val="both"/>
              <w:rPr>
                <w:rFonts w:hint="eastAsia" w:ascii="宋体" w:hAnsi="宋体" w:eastAsia="宋体"/>
                <w:color w:val="auto"/>
                <w:kern w:val="2"/>
                <w:lang w:eastAsia="zh-CN" w:bidi="ar-SA"/>
              </w:rPr>
            </w:pPr>
            <w:r>
              <w:rPr>
                <w:rFonts w:hint="eastAsia" w:ascii="宋体" w:hAnsi="宋体" w:eastAsia="宋体"/>
                <w:color w:val="auto"/>
                <w:kern w:val="2"/>
                <w:lang w:eastAsia="zh-CN" w:bidi="ar-SA"/>
              </w:rPr>
              <w:t>③未被责令停业、或被暂扣或吊销执照、或被吊销资质证书。</w:t>
            </w:r>
          </w:p>
          <w:p w14:paraId="7878B54D">
            <w:pPr>
              <w:adjustRightInd w:val="0"/>
              <w:snapToGrid w:val="0"/>
              <w:spacing w:line="324" w:lineRule="auto"/>
              <w:ind w:firstLine="480" w:firstLineChars="200"/>
              <w:jc w:val="both"/>
              <w:rPr>
                <w:rFonts w:hint="eastAsia" w:ascii="宋体" w:hAnsi="宋体" w:eastAsia="宋体"/>
                <w:color w:val="auto"/>
                <w:kern w:val="2"/>
                <w:lang w:eastAsia="zh-CN" w:bidi="ar-SA"/>
              </w:rPr>
            </w:pPr>
            <w:r>
              <w:rPr>
                <w:rFonts w:hint="eastAsia" w:ascii="宋体" w:hAnsi="宋体" w:eastAsia="宋体"/>
                <w:color w:val="auto"/>
                <w:kern w:val="2"/>
                <w:lang w:eastAsia="zh-CN" w:bidi="ar-SA"/>
              </w:rPr>
              <w:t>④未进入清算程序，或被宣告破产，或存在其他丧失履约能力的情形。</w:t>
            </w:r>
          </w:p>
          <w:p w14:paraId="49D04A6D">
            <w:pPr>
              <w:adjustRightInd w:val="0"/>
              <w:snapToGrid w:val="0"/>
              <w:spacing w:line="324" w:lineRule="auto"/>
              <w:ind w:firstLine="480" w:firstLineChars="200"/>
              <w:jc w:val="both"/>
              <w:rPr>
                <w:rFonts w:hint="eastAsia" w:ascii="宋体" w:hAnsi="宋体" w:eastAsia="宋体"/>
                <w:color w:val="auto"/>
                <w:kern w:val="2"/>
                <w:lang w:eastAsia="zh-CN" w:bidi="ar-SA"/>
              </w:rPr>
            </w:pPr>
            <w:r>
              <w:rPr>
                <w:rFonts w:hint="eastAsia" w:ascii="宋体" w:hAnsi="宋体" w:eastAsia="宋体"/>
                <w:color w:val="auto"/>
                <w:kern w:val="2"/>
                <w:lang w:eastAsia="zh-CN" w:bidi="ar-SA"/>
              </w:rPr>
              <w:t>⑤在国家企业信用信息公示系统（</w:t>
            </w:r>
            <w:r>
              <w:rPr>
                <w:rFonts w:eastAsia="宋体"/>
                <w:color w:val="auto"/>
                <w:kern w:val="2"/>
                <w:lang w:eastAsia="zh-CN" w:bidi="ar-SA"/>
              </w:rPr>
              <w:t>http://www.gsxt.gov.cn/</w:t>
            </w:r>
            <w:r>
              <w:rPr>
                <w:rFonts w:hint="eastAsia" w:ascii="宋体" w:hAnsi="宋体" w:eastAsia="宋体"/>
                <w:color w:val="auto"/>
                <w:kern w:val="2"/>
                <w:lang w:eastAsia="zh-CN" w:bidi="ar-SA"/>
              </w:rPr>
              <w:t>）中未被列入严重违法失信名单。</w:t>
            </w:r>
          </w:p>
          <w:p w14:paraId="56C41063">
            <w:pPr>
              <w:adjustRightInd w:val="0"/>
              <w:snapToGrid w:val="0"/>
              <w:spacing w:line="324" w:lineRule="auto"/>
              <w:ind w:firstLine="480" w:firstLineChars="200"/>
              <w:jc w:val="both"/>
              <w:rPr>
                <w:rFonts w:hint="eastAsia" w:ascii="宋体" w:hAnsi="宋体" w:eastAsia="宋体"/>
                <w:color w:val="auto"/>
                <w:kern w:val="2"/>
                <w:lang w:eastAsia="zh-CN" w:bidi="ar-SA"/>
              </w:rPr>
            </w:pPr>
            <w:r>
              <w:rPr>
                <w:rFonts w:hint="eastAsia" w:ascii="宋体" w:hAnsi="宋体" w:eastAsia="宋体"/>
                <w:color w:val="auto"/>
                <w:kern w:val="2"/>
                <w:lang w:eastAsia="zh-CN" w:bidi="ar-SA"/>
              </w:rPr>
              <w:t>⑥在“信用中国”网站（</w:t>
            </w:r>
            <w:r>
              <w:rPr>
                <w:rFonts w:eastAsia="宋体"/>
                <w:color w:val="auto"/>
                <w:kern w:val="2"/>
                <w:lang w:eastAsia="zh-CN" w:bidi="ar-SA"/>
              </w:rPr>
              <w:t>http://www.creditchina.gov.cn/</w:t>
            </w:r>
            <w:r>
              <w:rPr>
                <w:rFonts w:hint="eastAsia" w:ascii="宋体" w:hAnsi="宋体" w:eastAsia="宋体"/>
                <w:color w:val="auto"/>
                <w:kern w:val="2"/>
                <w:lang w:eastAsia="zh-CN" w:bidi="ar-SA"/>
              </w:rPr>
              <w:t>）中未被列入失信被执行人名单。</w:t>
            </w:r>
          </w:p>
          <w:p w14:paraId="3AB5892C">
            <w:pPr>
              <w:adjustRightInd w:val="0"/>
              <w:snapToGrid w:val="0"/>
              <w:spacing w:line="324" w:lineRule="auto"/>
              <w:ind w:firstLine="480" w:firstLineChars="200"/>
              <w:jc w:val="both"/>
              <w:rPr>
                <w:rFonts w:hint="eastAsia" w:ascii="宋体" w:hAnsi="宋体" w:eastAsia="宋体"/>
                <w:color w:val="auto"/>
                <w:kern w:val="2"/>
                <w:lang w:eastAsia="zh-CN" w:bidi="ar-SA"/>
              </w:rPr>
            </w:pPr>
            <w:r>
              <w:rPr>
                <w:rFonts w:hint="eastAsia" w:ascii="宋体" w:hAnsi="宋体" w:eastAsia="宋体"/>
                <w:color w:val="auto"/>
                <w:kern w:val="2"/>
                <w:lang w:eastAsia="zh-CN" w:bidi="ar-SA"/>
              </w:rPr>
              <w:t>⑦投标人及其法定代表人、委托代理人（如有）、拟委任的总监理工程师在近三年（</w:t>
            </w:r>
            <w:r>
              <w:rPr>
                <w:rFonts w:ascii="宋体" w:hAnsi="宋体" w:eastAsia="宋体"/>
                <w:color w:val="auto"/>
                <w:kern w:val="2"/>
                <w:lang w:eastAsia="zh-CN" w:bidi="ar-SA"/>
              </w:rPr>
              <w:t>2022年10月1日</w:t>
            </w:r>
            <w:r>
              <w:rPr>
                <w:rFonts w:hint="eastAsia" w:ascii="宋体" w:hAnsi="宋体" w:eastAsia="宋体"/>
                <w:color w:val="auto"/>
                <w:kern w:val="2"/>
                <w:lang w:eastAsia="zh-CN" w:bidi="ar-SA"/>
              </w:rPr>
              <w:t>至招标公告发布前1日，下同）内无行贿犯罪行为。</w:t>
            </w:r>
          </w:p>
        </w:tc>
      </w:tr>
    </w:tbl>
    <w:p w14:paraId="26C4AFF3">
      <w:pPr>
        <w:widowControl/>
        <w:rPr>
          <w:rFonts w:eastAsia="宋体" w:cs="宋体"/>
          <w:color w:val="auto"/>
          <w:lang w:eastAsia="zh-CN" w:bidi="ar-SA"/>
        </w:rPr>
      </w:pPr>
      <w:r>
        <w:rPr>
          <w:rFonts w:eastAsia="宋体" w:cs="宋体"/>
          <w:color w:val="auto"/>
          <w:lang w:eastAsia="zh-CN" w:bidi="ar-SA"/>
        </w:rPr>
        <w:br w:type="page"/>
      </w:r>
    </w:p>
    <w:p w14:paraId="629ED3F8">
      <w:pPr>
        <w:widowControl/>
        <w:wordWrap w:val="0"/>
        <w:spacing w:before="240" w:beforeLines="100" w:after="480" w:afterLines="200" w:line="360" w:lineRule="auto"/>
        <w:jc w:val="center"/>
        <w:outlineLvl w:val="1"/>
        <w:rPr>
          <w:rFonts w:hint="eastAsia" w:ascii="宋体" w:hAnsi="宋体" w:eastAsia="宋体" w:cs="宋体"/>
          <w:bCs/>
          <w:color w:val="auto"/>
          <w:kern w:val="28"/>
          <w:sz w:val="28"/>
          <w:szCs w:val="32"/>
          <w:lang w:eastAsia="zh-CN" w:bidi="ar-SA"/>
        </w:rPr>
      </w:pPr>
      <w:bookmarkStart w:id="36" w:name="_Toc98"/>
      <w:r>
        <w:rPr>
          <w:rFonts w:ascii="宋体" w:hAnsi="宋体" w:eastAsia="宋体" w:cs="宋体"/>
          <w:bCs/>
          <w:color w:val="auto"/>
          <w:kern w:val="28"/>
          <w:sz w:val="28"/>
          <w:szCs w:val="32"/>
          <w:lang w:eastAsia="zh-CN" w:bidi="ar-SA"/>
        </w:rPr>
        <w:t>附</w:t>
      </w:r>
      <w:r>
        <w:rPr>
          <w:rFonts w:hint="eastAsia" w:ascii="宋体" w:hAnsi="宋体" w:eastAsia="宋体" w:cs="宋体"/>
          <w:bCs/>
          <w:color w:val="auto"/>
          <w:kern w:val="28"/>
          <w:sz w:val="28"/>
          <w:szCs w:val="32"/>
          <w:lang w:eastAsia="zh-CN" w:bidi="ar-SA"/>
        </w:rPr>
        <w:t>录</w:t>
      </w:r>
      <w:r>
        <w:rPr>
          <w:rFonts w:ascii="宋体" w:hAnsi="宋体" w:eastAsia="宋体" w:cs="宋体"/>
          <w:bCs/>
          <w:color w:val="auto"/>
          <w:kern w:val="28"/>
          <w:sz w:val="28"/>
          <w:szCs w:val="32"/>
          <w:lang w:eastAsia="zh-CN" w:bidi="ar-SA"/>
        </w:rPr>
        <w:t>5</w:t>
      </w:r>
      <w:r>
        <w:rPr>
          <w:rFonts w:hint="eastAsia" w:ascii="宋体" w:hAnsi="宋体" w:eastAsia="宋体" w:cs="宋体"/>
          <w:bCs/>
          <w:color w:val="auto"/>
          <w:kern w:val="28"/>
          <w:sz w:val="28"/>
          <w:szCs w:val="32"/>
          <w:lang w:eastAsia="zh-CN" w:bidi="ar-SA"/>
        </w:rPr>
        <w:t>：</w:t>
      </w:r>
      <w:r>
        <w:rPr>
          <w:rFonts w:ascii="宋体" w:hAnsi="宋体" w:eastAsia="宋体" w:cs="宋体"/>
          <w:bCs/>
          <w:color w:val="auto"/>
          <w:kern w:val="28"/>
          <w:sz w:val="28"/>
          <w:szCs w:val="32"/>
          <w:lang w:eastAsia="zh-CN" w:bidi="ar-SA"/>
        </w:rPr>
        <w:t>资格审查条件</w:t>
      </w:r>
      <w:r>
        <w:rPr>
          <w:rFonts w:hint="eastAsia" w:ascii="宋体" w:hAnsi="宋体" w:eastAsia="宋体" w:cs="宋体"/>
          <w:bCs/>
          <w:color w:val="auto"/>
          <w:kern w:val="28"/>
          <w:sz w:val="28"/>
          <w:szCs w:val="32"/>
          <w:lang w:eastAsia="zh-CN" w:bidi="ar-SA"/>
        </w:rPr>
        <w:t>（总监理工程师</w:t>
      </w:r>
      <w:r>
        <w:rPr>
          <w:rFonts w:ascii="宋体" w:hAnsi="宋体" w:eastAsia="宋体" w:cs="宋体"/>
          <w:bCs/>
          <w:color w:val="auto"/>
          <w:kern w:val="28"/>
          <w:sz w:val="28"/>
          <w:szCs w:val="32"/>
          <w:lang w:eastAsia="zh-CN" w:bidi="ar-SA"/>
        </w:rPr>
        <w:t>资格</w:t>
      </w:r>
      <w:r>
        <w:rPr>
          <w:rFonts w:hint="eastAsia" w:ascii="宋体" w:hAnsi="宋体" w:eastAsia="宋体" w:cs="宋体"/>
          <w:bCs/>
          <w:color w:val="auto"/>
          <w:kern w:val="28"/>
          <w:sz w:val="28"/>
          <w:szCs w:val="32"/>
          <w:lang w:eastAsia="zh-CN" w:bidi="ar-SA"/>
        </w:rPr>
        <w:t>最低要求）</w:t>
      </w:r>
      <w:bookmarkEnd w:id="36"/>
    </w:p>
    <w:tbl>
      <w:tblPr>
        <w:tblStyle w:val="47"/>
        <w:tblW w:w="87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10"/>
        <w:gridCol w:w="1064"/>
        <w:gridCol w:w="5843"/>
      </w:tblGrid>
      <w:tr w14:paraId="38EBC1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7" w:hRule="atLeast"/>
          <w:tblHeader/>
          <w:jc w:val="center"/>
        </w:trPr>
        <w:tc>
          <w:tcPr>
            <w:tcW w:w="1810" w:type="dxa"/>
            <w:vAlign w:val="center"/>
          </w:tcPr>
          <w:p w14:paraId="0236B102">
            <w:pPr>
              <w:wordWrap w:val="0"/>
              <w:adjustRightInd w:val="0"/>
              <w:snapToGrid w:val="0"/>
              <w:spacing w:line="360" w:lineRule="auto"/>
              <w:jc w:val="center"/>
              <w:rPr>
                <w:rFonts w:hint="eastAsia" w:ascii="宋体" w:hAnsi="宋体" w:eastAsia="宋体" w:cs="新宋体"/>
                <w:color w:val="auto"/>
                <w:lang w:eastAsia="zh-CN" w:bidi="ar-SA"/>
              </w:rPr>
            </w:pPr>
            <w:r>
              <w:rPr>
                <w:rFonts w:hint="eastAsia" w:ascii="宋体" w:hAnsi="宋体" w:eastAsia="宋体" w:cs="新宋体"/>
                <w:color w:val="auto"/>
                <w:lang w:eastAsia="zh-CN" w:bidi="ar-SA"/>
              </w:rPr>
              <w:t>标段</w:t>
            </w:r>
          </w:p>
        </w:tc>
        <w:tc>
          <w:tcPr>
            <w:tcW w:w="1064" w:type="dxa"/>
            <w:vAlign w:val="center"/>
          </w:tcPr>
          <w:p w14:paraId="07313A06">
            <w:pPr>
              <w:wordWrap w:val="0"/>
              <w:adjustRightInd w:val="0"/>
              <w:snapToGrid w:val="0"/>
              <w:spacing w:line="360" w:lineRule="auto"/>
              <w:ind w:left="120" w:hanging="120" w:hangingChars="50"/>
              <w:jc w:val="center"/>
              <w:rPr>
                <w:rFonts w:hint="eastAsia" w:ascii="宋体" w:hAnsi="宋体" w:eastAsia="宋体" w:cs="新宋体"/>
                <w:color w:val="auto"/>
                <w:lang w:eastAsia="zh-CN" w:bidi="ar-SA"/>
              </w:rPr>
            </w:pPr>
            <w:r>
              <w:rPr>
                <w:rFonts w:hint="eastAsia" w:ascii="宋体" w:hAnsi="宋体" w:eastAsia="宋体" w:cs="新宋体"/>
                <w:color w:val="auto"/>
                <w:lang w:eastAsia="zh-CN" w:bidi="ar-SA"/>
              </w:rPr>
              <w:t>数量</w:t>
            </w:r>
          </w:p>
        </w:tc>
        <w:tc>
          <w:tcPr>
            <w:tcW w:w="5843" w:type="dxa"/>
            <w:vAlign w:val="center"/>
          </w:tcPr>
          <w:p w14:paraId="068BB6AD">
            <w:pPr>
              <w:wordWrap w:val="0"/>
              <w:adjustRightInd w:val="0"/>
              <w:snapToGrid w:val="0"/>
              <w:spacing w:line="360" w:lineRule="auto"/>
              <w:ind w:firstLine="480" w:firstLineChars="200"/>
              <w:jc w:val="center"/>
              <w:rPr>
                <w:rFonts w:hint="eastAsia" w:ascii="宋体" w:hAnsi="宋体" w:eastAsia="宋体" w:cs="新宋体"/>
                <w:color w:val="auto"/>
                <w:lang w:eastAsia="zh-CN" w:bidi="ar-SA"/>
              </w:rPr>
            </w:pPr>
            <w:r>
              <w:rPr>
                <w:rFonts w:hint="eastAsia" w:ascii="宋体" w:hAnsi="宋体" w:eastAsia="宋体" w:cs="新宋体"/>
                <w:color w:val="auto"/>
                <w:lang w:eastAsia="zh-CN" w:bidi="ar-SA"/>
              </w:rPr>
              <w:t>资 格 要 求</w:t>
            </w:r>
          </w:p>
        </w:tc>
      </w:tr>
      <w:tr w14:paraId="0578A3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6" w:hRule="atLeast"/>
          <w:jc w:val="center"/>
        </w:trPr>
        <w:tc>
          <w:tcPr>
            <w:tcW w:w="1810" w:type="dxa"/>
            <w:vAlign w:val="center"/>
          </w:tcPr>
          <w:p w14:paraId="47724605">
            <w:pPr>
              <w:wordWrap w:val="0"/>
              <w:adjustRightInd w:val="0"/>
              <w:snapToGrid w:val="0"/>
              <w:spacing w:line="360" w:lineRule="auto"/>
              <w:jc w:val="center"/>
              <w:rPr>
                <w:rFonts w:hint="eastAsia" w:ascii="宋体" w:hAnsi="宋体" w:eastAsia="宋体" w:cs="新宋体"/>
                <w:color w:val="auto"/>
                <w:lang w:eastAsia="zh-CN" w:bidi="ar-SA"/>
              </w:rPr>
            </w:pPr>
            <w:r>
              <w:rPr>
                <w:rFonts w:hint="eastAsia" w:ascii="宋体" w:hAnsi="宋体" w:eastAsia="宋体" w:cs="新宋体"/>
                <w:color w:val="auto"/>
                <w:lang w:eastAsia="zh-CN" w:bidi="ar-SA"/>
              </w:rPr>
              <w:t>JXTK-S3-1</w:t>
            </w:r>
          </w:p>
        </w:tc>
        <w:tc>
          <w:tcPr>
            <w:tcW w:w="1064" w:type="dxa"/>
            <w:vAlign w:val="center"/>
          </w:tcPr>
          <w:p w14:paraId="05F512E6">
            <w:pPr>
              <w:wordWrap w:val="0"/>
              <w:adjustRightInd w:val="0"/>
              <w:snapToGrid w:val="0"/>
              <w:spacing w:line="360" w:lineRule="auto"/>
              <w:jc w:val="center"/>
              <w:rPr>
                <w:rFonts w:hint="eastAsia" w:ascii="宋体" w:hAnsi="宋体" w:eastAsia="宋体" w:cs="新宋体"/>
                <w:color w:val="auto"/>
                <w:lang w:eastAsia="zh-CN" w:bidi="ar-SA"/>
              </w:rPr>
            </w:pPr>
            <w:r>
              <w:rPr>
                <w:rFonts w:hint="eastAsia" w:ascii="宋体" w:hAnsi="宋体" w:eastAsia="宋体" w:cs="新宋体"/>
                <w:color w:val="auto"/>
                <w:lang w:eastAsia="zh-CN" w:bidi="ar-SA"/>
              </w:rPr>
              <w:t>1</w:t>
            </w:r>
          </w:p>
        </w:tc>
        <w:tc>
          <w:tcPr>
            <w:tcW w:w="5843" w:type="dxa"/>
            <w:vAlign w:val="center"/>
          </w:tcPr>
          <w:p w14:paraId="25E2B64E">
            <w:pPr>
              <w:pStyle w:val="95"/>
              <w:adjustRightInd w:val="0"/>
              <w:snapToGrid w:val="0"/>
              <w:ind w:firstLine="0" w:firstLineChars="0"/>
              <w:rPr>
                <w:rFonts w:hint="eastAsia" w:ascii="宋体" w:hAnsi="宋体"/>
                <w:color w:val="auto"/>
                <w:lang w:bidi="en-US"/>
              </w:rPr>
            </w:pPr>
            <w:r>
              <w:rPr>
                <w:rFonts w:hint="eastAsia" w:ascii="宋体" w:hAnsi="宋体"/>
                <w:color w:val="auto"/>
              </w:rPr>
              <w:t>项目负责人（总监理工程师）：高级工程师技术职称；持有人力资源和社会保障部、交通运输部颁发的监理工程师职业资格证书（交通运输工程专业），或交通运输部颁发的水运工程监理工程师资格证书，或水利监理工程师资格证书（指有效的注册水利监理工程师证书）。</w:t>
            </w:r>
          </w:p>
        </w:tc>
      </w:tr>
    </w:tbl>
    <w:p w14:paraId="0020A04D">
      <w:pPr>
        <w:rPr>
          <w:rFonts w:eastAsia="黑体" w:cs="宋体"/>
          <w:bCs/>
          <w:color w:val="auto"/>
          <w:kern w:val="28"/>
          <w:sz w:val="28"/>
          <w:szCs w:val="32"/>
          <w:lang w:eastAsia="zh-CN" w:bidi="ar-SA"/>
        </w:rPr>
      </w:pPr>
      <w:bookmarkStart w:id="37" w:name="_Toc33789423"/>
      <w:bookmarkStart w:id="38" w:name="_Toc33793219"/>
    </w:p>
    <w:p w14:paraId="5623BFC0">
      <w:pPr>
        <w:rPr>
          <w:rFonts w:eastAsia="黑体" w:cs="宋体"/>
          <w:bCs/>
          <w:color w:val="auto"/>
          <w:kern w:val="28"/>
          <w:sz w:val="28"/>
          <w:szCs w:val="32"/>
          <w:lang w:eastAsia="zh-CN" w:bidi="ar-SA"/>
        </w:rPr>
        <w:sectPr>
          <w:pgSz w:w="11906" w:h="16838"/>
          <w:pgMar w:top="1418" w:right="1588" w:bottom="1418" w:left="1588" w:header="680" w:footer="992" w:gutter="0"/>
          <w:cols w:space="720" w:num="1"/>
          <w:docGrid w:linePitch="326" w:charSpace="0"/>
        </w:sectPr>
      </w:pPr>
    </w:p>
    <w:p w14:paraId="1AEE9F82">
      <w:pPr>
        <w:widowControl/>
        <w:wordWrap w:val="0"/>
        <w:spacing w:before="240" w:beforeLines="100" w:after="480" w:afterLines="200" w:line="360" w:lineRule="auto"/>
        <w:jc w:val="center"/>
        <w:outlineLvl w:val="1"/>
        <w:rPr>
          <w:rFonts w:hint="eastAsia" w:ascii="宋体" w:hAnsi="宋体" w:eastAsia="宋体" w:cs="宋体"/>
          <w:bCs/>
          <w:color w:val="auto"/>
          <w:kern w:val="28"/>
          <w:sz w:val="28"/>
          <w:szCs w:val="32"/>
          <w:lang w:eastAsia="zh-CN" w:bidi="ar-SA"/>
        </w:rPr>
      </w:pPr>
      <w:bookmarkStart w:id="39" w:name="_Toc5812"/>
      <w:bookmarkStart w:id="40" w:name="_Hlk61160082"/>
      <w:bookmarkStart w:id="41" w:name="_Hlk45103335"/>
      <w:bookmarkStart w:id="42" w:name="_Hlk60985886"/>
      <w:r>
        <w:rPr>
          <w:rFonts w:ascii="宋体" w:hAnsi="宋体" w:eastAsia="宋体" w:cs="宋体"/>
          <w:bCs/>
          <w:color w:val="auto"/>
          <w:kern w:val="28"/>
          <w:sz w:val="28"/>
          <w:szCs w:val="32"/>
          <w:lang w:eastAsia="zh-CN" w:bidi="ar-SA"/>
        </w:rPr>
        <w:t>附</w:t>
      </w:r>
      <w:r>
        <w:rPr>
          <w:rFonts w:hint="eastAsia" w:ascii="宋体" w:hAnsi="宋体" w:eastAsia="宋体" w:cs="宋体"/>
          <w:bCs/>
          <w:color w:val="auto"/>
          <w:kern w:val="28"/>
          <w:sz w:val="28"/>
          <w:szCs w:val="32"/>
          <w:lang w:eastAsia="zh-CN" w:bidi="ar-SA"/>
        </w:rPr>
        <w:t>录</w:t>
      </w:r>
      <w:r>
        <w:rPr>
          <w:rFonts w:ascii="宋体" w:hAnsi="宋体" w:eastAsia="宋体" w:cs="宋体"/>
          <w:bCs/>
          <w:color w:val="auto"/>
          <w:kern w:val="28"/>
          <w:sz w:val="28"/>
          <w:szCs w:val="32"/>
          <w:lang w:eastAsia="zh-CN" w:bidi="ar-SA"/>
        </w:rPr>
        <w:t>6</w:t>
      </w:r>
      <w:r>
        <w:rPr>
          <w:rFonts w:hint="eastAsia" w:ascii="宋体" w:hAnsi="宋体" w:eastAsia="宋体" w:cs="宋体"/>
          <w:bCs/>
          <w:color w:val="auto"/>
          <w:kern w:val="28"/>
          <w:sz w:val="28"/>
          <w:szCs w:val="32"/>
          <w:lang w:eastAsia="zh-CN" w:bidi="ar-SA"/>
        </w:rPr>
        <w:t>：其他主要人员要求</w:t>
      </w:r>
      <w:bookmarkEnd w:id="37"/>
      <w:bookmarkEnd w:id="38"/>
      <w:bookmarkEnd w:id="39"/>
      <w:bookmarkStart w:id="43" w:name="_Hlk45105159"/>
      <w:bookmarkStart w:id="44" w:name="_Hlk62223566"/>
    </w:p>
    <w:tbl>
      <w:tblPr>
        <w:tblStyle w:val="47"/>
        <w:tblW w:w="93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1842"/>
        <w:gridCol w:w="4536"/>
        <w:gridCol w:w="1416"/>
        <w:gridCol w:w="708"/>
      </w:tblGrid>
      <w:tr w14:paraId="78DF9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3" w:hRule="atLeast"/>
          <w:tblHeader/>
          <w:jc w:val="center"/>
        </w:trPr>
        <w:tc>
          <w:tcPr>
            <w:tcW w:w="2693" w:type="dxa"/>
            <w:gridSpan w:val="2"/>
            <w:vAlign w:val="center"/>
          </w:tcPr>
          <w:p w14:paraId="4F69ED35">
            <w:pPr>
              <w:adjustRightInd w:val="0"/>
              <w:snapToGrid w:val="0"/>
              <w:jc w:val="center"/>
              <w:rPr>
                <w:rFonts w:ascii="宋体" w:hAnsi="宋体"/>
                <w:color w:val="auto"/>
                <w:szCs w:val="21"/>
              </w:rPr>
            </w:pPr>
            <w:r>
              <w:rPr>
                <w:rFonts w:hint="eastAsia" w:ascii="宋体" w:hAnsi="宋体"/>
                <w:color w:val="auto"/>
                <w:szCs w:val="21"/>
              </w:rPr>
              <w:t>职位</w:t>
            </w:r>
          </w:p>
        </w:tc>
        <w:tc>
          <w:tcPr>
            <w:tcW w:w="4536" w:type="dxa"/>
            <w:vAlign w:val="center"/>
          </w:tcPr>
          <w:p w14:paraId="2DBDDFD3">
            <w:pPr>
              <w:adjustRightInd w:val="0"/>
              <w:snapToGrid w:val="0"/>
              <w:jc w:val="center"/>
              <w:rPr>
                <w:rFonts w:ascii="宋体" w:hAnsi="宋体"/>
                <w:color w:val="auto"/>
                <w:szCs w:val="21"/>
              </w:rPr>
            </w:pPr>
            <w:r>
              <w:rPr>
                <w:rFonts w:hint="eastAsia" w:ascii="宋体" w:hAnsi="宋体"/>
                <w:color w:val="auto"/>
                <w:szCs w:val="21"/>
              </w:rPr>
              <w:t>资  历  要  求</w:t>
            </w:r>
          </w:p>
        </w:tc>
        <w:tc>
          <w:tcPr>
            <w:tcW w:w="1416" w:type="dxa"/>
            <w:vAlign w:val="center"/>
          </w:tcPr>
          <w:p w14:paraId="684065C3">
            <w:pPr>
              <w:adjustRightInd w:val="0"/>
              <w:snapToGrid w:val="0"/>
              <w:jc w:val="center"/>
              <w:rPr>
                <w:rFonts w:ascii="宋体" w:hAnsi="宋体"/>
                <w:color w:val="auto"/>
                <w:szCs w:val="21"/>
              </w:rPr>
            </w:pPr>
            <w:r>
              <w:rPr>
                <w:rFonts w:hint="eastAsia" w:ascii="宋体" w:hAnsi="宋体"/>
                <w:color w:val="auto"/>
                <w:szCs w:val="21"/>
              </w:rPr>
              <w:t>数量（人）</w:t>
            </w:r>
          </w:p>
        </w:tc>
        <w:tc>
          <w:tcPr>
            <w:tcW w:w="708" w:type="dxa"/>
            <w:vAlign w:val="center"/>
          </w:tcPr>
          <w:p w14:paraId="098CC7F4">
            <w:pPr>
              <w:adjustRightInd w:val="0"/>
              <w:snapToGrid w:val="0"/>
              <w:jc w:val="center"/>
              <w:rPr>
                <w:rFonts w:ascii="宋体" w:hAnsi="宋体"/>
                <w:color w:val="auto"/>
                <w:szCs w:val="21"/>
              </w:rPr>
            </w:pPr>
            <w:r>
              <w:rPr>
                <w:rFonts w:hint="eastAsia" w:ascii="宋体" w:hAnsi="宋体" w:eastAsia="宋体" w:cs="宋体"/>
                <w:color w:val="auto"/>
                <w:szCs w:val="21"/>
                <w:lang w:eastAsia="zh-CN"/>
              </w:rPr>
              <w:t>备注</w:t>
            </w:r>
          </w:p>
        </w:tc>
      </w:tr>
      <w:tr w14:paraId="0B9E1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88" w:hRule="atLeast"/>
          <w:tblHeader/>
          <w:jc w:val="center"/>
        </w:trPr>
        <w:tc>
          <w:tcPr>
            <w:tcW w:w="851" w:type="dxa"/>
            <w:textDirection w:val="tbRlV"/>
            <w:vAlign w:val="center"/>
          </w:tcPr>
          <w:p w14:paraId="34513A43">
            <w:pPr>
              <w:adjustRightInd w:val="0"/>
              <w:snapToGrid w:val="0"/>
              <w:jc w:val="center"/>
              <w:rPr>
                <w:rFonts w:ascii="宋体" w:hAnsi="宋体"/>
                <w:color w:val="auto"/>
                <w:szCs w:val="21"/>
              </w:rPr>
            </w:pPr>
            <w:r>
              <w:rPr>
                <w:rFonts w:hint="eastAsia" w:ascii="宋体" w:hAnsi="宋体"/>
                <w:color w:val="auto"/>
                <w:szCs w:val="21"/>
              </w:rPr>
              <w:t>专   业   监   理   工    程   师</w:t>
            </w:r>
          </w:p>
        </w:tc>
        <w:tc>
          <w:tcPr>
            <w:tcW w:w="1842" w:type="dxa"/>
            <w:vAlign w:val="center"/>
          </w:tcPr>
          <w:p w14:paraId="2B34D9B5">
            <w:pPr>
              <w:adjustRightInd w:val="0"/>
              <w:snapToGrid w:val="0"/>
              <w:jc w:val="center"/>
              <w:rPr>
                <w:rFonts w:hint="eastAsia" w:ascii="宋体" w:hAnsi="宋体" w:eastAsia="宋体"/>
                <w:color w:val="auto"/>
                <w:szCs w:val="21"/>
                <w:lang w:eastAsia="zh-CN"/>
              </w:rPr>
            </w:pPr>
            <w:r>
              <w:rPr>
                <w:rFonts w:hint="eastAsia" w:ascii="宋体" w:hAnsi="宋体" w:eastAsia="宋体"/>
                <w:color w:val="auto"/>
                <w:szCs w:val="21"/>
                <w:lang w:eastAsia="zh-CN"/>
              </w:rPr>
              <w:t>驻场监理</w:t>
            </w:r>
          </w:p>
        </w:tc>
        <w:tc>
          <w:tcPr>
            <w:tcW w:w="4536" w:type="dxa"/>
            <w:vAlign w:val="center"/>
          </w:tcPr>
          <w:p w14:paraId="2590C587">
            <w:pPr>
              <w:rPr>
                <w:rFonts w:hint="eastAsia" w:ascii="宋体" w:hAnsi="宋体" w:eastAsia="宋体" w:cs="宋体"/>
                <w:color w:val="auto"/>
                <w:lang w:eastAsia="zh-CN" w:bidi="ar-SA"/>
              </w:rPr>
            </w:pPr>
            <w:r>
              <w:rPr>
                <w:rFonts w:hint="eastAsia" w:ascii="宋体" w:hAnsi="宋体" w:eastAsia="宋体" w:cs="宋体"/>
                <w:color w:val="auto"/>
                <w:lang w:eastAsia="zh-CN" w:bidi="ar-SA"/>
              </w:rPr>
              <w:t>人力资源和社会保障部、交通运输部颁发的监理工程师职业资格证书（交通运输工程专业），或交通运输部颁发的水运工程专业监理工程师资格证书，或水利监理工程师资格证书（指有效的注册水利监理工程师证书）</w:t>
            </w:r>
          </w:p>
        </w:tc>
        <w:tc>
          <w:tcPr>
            <w:tcW w:w="1416" w:type="dxa"/>
            <w:vAlign w:val="center"/>
          </w:tcPr>
          <w:p w14:paraId="3DF69E8A">
            <w:pPr>
              <w:spacing w:line="220" w:lineRule="exact"/>
              <w:jc w:val="center"/>
              <w:rPr>
                <w:rFonts w:hint="eastAsia" w:ascii="宋体" w:hAnsi="宋体" w:eastAsia="宋体"/>
                <w:color w:val="auto"/>
                <w:szCs w:val="21"/>
                <w:lang w:eastAsia="zh-CN"/>
              </w:rPr>
            </w:pPr>
            <w:r>
              <w:rPr>
                <w:rFonts w:hint="eastAsia" w:ascii="宋体" w:hAnsi="宋体" w:eastAsia="宋体"/>
                <w:color w:val="auto"/>
                <w:szCs w:val="21"/>
                <w:lang w:eastAsia="zh-CN"/>
              </w:rPr>
              <w:t>3</w:t>
            </w:r>
          </w:p>
        </w:tc>
        <w:tc>
          <w:tcPr>
            <w:tcW w:w="708" w:type="dxa"/>
            <w:vAlign w:val="center"/>
          </w:tcPr>
          <w:p w14:paraId="392CED73">
            <w:pPr>
              <w:spacing w:line="220" w:lineRule="exact"/>
              <w:jc w:val="center"/>
              <w:rPr>
                <w:rFonts w:ascii="宋体" w:hAnsi="宋体"/>
                <w:color w:val="auto"/>
                <w:szCs w:val="21"/>
              </w:rPr>
            </w:pPr>
          </w:p>
        </w:tc>
      </w:tr>
      <w:tr w14:paraId="735C54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blHeader/>
          <w:jc w:val="center"/>
        </w:trPr>
        <w:tc>
          <w:tcPr>
            <w:tcW w:w="2693" w:type="dxa"/>
            <w:gridSpan w:val="2"/>
            <w:vAlign w:val="center"/>
          </w:tcPr>
          <w:p w14:paraId="4BA65525">
            <w:pPr>
              <w:adjustRightInd w:val="0"/>
              <w:snapToGrid w:val="0"/>
              <w:jc w:val="center"/>
              <w:rPr>
                <w:rFonts w:ascii="宋体" w:hAnsi="宋体"/>
                <w:color w:val="auto"/>
                <w:szCs w:val="21"/>
              </w:rPr>
            </w:pPr>
            <w:r>
              <w:rPr>
                <w:rFonts w:hint="eastAsia" w:ascii="宋体" w:hAnsi="宋体"/>
                <w:color w:val="auto"/>
                <w:szCs w:val="21"/>
              </w:rPr>
              <w:t>合计</w:t>
            </w:r>
          </w:p>
        </w:tc>
        <w:tc>
          <w:tcPr>
            <w:tcW w:w="4536" w:type="dxa"/>
            <w:vAlign w:val="center"/>
          </w:tcPr>
          <w:p w14:paraId="471D380B">
            <w:pPr>
              <w:adjustRightInd w:val="0"/>
              <w:snapToGrid w:val="0"/>
              <w:rPr>
                <w:rFonts w:ascii="宋体" w:hAnsi="宋体"/>
                <w:color w:val="auto"/>
                <w:szCs w:val="21"/>
              </w:rPr>
            </w:pPr>
          </w:p>
        </w:tc>
        <w:tc>
          <w:tcPr>
            <w:tcW w:w="1416" w:type="dxa"/>
            <w:vAlign w:val="center"/>
          </w:tcPr>
          <w:p w14:paraId="46FBE266">
            <w:pPr>
              <w:adjustRightInd w:val="0"/>
              <w:snapToGrid w:val="0"/>
              <w:jc w:val="center"/>
              <w:rPr>
                <w:rFonts w:hint="eastAsia" w:ascii="宋体" w:hAnsi="宋体" w:eastAsia="宋体"/>
                <w:color w:val="auto"/>
                <w:szCs w:val="21"/>
                <w:lang w:eastAsia="zh-CN"/>
              </w:rPr>
            </w:pPr>
            <w:r>
              <w:rPr>
                <w:rFonts w:hint="eastAsia" w:ascii="宋体" w:hAnsi="宋体" w:eastAsia="宋体"/>
                <w:color w:val="auto"/>
                <w:szCs w:val="21"/>
                <w:lang w:eastAsia="zh-CN"/>
              </w:rPr>
              <w:t>3</w:t>
            </w:r>
          </w:p>
        </w:tc>
        <w:tc>
          <w:tcPr>
            <w:tcW w:w="708" w:type="dxa"/>
            <w:vAlign w:val="center"/>
          </w:tcPr>
          <w:p w14:paraId="48294C2E">
            <w:pPr>
              <w:adjustRightInd w:val="0"/>
              <w:snapToGrid w:val="0"/>
              <w:jc w:val="center"/>
              <w:rPr>
                <w:rFonts w:ascii="宋体" w:hAnsi="宋体"/>
                <w:color w:val="auto"/>
                <w:szCs w:val="21"/>
              </w:rPr>
            </w:pPr>
          </w:p>
        </w:tc>
      </w:tr>
      <w:bookmarkEnd w:id="43"/>
    </w:tbl>
    <w:p w14:paraId="3821CF5F">
      <w:pPr>
        <w:jc w:val="both"/>
        <w:rPr>
          <w:rFonts w:eastAsia="宋体"/>
          <w:color w:val="auto"/>
          <w:kern w:val="2"/>
          <w:sz w:val="18"/>
          <w:szCs w:val="18"/>
          <w:lang w:eastAsia="zh-CN" w:bidi="ar-SA"/>
        </w:rPr>
      </w:pPr>
      <w:r>
        <w:rPr>
          <w:rFonts w:hint="eastAsia" w:ascii="宋体" w:hAnsi="宋体" w:eastAsia="宋体"/>
          <w:color w:val="auto"/>
          <w:kern w:val="2"/>
          <w:sz w:val="18"/>
          <w:szCs w:val="18"/>
          <w:lang w:eastAsia="zh-CN" w:bidi="ar-SA"/>
        </w:rPr>
        <w:t>注：</w:t>
      </w:r>
      <w:r>
        <w:rPr>
          <w:rFonts w:ascii="宋体" w:hAnsi="宋体" w:eastAsia="宋体"/>
          <w:color w:val="auto"/>
          <w:kern w:val="2"/>
          <w:sz w:val="18"/>
          <w:szCs w:val="18"/>
          <w:lang w:eastAsia="zh-CN" w:bidi="ar-SA"/>
        </w:rPr>
        <w:t>①</w:t>
      </w:r>
      <w:r>
        <w:rPr>
          <w:rFonts w:hint="eastAsia" w:ascii="宋体" w:hAnsi="宋体" w:eastAsia="宋体"/>
          <w:color w:val="auto"/>
          <w:kern w:val="2"/>
          <w:sz w:val="18"/>
          <w:szCs w:val="18"/>
          <w:lang w:eastAsia="zh-CN" w:bidi="ar-SA"/>
        </w:rPr>
        <w:t>中标人进场后应根据工程具体情况和实际需要配置相应的监理员和其他人员，以满足本项目监理工作的需要。专业监理工程师及以上人员不得低于上述要求；</w:t>
      </w:r>
    </w:p>
    <w:p w14:paraId="041D3D84">
      <w:pPr>
        <w:ind w:firstLine="360" w:firstLineChars="200"/>
        <w:jc w:val="both"/>
        <w:rPr>
          <w:rFonts w:eastAsia="宋体" w:cs="宋体"/>
          <w:color w:val="auto"/>
          <w:sz w:val="21"/>
          <w:szCs w:val="21"/>
          <w:lang w:eastAsia="zh-CN" w:bidi="ar-SA"/>
        </w:rPr>
      </w:pPr>
      <w:r>
        <w:rPr>
          <w:rFonts w:ascii="宋体" w:hAnsi="宋体" w:eastAsia="宋体"/>
          <w:color w:val="auto"/>
          <w:kern w:val="2"/>
          <w:sz w:val="18"/>
          <w:szCs w:val="18"/>
          <w:lang w:eastAsia="zh-CN" w:bidi="ar-SA"/>
        </w:rPr>
        <w:t>②</w:t>
      </w:r>
      <w:r>
        <w:rPr>
          <w:rFonts w:hint="eastAsia" w:hAnsi="宋体" w:eastAsia="宋体"/>
          <w:color w:val="auto"/>
          <w:kern w:val="2"/>
          <w:sz w:val="18"/>
          <w:szCs w:val="18"/>
          <w:lang w:eastAsia="zh-CN" w:bidi="ar-SA"/>
        </w:rPr>
        <w:t>专业监理工程师及以上人员不得兼任</w:t>
      </w:r>
      <w:r>
        <w:rPr>
          <w:rFonts w:hAnsi="宋体" w:eastAsia="宋体"/>
          <w:color w:val="auto"/>
          <w:kern w:val="2"/>
          <w:sz w:val="18"/>
          <w:szCs w:val="18"/>
          <w:lang w:eastAsia="zh-CN" w:bidi="ar-SA"/>
        </w:rPr>
        <w:t>。</w:t>
      </w:r>
      <w:bookmarkEnd w:id="40"/>
      <w:bookmarkEnd w:id="44"/>
    </w:p>
    <w:bookmarkEnd w:id="22"/>
    <w:bookmarkEnd w:id="30"/>
    <w:bookmarkEnd w:id="41"/>
    <w:bookmarkEnd w:id="42"/>
    <w:p w14:paraId="70CDA7CC">
      <w:pPr>
        <w:widowControl/>
        <w:rPr>
          <w:rFonts w:hint="eastAsia" w:ascii="宋体" w:hAnsi="宋体" w:eastAsia="宋体"/>
          <w:b/>
          <w:color w:val="auto"/>
          <w:spacing w:val="-11"/>
          <w:sz w:val="44"/>
          <w:szCs w:val="44"/>
          <w:lang w:eastAsia="zh-CN" w:bidi="ar-SA"/>
        </w:rPr>
      </w:pPr>
    </w:p>
    <w:p w14:paraId="1CAB3BD1">
      <w:pPr>
        <w:widowControl/>
        <w:rPr>
          <w:rFonts w:hint="eastAsia" w:ascii="宋体" w:hAnsi="宋体" w:eastAsia="宋体"/>
          <w:b/>
          <w:color w:val="auto"/>
          <w:spacing w:val="-11"/>
          <w:sz w:val="44"/>
          <w:szCs w:val="44"/>
          <w:lang w:eastAsia="zh-CN" w:bidi="ar-SA"/>
        </w:rPr>
      </w:pPr>
    </w:p>
    <w:p w14:paraId="70227A65">
      <w:pPr>
        <w:widowControl/>
        <w:rPr>
          <w:rFonts w:hint="eastAsia" w:ascii="宋体" w:hAnsi="宋体" w:eastAsia="宋体"/>
          <w:b/>
          <w:color w:val="auto"/>
          <w:spacing w:val="-11"/>
          <w:sz w:val="44"/>
          <w:szCs w:val="44"/>
          <w:lang w:eastAsia="zh-CN" w:bidi="ar-SA"/>
        </w:rPr>
      </w:pPr>
    </w:p>
    <w:p w14:paraId="75BE5ABE">
      <w:pPr>
        <w:widowControl/>
        <w:rPr>
          <w:rFonts w:hint="eastAsia" w:ascii="宋体" w:hAnsi="宋体" w:eastAsia="宋体"/>
          <w:b/>
          <w:color w:val="auto"/>
          <w:spacing w:val="-11"/>
          <w:sz w:val="44"/>
          <w:szCs w:val="44"/>
          <w:lang w:eastAsia="zh-CN" w:bidi="ar-SA"/>
        </w:rPr>
      </w:pPr>
    </w:p>
    <w:p w14:paraId="22AC1426">
      <w:pPr>
        <w:widowControl/>
        <w:rPr>
          <w:rFonts w:hint="eastAsia" w:ascii="宋体" w:hAnsi="宋体" w:eastAsia="宋体"/>
          <w:b/>
          <w:color w:val="auto"/>
          <w:spacing w:val="-11"/>
          <w:sz w:val="44"/>
          <w:szCs w:val="44"/>
          <w:lang w:eastAsia="zh-CN" w:bidi="ar-SA"/>
        </w:rPr>
      </w:pPr>
    </w:p>
    <w:p w14:paraId="3E8DC9A6">
      <w:pPr>
        <w:widowControl/>
        <w:rPr>
          <w:rFonts w:hint="eastAsia" w:ascii="宋体" w:hAnsi="宋体" w:eastAsia="宋体"/>
          <w:b/>
          <w:color w:val="auto"/>
          <w:spacing w:val="-11"/>
          <w:sz w:val="44"/>
          <w:szCs w:val="44"/>
          <w:lang w:eastAsia="zh-CN" w:bidi="ar-SA"/>
        </w:rPr>
      </w:pPr>
    </w:p>
    <w:p w14:paraId="607DC8F5">
      <w:pPr>
        <w:widowControl/>
        <w:rPr>
          <w:rFonts w:hint="eastAsia" w:ascii="宋体" w:hAnsi="宋体" w:eastAsia="宋体"/>
          <w:b/>
          <w:color w:val="auto"/>
          <w:spacing w:val="-11"/>
          <w:sz w:val="44"/>
          <w:szCs w:val="44"/>
          <w:lang w:eastAsia="zh-CN" w:bidi="ar-SA"/>
        </w:rPr>
      </w:pPr>
    </w:p>
    <w:p w14:paraId="54934F2C">
      <w:pPr>
        <w:widowControl/>
        <w:rPr>
          <w:rFonts w:hint="eastAsia" w:ascii="宋体" w:hAnsi="宋体" w:eastAsia="宋体"/>
          <w:b/>
          <w:color w:val="auto"/>
          <w:spacing w:val="-11"/>
          <w:sz w:val="44"/>
          <w:szCs w:val="44"/>
          <w:lang w:eastAsia="zh-CN" w:bidi="ar-SA"/>
        </w:rPr>
      </w:pPr>
    </w:p>
    <w:p w14:paraId="3251219A">
      <w:pPr>
        <w:widowControl/>
        <w:rPr>
          <w:rFonts w:hint="eastAsia" w:ascii="宋体" w:hAnsi="宋体" w:eastAsia="宋体"/>
          <w:b/>
          <w:color w:val="auto"/>
          <w:spacing w:val="-11"/>
          <w:sz w:val="44"/>
          <w:szCs w:val="44"/>
          <w:lang w:eastAsia="zh-CN" w:bidi="ar-SA"/>
        </w:rPr>
      </w:pPr>
    </w:p>
    <w:p w14:paraId="6D82E9E2">
      <w:pPr>
        <w:widowControl/>
        <w:rPr>
          <w:rFonts w:hint="eastAsia" w:ascii="宋体" w:hAnsi="宋体" w:eastAsia="宋体"/>
          <w:b/>
          <w:color w:val="auto"/>
          <w:spacing w:val="-11"/>
          <w:sz w:val="44"/>
          <w:szCs w:val="44"/>
          <w:lang w:eastAsia="zh-CN" w:bidi="ar-SA"/>
        </w:rPr>
      </w:pPr>
    </w:p>
    <w:p w14:paraId="5253743E">
      <w:pPr>
        <w:widowControl/>
        <w:jc w:val="center"/>
        <w:rPr>
          <w:rFonts w:hint="eastAsia" w:ascii="宋体" w:hAnsi="宋体" w:eastAsia="宋体"/>
          <w:color w:val="auto"/>
          <w:spacing w:val="-11"/>
          <w:sz w:val="44"/>
          <w:szCs w:val="44"/>
          <w:lang w:eastAsia="zh-CN" w:bidi="ar-SA"/>
        </w:rPr>
      </w:pPr>
      <w:r>
        <w:rPr>
          <w:rFonts w:hint="eastAsia" w:ascii="宋体" w:hAnsi="宋体" w:eastAsia="宋体"/>
          <w:b/>
          <w:color w:val="auto"/>
          <w:spacing w:val="-11"/>
          <w:sz w:val="44"/>
          <w:szCs w:val="44"/>
          <w:lang w:eastAsia="zh-CN" w:bidi="ar-SA"/>
        </w:rPr>
        <w:t>第二章    投标人须知</w:t>
      </w:r>
      <w:r>
        <w:rPr>
          <w:rFonts w:eastAsia="宋体" w:cs="宋体"/>
          <w:color w:val="auto"/>
          <w:lang w:eastAsia="zh-CN" w:bidi="ar-SA"/>
        </w:rPr>
        <w:br w:type="page"/>
      </w:r>
    </w:p>
    <w:p w14:paraId="53734741">
      <w:pPr>
        <w:widowControl/>
        <w:jc w:val="center"/>
        <w:rPr>
          <w:rFonts w:eastAsia="宋体" w:cs="宋体"/>
          <w:color w:val="auto"/>
          <w:lang w:eastAsia="zh-CN" w:bidi="ar-SA"/>
        </w:rPr>
        <w:sectPr>
          <w:headerReference r:id="rId20" w:type="default"/>
          <w:footerReference r:id="rId22" w:type="default"/>
          <w:headerReference r:id="rId21" w:type="even"/>
          <w:footerReference r:id="rId23" w:type="even"/>
          <w:footnotePr>
            <w:numFmt w:val="decimalEnclosedCircleChinese"/>
            <w:numRestart w:val="eachPage"/>
          </w:footnotePr>
          <w:pgSz w:w="11906" w:h="16838"/>
          <w:pgMar w:top="1418" w:right="1588" w:bottom="1418" w:left="1588" w:header="680" w:footer="992" w:gutter="0"/>
          <w:cols w:space="720" w:num="1"/>
          <w:vAlign w:val="center"/>
          <w:docGrid w:linePitch="326" w:charSpace="0"/>
        </w:sectPr>
      </w:pPr>
    </w:p>
    <w:p w14:paraId="0945D6D6">
      <w:pPr>
        <w:snapToGrid w:val="0"/>
        <w:spacing w:line="360" w:lineRule="auto"/>
        <w:outlineLvl w:val="1"/>
        <w:rPr>
          <w:rFonts w:eastAsia="宋体"/>
          <w:b/>
          <w:color w:val="auto"/>
          <w:spacing w:val="-10"/>
          <w:sz w:val="28"/>
          <w:szCs w:val="28"/>
          <w:lang w:eastAsia="zh-CN" w:bidi="ar-SA"/>
        </w:rPr>
      </w:pPr>
      <w:bookmarkStart w:id="45" w:name="_Toc22097"/>
      <w:r>
        <w:rPr>
          <w:rFonts w:hint="eastAsia" w:eastAsia="宋体"/>
          <w:b/>
          <w:color w:val="auto"/>
          <w:spacing w:val="-10"/>
          <w:sz w:val="28"/>
          <w:szCs w:val="28"/>
          <w:lang w:eastAsia="zh-CN" w:bidi="ar-SA"/>
        </w:rPr>
        <w:t>投标人须知前附表</w:t>
      </w:r>
      <w:bookmarkEnd w:id="45"/>
    </w:p>
    <w:tbl>
      <w:tblPr>
        <w:tblStyle w:val="47"/>
        <w:tblW w:w="9238" w:type="dxa"/>
        <w:jc w:val="center"/>
        <w:tblLayout w:type="fixed"/>
        <w:tblCellMar>
          <w:top w:w="0" w:type="dxa"/>
          <w:left w:w="108" w:type="dxa"/>
          <w:bottom w:w="0" w:type="dxa"/>
          <w:right w:w="108" w:type="dxa"/>
        </w:tblCellMar>
      </w:tblPr>
      <w:tblGrid>
        <w:gridCol w:w="1048"/>
        <w:gridCol w:w="2835"/>
        <w:gridCol w:w="5355"/>
      </w:tblGrid>
      <w:tr w14:paraId="5DB1E1A1">
        <w:tblPrEx>
          <w:tblCellMar>
            <w:top w:w="0" w:type="dxa"/>
            <w:left w:w="108" w:type="dxa"/>
            <w:bottom w:w="0" w:type="dxa"/>
            <w:right w:w="108" w:type="dxa"/>
          </w:tblCellMar>
        </w:tblPrEx>
        <w:trPr>
          <w:trHeight w:val="437" w:hRule="exact"/>
          <w:tblHeader/>
          <w:jc w:val="center"/>
        </w:trPr>
        <w:tc>
          <w:tcPr>
            <w:tcW w:w="1048" w:type="dxa"/>
            <w:tcBorders>
              <w:top w:val="single" w:color="auto" w:sz="4" w:space="0"/>
              <w:left w:val="single" w:color="auto" w:sz="4" w:space="0"/>
              <w:bottom w:val="single" w:color="auto" w:sz="4" w:space="0"/>
              <w:right w:val="single" w:color="auto" w:sz="4" w:space="0"/>
            </w:tcBorders>
            <w:vAlign w:val="center"/>
          </w:tcPr>
          <w:p w14:paraId="574F9726">
            <w:pPr>
              <w:jc w:val="center"/>
              <w:rPr>
                <w:rFonts w:hint="eastAsia" w:ascii="宋体" w:hAnsi="宋体" w:eastAsia="宋体"/>
                <w:b/>
                <w:color w:val="auto"/>
                <w:sz w:val="21"/>
                <w:szCs w:val="21"/>
                <w:lang w:eastAsia="zh-CN" w:bidi="ar-SA"/>
              </w:rPr>
            </w:pPr>
            <w:r>
              <w:rPr>
                <w:rFonts w:ascii="宋体" w:hAnsi="宋体" w:eastAsia="宋体"/>
                <w:b/>
                <w:color w:val="auto"/>
                <w:sz w:val="21"/>
                <w:szCs w:val="21"/>
                <w:lang w:eastAsia="zh-CN" w:bidi="ar-SA"/>
              </w:rPr>
              <w:t>条</w:t>
            </w:r>
            <w:r>
              <w:rPr>
                <w:rFonts w:hint="eastAsia" w:ascii="宋体" w:hAnsi="宋体" w:eastAsia="宋体"/>
                <w:b/>
                <w:color w:val="auto"/>
                <w:sz w:val="21"/>
                <w:szCs w:val="21"/>
                <w:lang w:eastAsia="zh-CN" w:bidi="ar-SA"/>
              </w:rPr>
              <w:t xml:space="preserve"> </w:t>
            </w:r>
            <w:r>
              <w:rPr>
                <w:rFonts w:ascii="宋体" w:hAnsi="宋体" w:eastAsia="宋体"/>
                <w:b/>
                <w:color w:val="auto"/>
                <w:sz w:val="21"/>
                <w:szCs w:val="21"/>
                <w:lang w:eastAsia="zh-CN" w:bidi="ar-SA"/>
              </w:rPr>
              <w:t>款</w:t>
            </w:r>
            <w:r>
              <w:rPr>
                <w:rFonts w:hint="eastAsia" w:ascii="宋体" w:hAnsi="宋体" w:eastAsia="宋体"/>
                <w:b/>
                <w:color w:val="auto"/>
                <w:sz w:val="21"/>
                <w:szCs w:val="21"/>
                <w:lang w:eastAsia="zh-CN" w:bidi="ar-SA"/>
              </w:rPr>
              <w:t xml:space="preserve"> </w:t>
            </w:r>
            <w:r>
              <w:rPr>
                <w:rFonts w:ascii="宋体" w:hAnsi="宋体" w:eastAsia="宋体"/>
                <w:b/>
                <w:color w:val="auto"/>
                <w:sz w:val="21"/>
                <w:szCs w:val="21"/>
                <w:lang w:eastAsia="zh-CN" w:bidi="ar-SA"/>
              </w:rPr>
              <w:t>号</w:t>
            </w:r>
          </w:p>
        </w:tc>
        <w:tc>
          <w:tcPr>
            <w:tcW w:w="2835" w:type="dxa"/>
            <w:tcBorders>
              <w:top w:val="single" w:color="auto" w:sz="4" w:space="0"/>
              <w:left w:val="single" w:color="auto" w:sz="4" w:space="0"/>
              <w:bottom w:val="single" w:color="auto" w:sz="4" w:space="0"/>
              <w:right w:val="single" w:color="auto" w:sz="4" w:space="0"/>
            </w:tcBorders>
            <w:vAlign w:val="center"/>
          </w:tcPr>
          <w:p w14:paraId="23666A9E">
            <w:pPr>
              <w:jc w:val="center"/>
              <w:rPr>
                <w:rFonts w:hint="eastAsia" w:ascii="宋体" w:hAnsi="宋体" w:eastAsia="宋体"/>
                <w:b/>
                <w:color w:val="auto"/>
                <w:sz w:val="21"/>
                <w:szCs w:val="21"/>
                <w:lang w:eastAsia="zh-CN" w:bidi="ar-SA"/>
              </w:rPr>
            </w:pPr>
            <w:r>
              <w:rPr>
                <w:rFonts w:ascii="宋体" w:hAnsi="宋体" w:eastAsia="宋体"/>
                <w:b/>
                <w:color w:val="auto"/>
                <w:sz w:val="21"/>
                <w:szCs w:val="21"/>
                <w:lang w:eastAsia="zh-CN" w:bidi="ar-SA"/>
              </w:rPr>
              <w:t>条</w:t>
            </w:r>
            <w:r>
              <w:rPr>
                <w:rFonts w:hint="eastAsia" w:ascii="宋体" w:hAnsi="宋体" w:eastAsia="宋体"/>
                <w:b/>
                <w:color w:val="auto"/>
                <w:sz w:val="21"/>
                <w:szCs w:val="21"/>
                <w:lang w:eastAsia="zh-CN" w:bidi="ar-SA"/>
              </w:rPr>
              <w:t xml:space="preserve"> </w:t>
            </w:r>
            <w:r>
              <w:rPr>
                <w:rFonts w:ascii="宋体" w:hAnsi="宋体" w:eastAsia="宋体"/>
                <w:b/>
                <w:color w:val="auto"/>
                <w:sz w:val="21"/>
                <w:szCs w:val="21"/>
                <w:lang w:eastAsia="zh-CN" w:bidi="ar-SA"/>
              </w:rPr>
              <w:t>款</w:t>
            </w:r>
            <w:r>
              <w:rPr>
                <w:rFonts w:hint="eastAsia" w:ascii="宋体" w:hAnsi="宋体" w:eastAsia="宋体"/>
                <w:b/>
                <w:color w:val="auto"/>
                <w:sz w:val="21"/>
                <w:szCs w:val="21"/>
                <w:lang w:eastAsia="zh-CN" w:bidi="ar-SA"/>
              </w:rPr>
              <w:t xml:space="preserve"> </w:t>
            </w:r>
            <w:r>
              <w:rPr>
                <w:rFonts w:ascii="宋体" w:hAnsi="宋体" w:eastAsia="宋体"/>
                <w:b/>
                <w:color w:val="auto"/>
                <w:sz w:val="21"/>
                <w:szCs w:val="21"/>
                <w:lang w:eastAsia="zh-CN" w:bidi="ar-SA"/>
              </w:rPr>
              <w:t>名</w:t>
            </w:r>
            <w:r>
              <w:rPr>
                <w:rFonts w:hint="eastAsia" w:ascii="宋体" w:hAnsi="宋体" w:eastAsia="宋体"/>
                <w:b/>
                <w:color w:val="auto"/>
                <w:sz w:val="21"/>
                <w:szCs w:val="21"/>
                <w:lang w:eastAsia="zh-CN" w:bidi="ar-SA"/>
              </w:rPr>
              <w:t xml:space="preserve"> </w:t>
            </w:r>
            <w:r>
              <w:rPr>
                <w:rFonts w:ascii="宋体" w:hAnsi="宋体" w:eastAsia="宋体"/>
                <w:b/>
                <w:color w:val="auto"/>
                <w:sz w:val="21"/>
                <w:szCs w:val="21"/>
                <w:lang w:eastAsia="zh-CN" w:bidi="ar-SA"/>
              </w:rPr>
              <w:t>称</w:t>
            </w:r>
          </w:p>
        </w:tc>
        <w:tc>
          <w:tcPr>
            <w:tcW w:w="5355" w:type="dxa"/>
            <w:tcBorders>
              <w:top w:val="single" w:color="auto" w:sz="4" w:space="0"/>
              <w:left w:val="single" w:color="auto" w:sz="4" w:space="0"/>
              <w:bottom w:val="single" w:color="auto" w:sz="4" w:space="0"/>
              <w:right w:val="single" w:color="auto" w:sz="4" w:space="0"/>
            </w:tcBorders>
            <w:vAlign w:val="center"/>
          </w:tcPr>
          <w:p w14:paraId="2B14F2C3">
            <w:pPr>
              <w:jc w:val="center"/>
              <w:rPr>
                <w:rFonts w:hint="eastAsia" w:ascii="宋体" w:hAnsi="宋体" w:eastAsia="宋体"/>
                <w:b/>
                <w:color w:val="auto"/>
                <w:sz w:val="21"/>
                <w:szCs w:val="21"/>
                <w:lang w:eastAsia="zh-CN" w:bidi="ar-SA"/>
              </w:rPr>
            </w:pPr>
            <w:r>
              <w:rPr>
                <w:rFonts w:ascii="宋体" w:hAnsi="宋体" w:eastAsia="宋体"/>
                <w:b/>
                <w:color w:val="auto"/>
                <w:sz w:val="21"/>
                <w:szCs w:val="21"/>
                <w:lang w:eastAsia="zh-CN" w:bidi="ar-SA"/>
              </w:rPr>
              <w:t>编</w:t>
            </w:r>
            <w:r>
              <w:rPr>
                <w:rFonts w:hint="eastAsia" w:ascii="宋体" w:hAnsi="宋体" w:eastAsia="宋体"/>
                <w:b/>
                <w:color w:val="auto"/>
                <w:sz w:val="21"/>
                <w:szCs w:val="21"/>
                <w:lang w:eastAsia="zh-CN" w:bidi="ar-SA"/>
              </w:rPr>
              <w:t xml:space="preserve"> </w:t>
            </w:r>
            <w:r>
              <w:rPr>
                <w:rFonts w:ascii="宋体" w:hAnsi="宋体" w:eastAsia="宋体"/>
                <w:b/>
                <w:color w:val="auto"/>
                <w:sz w:val="21"/>
                <w:szCs w:val="21"/>
                <w:lang w:eastAsia="zh-CN" w:bidi="ar-SA"/>
              </w:rPr>
              <w:t>列</w:t>
            </w:r>
            <w:r>
              <w:rPr>
                <w:rFonts w:hint="eastAsia" w:ascii="宋体" w:hAnsi="宋体" w:eastAsia="宋体"/>
                <w:b/>
                <w:color w:val="auto"/>
                <w:sz w:val="21"/>
                <w:szCs w:val="21"/>
                <w:lang w:eastAsia="zh-CN" w:bidi="ar-SA"/>
              </w:rPr>
              <w:t xml:space="preserve"> </w:t>
            </w:r>
            <w:r>
              <w:rPr>
                <w:rFonts w:ascii="宋体" w:hAnsi="宋体" w:eastAsia="宋体"/>
                <w:b/>
                <w:color w:val="auto"/>
                <w:sz w:val="21"/>
                <w:szCs w:val="21"/>
                <w:lang w:eastAsia="zh-CN" w:bidi="ar-SA"/>
              </w:rPr>
              <w:t>内</w:t>
            </w:r>
            <w:r>
              <w:rPr>
                <w:rFonts w:hint="eastAsia" w:ascii="宋体" w:hAnsi="宋体" w:eastAsia="宋体"/>
                <w:b/>
                <w:color w:val="auto"/>
                <w:sz w:val="21"/>
                <w:szCs w:val="21"/>
                <w:lang w:eastAsia="zh-CN" w:bidi="ar-SA"/>
              </w:rPr>
              <w:t xml:space="preserve"> </w:t>
            </w:r>
            <w:r>
              <w:rPr>
                <w:rFonts w:ascii="宋体" w:hAnsi="宋体" w:eastAsia="宋体"/>
                <w:b/>
                <w:color w:val="auto"/>
                <w:sz w:val="21"/>
                <w:szCs w:val="21"/>
                <w:lang w:eastAsia="zh-CN" w:bidi="ar-SA"/>
              </w:rPr>
              <w:t>容</w:t>
            </w:r>
          </w:p>
        </w:tc>
      </w:tr>
      <w:tr w14:paraId="1F3DE68C">
        <w:tblPrEx>
          <w:tblCellMar>
            <w:top w:w="0" w:type="dxa"/>
            <w:left w:w="108" w:type="dxa"/>
            <w:bottom w:w="0" w:type="dxa"/>
            <w:right w:w="108" w:type="dxa"/>
          </w:tblCellMar>
        </w:tblPrEx>
        <w:trPr>
          <w:trHeight w:val="999" w:hRule="atLeast"/>
          <w:jc w:val="center"/>
        </w:trPr>
        <w:tc>
          <w:tcPr>
            <w:tcW w:w="1048" w:type="dxa"/>
            <w:tcBorders>
              <w:top w:val="single" w:color="auto" w:sz="4" w:space="0"/>
              <w:left w:val="single" w:color="auto" w:sz="4" w:space="0"/>
              <w:bottom w:val="single" w:color="auto" w:sz="4" w:space="0"/>
              <w:right w:val="single" w:color="auto" w:sz="4" w:space="0"/>
            </w:tcBorders>
            <w:vAlign w:val="center"/>
          </w:tcPr>
          <w:p w14:paraId="0C29BF93">
            <w:pPr>
              <w:jc w:val="cente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1.1.1</w:t>
            </w:r>
          </w:p>
        </w:tc>
        <w:tc>
          <w:tcPr>
            <w:tcW w:w="2835" w:type="dxa"/>
            <w:tcBorders>
              <w:top w:val="single" w:color="auto" w:sz="4" w:space="0"/>
              <w:left w:val="single" w:color="auto" w:sz="4" w:space="0"/>
              <w:bottom w:val="single" w:color="auto" w:sz="4" w:space="0"/>
              <w:right w:val="single" w:color="auto" w:sz="4" w:space="0"/>
            </w:tcBorders>
            <w:vAlign w:val="center"/>
          </w:tcPr>
          <w:p w14:paraId="38A714F6">
            <w:pPr>
              <w:jc w:val="center"/>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招标内容</w:t>
            </w:r>
          </w:p>
        </w:tc>
        <w:tc>
          <w:tcPr>
            <w:tcW w:w="5355" w:type="dxa"/>
            <w:tcBorders>
              <w:top w:val="single" w:color="auto" w:sz="4" w:space="0"/>
              <w:left w:val="single" w:color="auto" w:sz="4" w:space="0"/>
              <w:bottom w:val="single" w:color="auto" w:sz="4" w:space="0"/>
              <w:right w:val="single" w:color="auto" w:sz="4" w:space="0"/>
            </w:tcBorders>
            <w:vAlign w:val="center"/>
          </w:tcPr>
          <w:p w14:paraId="7CDC01CC">
            <w:pPr>
              <w:rPr>
                <w:rFonts w:eastAsia="宋体"/>
                <w:color w:val="auto"/>
                <w:sz w:val="21"/>
                <w:szCs w:val="21"/>
                <w:lang w:eastAsia="zh-CN" w:bidi="ar-SA"/>
              </w:rPr>
            </w:pPr>
            <w:r>
              <w:rPr>
                <w:rFonts w:hint="eastAsia" w:eastAsia="宋体"/>
                <w:color w:val="auto"/>
                <w:sz w:val="21"/>
                <w:szCs w:val="21"/>
                <w:lang w:eastAsia="zh-CN" w:bidi="ar-SA"/>
              </w:rPr>
              <w:t>本项目已具备招标条件，现对新余市港口水运基础设施建设项目-袁河航道提升工程新余段库区工程第二标段监理进行公开招标。</w:t>
            </w:r>
          </w:p>
        </w:tc>
      </w:tr>
      <w:tr w14:paraId="0A39B7C7">
        <w:tblPrEx>
          <w:tblCellMar>
            <w:top w:w="0" w:type="dxa"/>
            <w:left w:w="108" w:type="dxa"/>
            <w:bottom w:w="0" w:type="dxa"/>
            <w:right w:w="108" w:type="dxa"/>
          </w:tblCellMar>
        </w:tblPrEx>
        <w:trPr>
          <w:trHeight w:val="1936" w:hRule="exact"/>
          <w:jc w:val="center"/>
        </w:trPr>
        <w:tc>
          <w:tcPr>
            <w:tcW w:w="1048" w:type="dxa"/>
            <w:tcBorders>
              <w:top w:val="single" w:color="auto" w:sz="4" w:space="0"/>
              <w:left w:val="single" w:color="auto" w:sz="4" w:space="0"/>
              <w:bottom w:val="single" w:color="auto" w:sz="4" w:space="0"/>
              <w:right w:val="single" w:color="auto" w:sz="4" w:space="0"/>
            </w:tcBorders>
            <w:vAlign w:val="center"/>
          </w:tcPr>
          <w:p w14:paraId="24C25104">
            <w:pPr>
              <w:jc w:val="center"/>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1.1.2</w:t>
            </w:r>
          </w:p>
        </w:tc>
        <w:tc>
          <w:tcPr>
            <w:tcW w:w="2835" w:type="dxa"/>
            <w:tcBorders>
              <w:top w:val="single" w:color="auto" w:sz="4" w:space="0"/>
              <w:left w:val="single" w:color="auto" w:sz="4" w:space="0"/>
              <w:bottom w:val="single" w:color="auto" w:sz="4" w:space="0"/>
              <w:right w:val="single" w:color="auto" w:sz="4" w:space="0"/>
            </w:tcBorders>
            <w:vAlign w:val="center"/>
          </w:tcPr>
          <w:p w14:paraId="4DAADD38">
            <w:pPr>
              <w:jc w:val="center"/>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招标人</w:t>
            </w:r>
          </w:p>
        </w:tc>
        <w:tc>
          <w:tcPr>
            <w:tcW w:w="5355" w:type="dxa"/>
            <w:tcBorders>
              <w:top w:val="single" w:color="auto" w:sz="4" w:space="0"/>
              <w:left w:val="single" w:color="auto" w:sz="4" w:space="0"/>
              <w:bottom w:val="single" w:color="auto" w:sz="4" w:space="0"/>
              <w:right w:val="single" w:color="auto" w:sz="4" w:space="0"/>
            </w:tcBorders>
            <w:vAlign w:val="center"/>
          </w:tcPr>
          <w:p w14:paraId="2EF59439">
            <w:pPr>
              <w:jc w:val="both"/>
              <w:rPr>
                <w:rFonts w:hint="eastAsia" w:ascii="宋体" w:hAnsi="宋体" w:eastAsia="宋体"/>
                <w:color w:val="auto"/>
                <w:sz w:val="21"/>
                <w:szCs w:val="21"/>
                <w:lang w:val="zh-CN" w:eastAsia="zh-CN" w:bidi="ar-SA"/>
              </w:rPr>
            </w:pPr>
            <w:r>
              <w:rPr>
                <w:rFonts w:hint="eastAsia" w:ascii="宋体" w:hAnsi="宋体" w:eastAsia="宋体"/>
                <w:color w:val="auto"/>
                <w:sz w:val="21"/>
                <w:szCs w:val="21"/>
                <w:lang w:val="zh-CN" w:eastAsia="zh-CN" w:bidi="ar-SA"/>
              </w:rPr>
              <w:t>招 标 人：新余市投资控股集团有限公司</w:t>
            </w:r>
          </w:p>
          <w:p w14:paraId="1E44113F">
            <w:pPr>
              <w:jc w:val="both"/>
              <w:rPr>
                <w:rFonts w:hint="eastAsia" w:ascii="宋体" w:hAnsi="宋体" w:eastAsia="宋体"/>
                <w:color w:val="auto"/>
                <w:sz w:val="21"/>
                <w:szCs w:val="21"/>
                <w:lang w:val="zh-CN" w:eastAsia="zh-CN" w:bidi="ar-SA"/>
              </w:rPr>
            </w:pPr>
            <w:r>
              <w:rPr>
                <w:rFonts w:hint="eastAsia" w:ascii="宋体" w:hAnsi="宋体" w:eastAsia="宋体"/>
                <w:color w:val="auto"/>
                <w:sz w:val="21"/>
                <w:szCs w:val="21"/>
                <w:lang w:val="zh-CN" w:eastAsia="zh-CN" w:bidi="ar-SA"/>
              </w:rPr>
              <w:t>地    址：江西省新余市渝水区仙来东大道347号</w:t>
            </w:r>
          </w:p>
          <w:p w14:paraId="34565CC1">
            <w:pPr>
              <w:jc w:val="both"/>
              <w:rPr>
                <w:rFonts w:hint="eastAsia" w:ascii="宋体" w:hAnsi="宋体" w:eastAsia="宋体"/>
                <w:color w:val="auto"/>
                <w:sz w:val="21"/>
                <w:szCs w:val="21"/>
                <w:lang w:val="zh-CN" w:eastAsia="zh-CN" w:bidi="ar-SA"/>
              </w:rPr>
            </w:pPr>
            <w:r>
              <w:rPr>
                <w:rFonts w:hint="eastAsia" w:ascii="宋体" w:hAnsi="宋体" w:eastAsia="宋体"/>
                <w:color w:val="auto"/>
                <w:sz w:val="21"/>
                <w:szCs w:val="21"/>
                <w:lang w:val="zh-CN" w:eastAsia="zh-CN" w:bidi="ar-SA"/>
              </w:rPr>
              <w:t>邮    编：338000</w:t>
            </w:r>
          </w:p>
          <w:p w14:paraId="70311ACC">
            <w:pPr>
              <w:jc w:val="both"/>
              <w:rPr>
                <w:rFonts w:hint="eastAsia" w:ascii="宋体" w:hAnsi="宋体" w:eastAsia="宋体"/>
                <w:color w:val="auto"/>
                <w:sz w:val="21"/>
                <w:szCs w:val="21"/>
                <w:lang w:val="zh-CN" w:eastAsia="zh-CN" w:bidi="ar-SA"/>
              </w:rPr>
            </w:pPr>
            <w:r>
              <w:rPr>
                <w:rFonts w:hint="eastAsia" w:ascii="宋体" w:hAnsi="宋体" w:eastAsia="宋体"/>
                <w:color w:val="auto"/>
                <w:sz w:val="21"/>
                <w:szCs w:val="21"/>
                <w:lang w:val="zh-CN" w:eastAsia="zh-CN" w:bidi="ar-SA"/>
              </w:rPr>
              <w:t>联 系 人：廖女士</w:t>
            </w:r>
          </w:p>
          <w:p w14:paraId="26DDF747">
            <w:pPr>
              <w:jc w:val="both"/>
              <w:rPr>
                <w:rFonts w:hint="eastAsia" w:ascii="宋体" w:hAnsi="宋体" w:eastAsia="宋体"/>
                <w:color w:val="auto"/>
                <w:sz w:val="21"/>
                <w:szCs w:val="21"/>
                <w:lang w:val="zh-CN" w:eastAsia="zh-CN" w:bidi="ar-SA"/>
              </w:rPr>
            </w:pPr>
            <w:r>
              <w:rPr>
                <w:rFonts w:hint="eastAsia" w:ascii="宋体" w:hAnsi="宋体" w:eastAsia="宋体"/>
                <w:color w:val="auto"/>
                <w:sz w:val="21"/>
                <w:szCs w:val="21"/>
                <w:lang w:val="zh-CN" w:eastAsia="zh-CN" w:bidi="ar-SA"/>
              </w:rPr>
              <w:t>电    话：07906962832</w:t>
            </w:r>
          </w:p>
          <w:p w14:paraId="2C641950">
            <w:pPr>
              <w:jc w:val="both"/>
              <w:rPr>
                <w:rFonts w:hint="eastAsia" w:ascii="宋体" w:hAnsi="宋体" w:eastAsia="宋体"/>
                <w:color w:val="auto"/>
                <w:sz w:val="21"/>
                <w:szCs w:val="21"/>
                <w:lang w:val="zh-CN" w:eastAsia="zh-CN" w:bidi="ar-SA"/>
              </w:rPr>
            </w:pPr>
            <w:r>
              <w:rPr>
                <w:rFonts w:hint="eastAsia" w:ascii="宋体" w:hAnsi="宋体" w:eastAsia="宋体"/>
                <w:color w:val="auto"/>
                <w:sz w:val="21"/>
                <w:szCs w:val="21"/>
                <w:lang w:val="zh-CN" w:eastAsia="zh-CN" w:bidi="ar-SA"/>
              </w:rPr>
              <w:t>邮    箱：xytkzgb@163.com</w:t>
            </w:r>
          </w:p>
          <w:p w14:paraId="172BE696">
            <w:pPr>
              <w:jc w:val="both"/>
              <w:rPr>
                <w:rFonts w:hint="eastAsia" w:ascii="宋体" w:hAnsi="宋体" w:eastAsia="宋体"/>
                <w:color w:val="auto"/>
                <w:sz w:val="21"/>
                <w:szCs w:val="21"/>
                <w:lang w:eastAsia="zh-CN" w:bidi="ar-SA"/>
              </w:rPr>
            </w:pPr>
          </w:p>
        </w:tc>
      </w:tr>
      <w:tr w14:paraId="6B708975">
        <w:tblPrEx>
          <w:tblCellMar>
            <w:top w:w="0" w:type="dxa"/>
            <w:left w:w="108" w:type="dxa"/>
            <w:bottom w:w="0" w:type="dxa"/>
            <w:right w:w="108" w:type="dxa"/>
          </w:tblCellMar>
        </w:tblPrEx>
        <w:trPr>
          <w:trHeight w:val="1024" w:hRule="atLeast"/>
          <w:jc w:val="center"/>
        </w:trPr>
        <w:tc>
          <w:tcPr>
            <w:tcW w:w="1048" w:type="dxa"/>
            <w:tcBorders>
              <w:top w:val="single" w:color="auto" w:sz="4" w:space="0"/>
              <w:left w:val="single" w:color="auto" w:sz="4" w:space="0"/>
              <w:bottom w:val="single" w:color="auto" w:sz="4" w:space="0"/>
              <w:right w:val="single" w:color="auto" w:sz="4" w:space="0"/>
            </w:tcBorders>
            <w:vAlign w:val="center"/>
          </w:tcPr>
          <w:p w14:paraId="634BF202">
            <w:pPr>
              <w:jc w:val="center"/>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1.1.3</w:t>
            </w:r>
          </w:p>
        </w:tc>
        <w:tc>
          <w:tcPr>
            <w:tcW w:w="2835" w:type="dxa"/>
            <w:tcBorders>
              <w:top w:val="single" w:color="auto" w:sz="4" w:space="0"/>
              <w:left w:val="single" w:color="auto" w:sz="4" w:space="0"/>
              <w:bottom w:val="single" w:color="auto" w:sz="4" w:space="0"/>
              <w:right w:val="single" w:color="auto" w:sz="4" w:space="0"/>
            </w:tcBorders>
            <w:vAlign w:val="center"/>
          </w:tcPr>
          <w:p w14:paraId="739010B6">
            <w:pPr>
              <w:jc w:val="cente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招标代理机构</w:t>
            </w:r>
          </w:p>
        </w:tc>
        <w:tc>
          <w:tcPr>
            <w:tcW w:w="5355" w:type="dxa"/>
            <w:tcBorders>
              <w:top w:val="single" w:color="auto" w:sz="4" w:space="0"/>
              <w:left w:val="single" w:color="auto" w:sz="4" w:space="0"/>
              <w:bottom w:val="single" w:color="auto" w:sz="4" w:space="0"/>
              <w:right w:val="single" w:color="auto" w:sz="4" w:space="0"/>
            </w:tcBorders>
            <w:vAlign w:val="center"/>
          </w:tcPr>
          <w:p w14:paraId="78DE1C16">
            <w:pPr>
              <w:rPr>
                <w:rFonts w:hint="eastAsia" w:ascii="宋体" w:hAnsi="宋体" w:eastAsia="宋体"/>
                <w:color w:val="auto"/>
                <w:kern w:val="2"/>
                <w:sz w:val="21"/>
                <w:szCs w:val="21"/>
                <w:lang w:eastAsia="zh-CN" w:bidi="ar-SA"/>
              </w:rPr>
            </w:pPr>
            <w:r>
              <w:rPr>
                <w:rFonts w:hint="eastAsia" w:ascii="宋体" w:hAnsi="宋体" w:eastAsia="宋体"/>
                <w:color w:val="auto"/>
                <w:kern w:val="2"/>
                <w:sz w:val="21"/>
                <w:szCs w:val="21"/>
                <w:lang w:eastAsia="zh-CN" w:bidi="ar-SA"/>
              </w:rPr>
              <w:t>招标代理：江西省江咨投控工程咨询有限公司</w:t>
            </w:r>
          </w:p>
          <w:p w14:paraId="7BE86F80">
            <w:pPr>
              <w:rPr>
                <w:rFonts w:hint="eastAsia" w:ascii="宋体" w:hAnsi="宋体" w:eastAsia="宋体"/>
                <w:color w:val="auto"/>
                <w:kern w:val="2"/>
                <w:sz w:val="21"/>
                <w:szCs w:val="21"/>
                <w:lang w:eastAsia="zh-CN" w:bidi="ar-SA"/>
              </w:rPr>
            </w:pPr>
            <w:r>
              <w:rPr>
                <w:rFonts w:hint="eastAsia" w:ascii="宋体" w:hAnsi="宋体" w:eastAsia="宋体"/>
                <w:color w:val="auto"/>
                <w:kern w:val="2"/>
                <w:sz w:val="21"/>
                <w:szCs w:val="21"/>
                <w:lang w:eastAsia="zh-CN" w:bidi="ar-SA"/>
              </w:rPr>
              <w:t>地    址：</w:t>
            </w:r>
            <w:bookmarkStart w:id="46" w:name="EB079dcf6b0b5e49ada891ec0dc18878b9"/>
            <w:r>
              <w:rPr>
                <w:rFonts w:hint="eastAsia" w:ascii="宋体" w:hAnsi="宋体" w:eastAsia="宋体"/>
                <w:color w:val="auto"/>
                <w:kern w:val="2"/>
                <w:sz w:val="21"/>
                <w:szCs w:val="21"/>
                <w:lang w:eastAsia="zh-CN" w:bidi="ar-SA"/>
              </w:rPr>
              <w:t>新余市</w:t>
            </w:r>
            <w:bookmarkEnd w:id="46"/>
            <w:r>
              <w:rPr>
                <w:rFonts w:hint="eastAsia" w:ascii="宋体" w:hAnsi="宋体" w:eastAsia="宋体"/>
                <w:color w:val="auto"/>
                <w:kern w:val="2"/>
                <w:sz w:val="21"/>
                <w:szCs w:val="21"/>
                <w:lang w:eastAsia="zh-CN" w:bidi="ar-SA"/>
              </w:rPr>
              <w:t>仰天岗大道398号新雅国际7楼东面</w:t>
            </w:r>
          </w:p>
          <w:p w14:paraId="1F0A76EA">
            <w:pPr>
              <w:rPr>
                <w:rFonts w:hint="eastAsia" w:ascii="宋体" w:hAnsi="宋体" w:eastAsia="宋体"/>
                <w:color w:val="auto"/>
                <w:kern w:val="2"/>
                <w:sz w:val="21"/>
                <w:szCs w:val="21"/>
                <w:lang w:eastAsia="zh-CN" w:bidi="ar-SA"/>
              </w:rPr>
            </w:pPr>
            <w:r>
              <w:rPr>
                <w:rFonts w:hint="eastAsia" w:ascii="宋体" w:hAnsi="宋体" w:eastAsia="宋体"/>
                <w:color w:val="auto"/>
                <w:kern w:val="2"/>
                <w:sz w:val="21"/>
                <w:szCs w:val="21"/>
                <w:lang w:eastAsia="zh-CN" w:bidi="ar-SA"/>
              </w:rPr>
              <w:t>邮    编：338000</w:t>
            </w:r>
          </w:p>
          <w:p w14:paraId="6F80BAC2">
            <w:pPr>
              <w:rPr>
                <w:rFonts w:hint="eastAsia" w:ascii="宋体" w:hAnsi="宋体" w:eastAsia="宋体"/>
                <w:color w:val="auto"/>
                <w:kern w:val="2"/>
                <w:sz w:val="21"/>
                <w:szCs w:val="21"/>
                <w:lang w:eastAsia="zh-CN" w:bidi="ar-SA"/>
              </w:rPr>
            </w:pPr>
            <w:r>
              <w:rPr>
                <w:rFonts w:hint="eastAsia" w:ascii="宋体" w:hAnsi="宋体" w:eastAsia="宋体"/>
                <w:color w:val="auto"/>
                <w:kern w:val="2"/>
                <w:sz w:val="21"/>
                <w:szCs w:val="21"/>
                <w:lang w:eastAsia="zh-CN" w:bidi="ar-SA"/>
              </w:rPr>
              <w:t>联 系 人：李先生</w:t>
            </w:r>
          </w:p>
          <w:p w14:paraId="388996D1">
            <w:pPr>
              <w:rPr>
                <w:rFonts w:hint="eastAsia" w:ascii="宋体" w:hAnsi="宋体" w:eastAsia="宋体"/>
                <w:color w:val="auto"/>
                <w:kern w:val="2"/>
                <w:sz w:val="21"/>
                <w:szCs w:val="21"/>
                <w:lang w:eastAsia="zh-CN" w:bidi="ar-SA"/>
              </w:rPr>
            </w:pPr>
            <w:r>
              <w:rPr>
                <w:rFonts w:hint="eastAsia" w:ascii="宋体" w:hAnsi="宋体" w:eastAsia="宋体"/>
                <w:color w:val="auto"/>
                <w:kern w:val="2"/>
                <w:sz w:val="21"/>
                <w:szCs w:val="21"/>
                <w:lang w:eastAsia="zh-CN" w:bidi="ar-SA"/>
              </w:rPr>
              <w:t>电    话：13979068115</w:t>
            </w:r>
          </w:p>
          <w:p w14:paraId="116BB0F6">
            <w:pPr>
              <w:rPr>
                <w:rFonts w:hint="eastAsia" w:ascii="宋体" w:hAnsi="宋体" w:eastAsia="宋体"/>
                <w:color w:val="auto"/>
                <w:sz w:val="21"/>
                <w:szCs w:val="21"/>
                <w:lang w:eastAsia="zh-CN" w:bidi="ar-SA"/>
              </w:rPr>
            </w:pPr>
            <w:r>
              <w:rPr>
                <w:rFonts w:hint="eastAsia" w:ascii="宋体" w:hAnsi="宋体" w:eastAsia="宋体"/>
                <w:color w:val="auto"/>
                <w:kern w:val="2"/>
                <w:sz w:val="21"/>
                <w:szCs w:val="21"/>
                <w:lang w:eastAsia="zh-CN" w:bidi="ar-SA"/>
              </w:rPr>
              <w:t>电子邮箱：jztk@jxbidding.com</w:t>
            </w:r>
          </w:p>
        </w:tc>
      </w:tr>
      <w:tr w14:paraId="4A8B905E">
        <w:tblPrEx>
          <w:tblCellMar>
            <w:top w:w="0" w:type="dxa"/>
            <w:left w:w="108" w:type="dxa"/>
            <w:bottom w:w="0" w:type="dxa"/>
            <w:right w:w="108" w:type="dxa"/>
          </w:tblCellMar>
        </w:tblPrEx>
        <w:trPr>
          <w:trHeight w:val="567" w:hRule="atLeast"/>
          <w:jc w:val="center"/>
        </w:trPr>
        <w:tc>
          <w:tcPr>
            <w:tcW w:w="1048" w:type="dxa"/>
            <w:tcBorders>
              <w:top w:val="single" w:color="auto" w:sz="4" w:space="0"/>
              <w:left w:val="single" w:color="auto" w:sz="4" w:space="0"/>
              <w:bottom w:val="single" w:color="auto" w:sz="4" w:space="0"/>
              <w:right w:val="single" w:color="auto" w:sz="4" w:space="0"/>
            </w:tcBorders>
            <w:vAlign w:val="center"/>
          </w:tcPr>
          <w:p w14:paraId="57564144">
            <w:pPr>
              <w:jc w:val="center"/>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1.1.4</w:t>
            </w:r>
          </w:p>
        </w:tc>
        <w:tc>
          <w:tcPr>
            <w:tcW w:w="2835" w:type="dxa"/>
            <w:tcBorders>
              <w:top w:val="single" w:color="auto" w:sz="4" w:space="0"/>
              <w:left w:val="single" w:color="auto" w:sz="4" w:space="0"/>
              <w:bottom w:val="single" w:color="auto" w:sz="4" w:space="0"/>
              <w:right w:val="single" w:color="auto" w:sz="4" w:space="0"/>
            </w:tcBorders>
            <w:vAlign w:val="center"/>
          </w:tcPr>
          <w:p w14:paraId="2312BFF9">
            <w:pPr>
              <w:jc w:val="center"/>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招标项目名称</w:t>
            </w:r>
          </w:p>
        </w:tc>
        <w:tc>
          <w:tcPr>
            <w:tcW w:w="5355" w:type="dxa"/>
            <w:tcBorders>
              <w:top w:val="single" w:color="auto" w:sz="4" w:space="0"/>
              <w:left w:val="single" w:color="auto" w:sz="4" w:space="0"/>
              <w:bottom w:val="single" w:color="auto" w:sz="4" w:space="0"/>
              <w:right w:val="single" w:color="auto" w:sz="4" w:space="0"/>
            </w:tcBorders>
            <w:vAlign w:val="center"/>
          </w:tcPr>
          <w:p w14:paraId="215B6703">
            <w:pPr>
              <w:jc w:val="both"/>
              <w:rPr>
                <w:rFonts w:hint="eastAsia" w:ascii="宋体" w:hAnsi="宋体" w:eastAsia="宋体"/>
                <w:color w:val="auto"/>
                <w:sz w:val="21"/>
                <w:szCs w:val="21"/>
                <w:lang w:eastAsia="zh-CN" w:bidi="ar-SA"/>
              </w:rPr>
            </w:pPr>
            <w:r>
              <w:rPr>
                <w:rFonts w:hint="eastAsia" w:eastAsia="宋体"/>
                <w:color w:val="auto"/>
                <w:sz w:val="21"/>
                <w:szCs w:val="21"/>
                <w:lang w:eastAsia="zh-CN" w:bidi="ar-SA"/>
              </w:rPr>
              <w:t>新余市港口水运基础设施建设项目-袁河航道提升工程新余段库区工程第二标段监理</w:t>
            </w:r>
          </w:p>
        </w:tc>
      </w:tr>
      <w:tr w14:paraId="4C6A072C">
        <w:tblPrEx>
          <w:tblCellMar>
            <w:top w:w="0" w:type="dxa"/>
            <w:left w:w="108" w:type="dxa"/>
            <w:bottom w:w="0" w:type="dxa"/>
            <w:right w:w="108" w:type="dxa"/>
          </w:tblCellMar>
        </w:tblPrEx>
        <w:trPr>
          <w:trHeight w:val="567" w:hRule="atLeast"/>
          <w:jc w:val="center"/>
        </w:trPr>
        <w:tc>
          <w:tcPr>
            <w:tcW w:w="1048" w:type="dxa"/>
            <w:tcBorders>
              <w:top w:val="single" w:color="auto" w:sz="4" w:space="0"/>
              <w:left w:val="single" w:color="auto" w:sz="4" w:space="0"/>
              <w:bottom w:val="single" w:color="auto" w:sz="4" w:space="0"/>
              <w:right w:val="single" w:color="auto" w:sz="4" w:space="0"/>
            </w:tcBorders>
            <w:vAlign w:val="center"/>
          </w:tcPr>
          <w:p w14:paraId="672E3B6A">
            <w:pPr>
              <w:jc w:val="center"/>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1.1.5</w:t>
            </w:r>
          </w:p>
        </w:tc>
        <w:tc>
          <w:tcPr>
            <w:tcW w:w="2835" w:type="dxa"/>
            <w:tcBorders>
              <w:top w:val="single" w:color="auto" w:sz="4" w:space="0"/>
              <w:left w:val="single" w:color="auto" w:sz="4" w:space="0"/>
              <w:bottom w:val="single" w:color="auto" w:sz="4" w:space="0"/>
              <w:right w:val="single" w:color="auto" w:sz="4" w:space="0"/>
            </w:tcBorders>
            <w:vAlign w:val="center"/>
          </w:tcPr>
          <w:p w14:paraId="73AA4678">
            <w:pPr>
              <w:jc w:val="cente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项目建设</w:t>
            </w:r>
            <w:r>
              <w:rPr>
                <w:rFonts w:ascii="宋体" w:hAnsi="宋体" w:eastAsia="宋体"/>
                <w:color w:val="auto"/>
                <w:sz w:val="21"/>
                <w:szCs w:val="21"/>
                <w:lang w:eastAsia="zh-CN" w:bidi="ar-SA"/>
              </w:rPr>
              <w:t>地点</w:t>
            </w:r>
          </w:p>
        </w:tc>
        <w:tc>
          <w:tcPr>
            <w:tcW w:w="5355" w:type="dxa"/>
            <w:tcBorders>
              <w:top w:val="single" w:color="auto" w:sz="4" w:space="0"/>
              <w:left w:val="single" w:color="auto" w:sz="4" w:space="0"/>
              <w:bottom w:val="single" w:color="auto" w:sz="4" w:space="0"/>
              <w:right w:val="single" w:color="auto" w:sz="4" w:space="0"/>
            </w:tcBorders>
            <w:vAlign w:val="center"/>
          </w:tcPr>
          <w:p w14:paraId="665E5830">
            <w:pP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江西省新余市</w:t>
            </w:r>
          </w:p>
        </w:tc>
      </w:tr>
      <w:tr w14:paraId="373E4BDA">
        <w:tblPrEx>
          <w:tblCellMar>
            <w:top w:w="0" w:type="dxa"/>
            <w:left w:w="108" w:type="dxa"/>
            <w:bottom w:w="0" w:type="dxa"/>
            <w:right w:w="108" w:type="dxa"/>
          </w:tblCellMar>
        </w:tblPrEx>
        <w:trPr>
          <w:trHeight w:val="567" w:hRule="atLeast"/>
          <w:jc w:val="center"/>
        </w:trPr>
        <w:tc>
          <w:tcPr>
            <w:tcW w:w="1048" w:type="dxa"/>
            <w:tcBorders>
              <w:top w:val="single" w:color="auto" w:sz="4" w:space="0"/>
              <w:left w:val="single" w:color="auto" w:sz="4" w:space="0"/>
              <w:bottom w:val="single" w:color="auto" w:sz="4" w:space="0"/>
              <w:right w:val="single" w:color="auto" w:sz="4" w:space="0"/>
            </w:tcBorders>
            <w:vAlign w:val="center"/>
          </w:tcPr>
          <w:p w14:paraId="1AA205BE">
            <w:pPr>
              <w:jc w:val="center"/>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1.1.6</w:t>
            </w:r>
          </w:p>
        </w:tc>
        <w:tc>
          <w:tcPr>
            <w:tcW w:w="2835" w:type="dxa"/>
            <w:tcBorders>
              <w:top w:val="single" w:color="auto" w:sz="4" w:space="0"/>
              <w:left w:val="single" w:color="auto" w:sz="4" w:space="0"/>
              <w:bottom w:val="single" w:color="auto" w:sz="4" w:space="0"/>
              <w:right w:val="single" w:color="auto" w:sz="4" w:space="0"/>
            </w:tcBorders>
            <w:vAlign w:val="center"/>
          </w:tcPr>
          <w:p w14:paraId="54C30CEF">
            <w:pPr>
              <w:jc w:val="cente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项目建设</w:t>
            </w:r>
            <w:r>
              <w:rPr>
                <w:rFonts w:ascii="宋体" w:hAnsi="宋体" w:eastAsia="宋体"/>
                <w:color w:val="auto"/>
                <w:sz w:val="21"/>
                <w:szCs w:val="21"/>
                <w:lang w:eastAsia="zh-CN" w:bidi="ar-SA"/>
              </w:rPr>
              <w:t>规模</w:t>
            </w:r>
          </w:p>
        </w:tc>
        <w:tc>
          <w:tcPr>
            <w:tcW w:w="5355" w:type="dxa"/>
            <w:tcBorders>
              <w:top w:val="single" w:color="auto" w:sz="4" w:space="0"/>
              <w:left w:val="single" w:color="auto" w:sz="4" w:space="0"/>
              <w:bottom w:val="single" w:color="auto" w:sz="4" w:space="0"/>
              <w:right w:val="single" w:color="auto" w:sz="4" w:space="0"/>
            </w:tcBorders>
            <w:vAlign w:val="center"/>
          </w:tcPr>
          <w:p w14:paraId="59D40E88">
            <w:pPr>
              <w:spacing w:line="276" w:lineRule="auto"/>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见第一章“招标公告”第</w:t>
            </w:r>
            <w:r>
              <w:rPr>
                <w:rFonts w:ascii="宋体" w:hAnsi="宋体" w:eastAsia="宋体"/>
                <w:color w:val="auto"/>
                <w:sz w:val="21"/>
                <w:szCs w:val="21"/>
                <w:lang w:eastAsia="zh-CN" w:bidi="ar-SA"/>
              </w:rPr>
              <w:t>2.1</w:t>
            </w:r>
            <w:r>
              <w:rPr>
                <w:rFonts w:hint="eastAsia" w:ascii="宋体" w:hAnsi="宋体" w:eastAsia="宋体"/>
                <w:color w:val="auto"/>
                <w:sz w:val="21"/>
                <w:szCs w:val="21"/>
                <w:lang w:eastAsia="zh-CN" w:bidi="ar-SA"/>
              </w:rPr>
              <w:t>、2.2款</w:t>
            </w:r>
          </w:p>
        </w:tc>
      </w:tr>
      <w:tr w14:paraId="1F0B4970">
        <w:tblPrEx>
          <w:tblCellMar>
            <w:top w:w="0" w:type="dxa"/>
            <w:left w:w="108" w:type="dxa"/>
            <w:bottom w:w="0" w:type="dxa"/>
            <w:right w:w="108" w:type="dxa"/>
          </w:tblCellMar>
        </w:tblPrEx>
        <w:trPr>
          <w:trHeight w:val="610" w:hRule="atLeast"/>
          <w:jc w:val="center"/>
        </w:trPr>
        <w:tc>
          <w:tcPr>
            <w:tcW w:w="1048" w:type="dxa"/>
            <w:tcBorders>
              <w:top w:val="single" w:color="auto" w:sz="4" w:space="0"/>
              <w:left w:val="single" w:color="auto" w:sz="4" w:space="0"/>
              <w:bottom w:val="single" w:color="auto" w:sz="4" w:space="0"/>
              <w:right w:val="single" w:color="auto" w:sz="4" w:space="0"/>
            </w:tcBorders>
            <w:vAlign w:val="center"/>
          </w:tcPr>
          <w:p w14:paraId="6BF0B8DE">
            <w:pPr>
              <w:jc w:val="center"/>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1.1.7</w:t>
            </w:r>
          </w:p>
        </w:tc>
        <w:tc>
          <w:tcPr>
            <w:tcW w:w="2835" w:type="dxa"/>
            <w:tcBorders>
              <w:top w:val="single" w:color="auto" w:sz="4" w:space="0"/>
              <w:left w:val="single" w:color="auto" w:sz="4" w:space="0"/>
              <w:bottom w:val="single" w:color="auto" w:sz="4" w:space="0"/>
              <w:right w:val="single" w:color="auto" w:sz="4" w:space="0"/>
            </w:tcBorders>
            <w:vAlign w:val="center"/>
          </w:tcPr>
          <w:p w14:paraId="0CF11237">
            <w:pPr>
              <w:jc w:val="cente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工程项目施工预计开工日期和建设周期</w:t>
            </w:r>
          </w:p>
        </w:tc>
        <w:tc>
          <w:tcPr>
            <w:tcW w:w="5355" w:type="dxa"/>
            <w:tcBorders>
              <w:top w:val="single" w:color="auto" w:sz="4" w:space="0"/>
              <w:left w:val="single" w:color="auto" w:sz="4" w:space="0"/>
              <w:bottom w:val="single" w:color="auto" w:sz="4" w:space="0"/>
              <w:right w:val="single" w:color="auto" w:sz="4" w:space="0"/>
            </w:tcBorders>
            <w:vAlign w:val="center"/>
          </w:tcPr>
          <w:p w14:paraId="17547B4F">
            <w:pP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见第一章“招标公告”第2</w:t>
            </w:r>
            <w:r>
              <w:rPr>
                <w:rFonts w:ascii="宋体" w:hAnsi="宋体" w:eastAsia="宋体"/>
                <w:color w:val="auto"/>
                <w:sz w:val="21"/>
                <w:szCs w:val="21"/>
                <w:lang w:eastAsia="zh-CN" w:bidi="ar-SA"/>
              </w:rPr>
              <w:t>.3</w:t>
            </w:r>
            <w:r>
              <w:rPr>
                <w:rFonts w:hint="eastAsia" w:ascii="宋体" w:hAnsi="宋体" w:eastAsia="宋体"/>
                <w:color w:val="auto"/>
                <w:sz w:val="21"/>
                <w:szCs w:val="21"/>
                <w:lang w:eastAsia="zh-CN" w:bidi="ar-SA"/>
              </w:rPr>
              <w:t>款</w:t>
            </w:r>
          </w:p>
        </w:tc>
      </w:tr>
      <w:tr w14:paraId="0EF5A684">
        <w:tblPrEx>
          <w:tblCellMar>
            <w:top w:w="0" w:type="dxa"/>
            <w:left w:w="108" w:type="dxa"/>
            <w:bottom w:w="0" w:type="dxa"/>
            <w:right w:w="108" w:type="dxa"/>
          </w:tblCellMar>
        </w:tblPrEx>
        <w:trPr>
          <w:trHeight w:val="653" w:hRule="atLeast"/>
          <w:jc w:val="center"/>
        </w:trPr>
        <w:tc>
          <w:tcPr>
            <w:tcW w:w="1048" w:type="dxa"/>
            <w:tcBorders>
              <w:top w:val="single" w:color="auto" w:sz="4" w:space="0"/>
              <w:left w:val="single" w:color="auto" w:sz="4" w:space="0"/>
              <w:bottom w:val="single" w:color="auto" w:sz="4" w:space="0"/>
              <w:right w:val="single" w:color="auto" w:sz="4" w:space="0"/>
            </w:tcBorders>
            <w:vAlign w:val="center"/>
          </w:tcPr>
          <w:p w14:paraId="0F0D08F6">
            <w:pPr>
              <w:jc w:val="cente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1</w:t>
            </w:r>
            <w:r>
              <w:rPr>
                <w:rFonts w:ascii="宋体" w:hAnsi="宋体" w:eastAsia="宋体"/>
                <w:color w:val="auto"/>
                <w:sz w:val="21"/>
                <w:szCs w:val="21"/>
                <w:lang w:eastAsia="zh-CN" w:bidi="ar-SA"/>
              </w:rPr>
              <w:t>.1.8</w:t>
            </w:r>
          </w:p>
        </w:tc>
        <w:tc>
          <w:tcPr>
            <w:tcW w:w="2835" w:type="dxa"/>
            <w:tcBorders>
              <w:top w:val="single" w:color="auto" w:sz="4" w:space="0"/>
              <w:left w:val="single" w:color="auto" w:sz="4" w:space="0"/>
              <w:bottom w:val="single" w:color="auto" w:sz="4" w:space="0"/>
              <w:right w:val="single" w:color="auto" w:sz="4" w:space="0"/>
            </w:tcBorders>
            <w:vAlign w:val="center"/>
          </w:tcPr>
          <w:p w14:paraId="021D6C7C">
            <w:pPr>
              <w:jc w:val="cente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建筑安装工程费/工程概算</w:t>
            </w:r>
          </w:p>
        </w:tc>
        <w:tc>
          <w:tcPr>
            <w:tcW w:w="5355" w:type="dxa"/>
            <w:tcBorders>
              <w:top w:val="single" w:color="auto" w:sz="4" w:space="0"/>
              <w:left w:val="single" w:color="auto" w:sz="4" w:space="0"/>
              <w:bottom w:val="single" w:color="auto" w:sz="4" w:space="0"/>
              <w:right w:val="single" w:color="auto" w:sz="4" w:space="0"/>
            </w:tcBorders>
            <w:vAlign w:val="center"/>
          </w:tcPr>
          <w:p w14:paraId="3DD77D7B">
            <w:pPr>
              <w:spacing w:line="276" w:lineRule="auto"/>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约160000000元</w:t>
            </w:r>
          </w:p>
        </w:tc>
      </w:tr>
      <w:tr w14:paraId="5B3FB591">
        <w:tblPrEx>
          <w:tblCellMar>
            <w:top w:w="0" w:type="dxa"/>
            <w:left w:w="108" w:type="dxa"/>
            <w:bottom w:w="0" w:type="dxa"/>
            <w:right w:w="108" w:type="dxa"/>
          </w:tblCellMar>
        </w:tblPrEx>
        <w:trPr>
          <w:trHeight w:val="567" w:hRule="atLeast"/>
          <w:jc w:val="center"/>
        </w:trPr>
        <w:tc>
          <w:tcPr>
            <w:tcW w:w="1048" w:type="dxa"/>
            <w:tcBorders>
              <w:top w:val="single" w:color="auto" w:sz="4" w:space="0"/>
              <w:left w:val="single" w:color="auto" w:sz="4" w:space="0"/>
              <w:bottom w:val="single" w:color="auto" w:sz="4" w:space="0"/>
              <w:right w:val="single" w:color="auto" w:sz="4" w:space="0"/>
            </w:tcBorders>
            <w:vAlign w:val="center"/>
          </w:tcPr>
          <w:p w14:paraId="0101BD5F">
            <w:pPr>
              <w:jc w:val="center"/>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1.2.1</w:t>
            </w:r>
          </w:p>
        </w:tc>
        <w:tc>
          <w:tcPr>
            <w:tcW w:w="2835" w:type="dxa"/>
            <w:tcBorders>
              <w:top w:val="single" w:color="auto" w:sz="4" w:space="0"/>
              <w:left w:val="single" w:color="auto" w:sz="4" w:space="0"/>
              <w:bottom w:val="single" w:color="auto" w:sz="4" w:space="0"/>
              <w:right w:val="single" w:color="auto" w:sz="4" w:space="0"/>
            </w:tcBorders>
            <w:vAlign w:val="center"/>
          </w:tcPr>
          <w:p w14:paraId="3ACA8774">
            <w:pPr>
              <w:jc w:val="center"/>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资金来源</w:t>
            </w:r>
            <w:r>
              <w:rPr>
                <w:rFonts w:hint="eastAsia" w:ascii="宋体" w:hAnsi="宋体" w:eastAsia="宋体"/>
                <w:color w:val="auto"/>
                <w:sz w:val="21"/>
                <w:szCs w:val="21"/>
                <w:lang w:eastAsia="zh-CN" w:bidi="ar-SA"/>
              </w:rPr>
              <w:t>及比例</w:t>
            </w:r>
          </w:p>
        </w:tc>
        <w:tc>
          <w:tcPr>
            <w:tcW w:w="5355" w:type="dxa"/>
            <w:tcBorders>
              <w:top w:val="single" w:color="auto" w:sz="4" w:space="0"/>
              <w:left w:val="single" w:color="auto" w:sz="4" w:space="0"/>
              <w:bottom w:val="single" w:color="auto" w:sz="4" w:space="0"/>
              <w:right w:val="single" w:color="auto" w:sz="4" w:space="0"/>
            </w:tcBorders>
            <w:vAlign w:val="center"/>
          </w:tcPr>
          <w:p w14:paraId="06BB51D9">
            <w:pP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见第一章“招标公告”第1条</w:t>
            </w:r>
          </w:p>
        </w:tc>
      </w:tr>
      <w:tr w14:paraId="12839C45">
        <w:tblPrEx>
          <w:tblCellMar>
            <w:top w:w="0" w:type="dxa"/>
            <w:left w:w="108" w:type="dxa"/>
            <w:bottom w:w="0" w:type="dxa"/>
            <w:right w:w="108" w:type="dxa"/>
          </w:tblCellMar>
        </w:tblPrEx>
        <w:trPr>
          <w:trHeight w:val="567" w:hRule="atLeast"/>
          <w:jc w:val="center"/>
        </w:trPr>
        <w:tc>
          <w:tcPr>
            <w:tcW w:w="1048" w:type="dxa"/>
            <w:tcBorders>
              <w:top w:val="single" w:color="auto" w:sz="4" w:space="0"/>
              <w:left w:val="single" w:color="auto" w:sz="4" w:space="0"/>
              <w:bottom w:val="single" w:color="auto" w:sz="4" w:space="0"/>
              <w:right w:val="single" w:color="auto" w:sz="4" w:space="0"/>
            </w:tcBorders>
            <w:vAlign w:val="center"/>
          </w:tcPr>
          <w:p w14:paraId="36255D4F">
            <w:pPr>
              <w:jc w:val="center"/>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1.2.2</w:t>
            </w:r>
          </w:p>
        </w:tc>
        <w:tc>
          <w:tcPr>
            <w:tcW w:w="2835" w:type="dxa"/>
            <w:tcBorders>
              <w:top w:val="single" w:color="auto" w:sz="4" w:space="0"/>
              <w:left w:val="single" w:color="auto" w:sz="4" w:space="0"/>
              <w:bottom w:val="single" w:color="auto" w:sz="4" w:space="0"/>
              <w:right w:val="single" w:color="auto" w:sz="4" w:space="0"/>
            </w:tcBorders>
            <w:vAlign w:val="center"/>
          </w:tcPr>
          <w:p w14:paraId="52796D2D">
            <w:pPr>
              <w:jc w:val="center"/>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资金落实情况</w:t>
            </w:r>
          </w:p>
        </w:tc>
        <w:tc>
          <w:tcPr>
            <w:tcW w:w="5355" w:type="dxa"/>
            <w:tcBorders>
              <w:top w:val="single" w:color="auto" w:sz="4" w:space="0"/>
              <w:left w:val="single" w:color="auto" w:sz="4" w:space="0"/>
              <w:bottom w:val="single" w:color="auto" w:sz="4" w:space="0"/>
              <w:right w:val="single" w:color="auto" w:sz="4" w:space="0"/>
            </w:tcBorders>
            <w:vAlign w:val="center"/>
          </w:tcPr>
          <w:p w14:paraId="175E2A25">
            <w:pP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见第一章“招标公告”第1条</w:t>
            </w:r>
          </w:p>
        </w:tc>
      </w:tr>
      <w:tr w14:paraId="34C22D50">
        <w:tblPrEx>
          <w:tblCellMar>
            <w:top w:w="0" w:type="dxa"/>
            <w:left w:w="108" w:type="dxa"/>
            <w:bottom w:w="0" w:type="dxa"/>
            <w:right w:w="108" w:type="dxa"/>
          </w:tblCellMar>
        </w:tblPrEx>
        <w:trPr>
          <w:trHeight w:val="567" w:hRule="atLeast"/>
          <w:jc w:val="center"/>
        </w:trPr>
        <w:tc>
          <w:tcPr>
            <w:tcW w:w="1048" w:type="dxa"/>
            <w:tcBorders>
              <w:top w:val="single" w:color="auto" w:sz="4" w:space="0"/>
              <w:left w:val="single" w:color="auto" w:sz="4" w:space="0"/>
              <w:bottom w:val="single" w:color="auto" w:sz="4" w:space="0"/>
              <w:right w:val="single" w:color="auto" w:sz="4" w:space="0"/>
            </w:tcBorders>
            <w:vAlign w:val="center"/>
          </w:tcPr>
          <w:p w14:paraId="5E0EB9D6">
            <w:pPr>
              <w:jc w:val="center"/>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1.3.1</w:t>
            </w:r>
          </w:p>
        </w:tc>
        <w:tc>
          <w:tcPr>
            <w:tcW w:w="2835" w:type="dxa"/>
            <w:tcBorders>
              <w:top w:val="single" w:color="auto" w:sz="4" w:space="0"/>
              <w:left w:val="single" w:color="auto" w:sz="4" w:space="0"/>
              <w:bottom w:val="single" w:color="auto" w:sz="4" w:space="0"/>
              <w:right w:val="single" w:color="auto" w:sz="4" w:space="0"/>
            </w:tcBorders>
            <w:vAlign w:val="center"/>
          </w:tcPr>
          <w:p w14:paraId="75FC3E7A">
            <w:pPr>
              <w:jc w:val="center"/>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招标范围</w:t>
            </w:r>
          </w:p>
        </w:tc>
        <w:tc>
          <w:tcPr>
            <w:tcW w:w="5355" w:type="dxa"/>
            <w:tcBorders>
              <w:top w:val="single" w:color="auto" w:sz="4" w:space="0"/>
              <w:left w:val="single" w:color="auto" w:sz="4" w:space="0"/>
              <w:bottom w:val="single" w:color="auto" w:sz="4" w:space="0"/>
              <w:right w:val="single" w:color="auto" w:sz="4" w:space="0"/>
            </w:tcBorders>
            <w:vAlign w:val="center"/>
          </w:tcPr>
          <w:p w14:paraId="68F5B233">
            <w:pPr>
              <w:jc w:val="both"/>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见第一章“招标公告”第2.2款</w:t>
            </w:r>
          </w:p>
        </w:tc>
      </w:tr>
      <w:tr w14:paraId="114C9BF2">
        <w:tblPrEx>
          <w:tblCellMar>
            <w:top w:w="0" w:type="dxa"/>
            <w:left w:w="108" w:type="dxa"/>
            <w:bottom w:w="0" w:type="dxa"/>
            <w:right w:w="108" w:type="dxa"/>
          </w:tblCellMar>
        </w:tblPrEx>
        <w:trPr>
          <w:trHeight w:val="567" w:hRule="atLeast"/>
          <w:jc w:val="center"/>
        </w:trPr>
        <w:tc>
          <w:tcPr>
            <w:tcW w:w="1048" w:type="dxa"/>
            <w:tcBorders>
              <w:top w:val="single" w:color="auto" w:sz="4" w:space="0"/>
              <w:left w:val="single" w:color="auto" w:sz="4" w:space="0"/>
              <w:bottom w:val="single" w:color="auto" w:sz="4" w:space="0"/>
              <w:right w:val="single" w:color="auto" w:sz="4" w:space="0"/>
            </w:tcBorders>
            <w:vAlign w:val="center"/>
          </w:tcPr>
          <w:p w14:paraId="1851274A">
            <w:pPr>
              <w:jc w:val="center"/>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1.3.2</w:t>
            </w:r>
          </w:p>
        </w:tc>
        <w:tc>
          <w:tcPr>
            <w:tcW w:w="2835" w:type="dxa"/>
            <w:tcBorders>
              <w:top w:val="single" w:color="auto" w:sz="4" w:space="0"/>
              <w:left w:val="single" w:color="auto" w:sz="4" w:space="0"/>
              <w:bottom w:val="single" w:color="auto" w:sz="4" w:space="0"/>
              <w:right w:val="single" w:color="auto" w:sz="4" w:space="0"/>
            </w:tcBorders>
            <w:vAlign w:val="center"/>
          </w:tcPr>
          <w:p w14:paraId="7C5CF175">
            <w:pPr>
              <w:jc w:val="cente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监理</w:t>
            </w:r>
            <w:r>
              <w:rPr>
                <w:rFonts w:ascii="宋体" w:hAnsi="宋体" w:eastAsia="宋体"/>
                <w:color w:val="auto"/>
                <w:sz w:val="21"/>
                <w:szCs w:val="21"/>
                <w:lang w:eastAsia="zh-CN" w:bidi="ar-SA"/>
              </w:rPr>
              <w:t>服务</w:t>
            </w:r>
            <w:r>
              <w:rPr>
                <w:rFonts w:hint="eastAsia" w:ascii="宋体" w:hAnsi="宋体" w:eastAsia="宋体"/>
                <w:color w:val="auto"/>
                <w:sz w:val="21"/>
                <w:szCs w:val="21"/>
                <w:lang w:eastAsia="zh-CN" w:bidi="ar-SA"/>
              </w:rPr>
              <w:t>期限</w:t>
            </w:r>
          </w:p>
        </w:tc>
        <w:tc>
          <w:tcPr>
            <w:tcW w:w="5355" w:type="dxa"/>
            <w:tcBorders>
              <w:top w:val="single" w:color="auto" w:sz="4" w:space="0"/>
              <w:left w:val="single" w:color="auto" w:sz="4" w:space="0"/>
              <w:bottom w:val="single" w:color="auto" w:sz="4" w:space="0"/>
              <w:right w:val="single" w:color="auto" w:sz="4" w:space="0"/>
            </w:tcBorders>
            <w:vAlign w:val="center"/>
          </w:tcPr>
          <w:p w14:paraId="14A822D2">
            <w:pP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见第一章“招标公告”附表</w:t>
            </w:r>
          </w:p>
        </w:tc>
      </w:tr>
      <w:tr w14:paraId="2E1864F0">
        <w:tblPrEx>
          <w:tblCellMar>
            <w:top w:w="0" w:type="dxa"/>
            <w:left w:w="108" w:type="dxa"/>
            <w:bottom w:w="0" w:type="dxa"/>
            <w:right w:w="108" w:type="dxa"/>
          </w:tblCellMar>
        </w:tblPrEx>
        <w:trPr>
          <w:trHeight w:val="567" w:hRule="atLeast"/>
          <w:jc w:val="center"/>
        </w:trPr>
        <w:tc>
          <w:tcPr>
            <w:tcW w:w="1048" w:type="dxa"/>
            <w:tcBorders>
              <w:top w:val="single" w:color="auto" w:sz="4" w:space="0"/>
              <w:left w:val="single" w:color="auto" w:sz="4" w:space="0"/>
              <w:bottom w:val="single" w:color="auto" w:sz="4" w:space="0"/>
              <w:right w:val="single" w:color="auto" w:sz="4" w:space="0"/>
            </w:tcBorders>
            <w:vAlign w:val="center"/>
          </w:tcPr>
          <w:p w14:paraId="43075B98">
            <w:pPr>
              <w:jc w:val="cente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1.3.3</w:t>
            </w:r>
          </w:p>
        </w:tc>
        <w:tc>
          <w:tcPr>
            <w:tcW w:w="2835" w:type="dxa"/>
            <w:tcBorders>
              <w:top w:val="single" w:color="auto" w:sz="4" w:space="0"/>
              <w:left w:val="single" w:color="auto" w:sz="4" w:space="0"/>
              <w:bottom w:val="single" w:color="auto" w:sz="4" w:space="0"/>
              <w:right w:val="single" w:color="auto" w:sz="4" w:space="0"/>
            </w:tcBorders>
            <w:vAlign w:val="center"/>
          </w:tcPr>
          <w:p w14:paraId="0C51B767">
            <w:pPr>
              <w:jc w:val="cente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质量标准</w:t>
            </w:r>
          </w:p>
        </w:tc>
        <w:tc>
          <w:tcPr>
            <w:tcW w:w="5355" w:type="dxa"/>
            <w:tcBorders>
              <w:top w:val="single" w:color="auto" w:sz="4" w:space="0"/>
              <w:left w:val="single" w:color="auto" w:sz="4" w:space="0"/>
              <w:bottom w:val="single" w:color="auto" w:sz="4" w:space="0"/>
              <w:right w:val="single" w:color="auto" w:sz="4" w:space="0"/>
            </w:tcBorders>
            <w:vAlign w:val="center"/>
          </w:tcPr>
          <w:p w14:paraId="35F5B473">
            <w:pP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交工合格，竣工合格</w:t>
            </w:r>
          </w:p>
        </w:tc>
      </w:tr>
      <w:tr w14:paraId="1DE847C4">
        <w:tblPrEx>
          <w:tblCellMar>
            <w:top w:w="0" w:type="dxa"/>
            <w:left w:w="108" w:type="dxa"/>
            <w:bottom w:w="0" w:type="dxa"/>
            <w:right w:w="108" w:type="dxa"/>
          </w:tblCellMar>
        </w:tblPrEx>
        <w:trPr>
          <w:trHeight w:val="3115" w:hRule="exact"/>
          <w:jc w:val="center"/>
        </w:trPr>
        <w:tc>
          <w:tcPr>
            <w:tcW w:w="1048" w:type="dxa"/>
            <w:tcBorders>
              <w:top w:val="single" w:color="auto" w:sz="4" w:space="0"/>
              <w:left w:val="single" w:color="auto" w:sz="4" w:space="0"/>
              <w:bottom w:val="single" w:color="auto" w:sz="4" w:space="0"/>
              <w:right w:val="single" w:color="auto" w:sz="4" w:space="0"/>
            </w:tcBorders>
            <w:vAlign w:val="center"/>
          </w:tcPr>
          <w:p w14:paraId="78E517C3">
            <w:pPr>
              <w:jc w:val="center"/>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1.4.1</w:t>
            </w:r>
          </w:p>
        </w:tc>
        <w:tc>
          <w:tcPr>
            <w:tcW w:w="2835" w:type="dxa"/>
            <w:tcBorders>
              <w:top w:val="single" w:color="auto" w:sz="4" w:space="0"/>
              <w:left w:val="single" w:color="auto" w:sz="4" w:space="0"/>
              <w:bottom w:val="single" w:color="auto" w:sz="4" w:space="0"/>
              <w:right w:val="single" w:color="auto" w:sz="4" w:space="0"/>
            </w:tcBorders>
            <w:vAlign w:val="center"/>
          </w:tcPr>
          <w:p w14:paraId="07CD861C">
            <w:pPr>
              <w:jc w:val="cente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投标人资质条件、能力、信誉</w:t>
            </w:r>
          </w:p>
        </w:tc>
        <w:tc>
          <w:tcPr>
            <w:tcW w:w="5355" w:type="dxa"/>
            <w:tcBorders>
              <w:top w:val="single" w:color="auto" w:sz="4" w:space="0"/>
              <w:left w:val="single" w:color="auto" w:sz="4" w:space="0"/>
              <w:bottom w:val="single" w:color="auto" w:sz="4" w:space="0"/>
              <w:right w:val="single" w:color="auto" w:sz="4" w:space="0"/>
            </w:tcBorders>
            <w:vAlign w:val="center"/>
          </w:tcPr>
          <w:p w14:paraId="729E93CB">
            <w:pPr>
              <w:spacing w:line="276" w:lineRule="auto"/>
              <w:jc w:val="both"/>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w:t>
            </w:r>
            <w:r>
              <w:rPr>
                <w:rFonts w:ascii="宋体" w:hAnsi="宋体" w:eastAsia="宋体"/>
                <w:color w:val="auto"/>
                <w:sz w:val="21"/>
                <w:szCs w:val="21"/>
                <w:lang w:eastAsia="zh-CN" w:bidi="ar-SA"/>
              </w:rPr>
              <w:t>1</w:t>
            </w:r>
            <w:r>
              <w:rPr>
                <w:rFonts w:hint="eastAsia" w:ascii="宋体" w:hAnsi="宋体" w:eastAsia="宋体"/>
                <w:color w:val="auto"/>
                <w:sz w:val="21"/>
                <w:szCs w:val="21"/>
                <w:lang w:eastAsia="zh-CN" w:bidi="ar-SA"/>
              </w:rPr>
              <w:t>）资质要求：见第一章“招标公告”附录</w:t>
            </w:r>
            <w:r>
              <w:rPr>
                <w:rFonts w:ascii="宋体" w:hAnsi="宋体" w:eastAsia="宋体"/>
                <w:color w:val="auto"/>
                <w:sz w:val="21"/>
                <w:szCs w:val="21"/>
                <w:lang w:eastAsia="zh-CN" w:bidi="ar-SA"/>
              </w:rPr>
              <w:t>1</w:t>
            </w:r>
          </w:p>
          <w:p w14:paraId="4898D8B8">
            <w:pPr>
              <w:spacing w:line="276" w:lineRule="auto"/>
              <w:jc w:val="both"/>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w:t>
            </w:r>
            <w:r>
              <w:rPr>
                <w:rFonts w:ascii="宋体" w:hAnsi="宋体" w:eastAsia="宋体"/>
                <w:color w:val="auto"/>
                <w:sz w:val="21"/>
                <w:szCs w:val="21"/>
                <w:lang w:eastAsia="zh-CN" w:bidi="ar-SA"/>
              </w:rPr>
              <w:t>2</w:t>
            </w:r>
            <w:r>
              <w:rPr>
                <w:rFonts w:hint="eastAsia" w:ascii="宋体" w:hAnsi="宋体" w:eastAsia="宋体"/>
                <w:color w:val="auto"/>
                <w:sz w:val="21"/>
                <w:szCs w:val="21"/>
                <w:lang w:eastAsia="zh-CN" w:bidi="ar-SA"/>
              </w:rPr>
              <w:t>）财务要求：见第一章“招标公告”附录</w:t>
            </w:r>
            <w:r>
              <w:rPr>
                <w:rFonts w:ascii="宋体" w:hAnsi="宋体" w:eastAsia="宋体"/>
                <w:color w:val="auto"/>
                <w:sz w:val="21"/>
                <w:szCs w:val="21"/>
                <w:lang w:eastAsia="zh-CN" w:bidi="ar-SA"/>
              </w:rPr>
              <w:t>2</w:t>
            </w:r>
          </w:p>
          <w:p w14:paraId="2ABEDBFE">
            <w:pPr>
              <w:spacing w:line="276" w:lineRule="auto"/>
              <w:jc w:val="both"/>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w:t>
            </w:r>
            <w:r>
              <w:rPr>
                <w:rFonts w:ascii="宋体" w:hAnsi="宋体" w:eastAsia="宋体"/>
                <w:color w:val="auto"/>
                <w:sz w:val="21"/>
                <w:szCs w:val="21"/>
                <w:lang w:eastAsia="zh-CN" w:bidi="ar-SA"/>
              </w:rPr>
              <w:t>3</w:t>
            </w:r>
            <w:r>
              <w:rPr>
                <w:rFonts w:hint="eastAsia" w:ascii="宋体" w:hAnsi="宋体" w:eastAsia="宋体"/>
                <w:color w:val="auto"/>
                <w:sz w:val="21"/>
                <w:szCs w:val="21"/>
                <w:lang w:eastAsia="zh-CN" w:bidi="ar-SA"/>
              </w:rPr>
              <w:t>）业绩要求：见第一章“招标公告”附录</w:t>
            </w:r>
            <w:r>
              <w:rPr>
                <w:rFonts w:ascii="宋体" w:hAnsi="宋体" w:eastAsia="宋体"/>
                <w:color w:val="auto"/>
                <w:sz w:val="21"/>
                <w:szCs w:val="21"/>
                <w:lang w:eastAsia="zh-CN" w:bidi="ar-SA"/>
              </w:rPr>
              <w:t>3</w:t>
            </w:r>
          </w:p>
          <w:p w14:paraId="770A6E3F">
            <w:pPr>
              <w:spacing w:line="276" w:lineRule="auto"/>
              <w:jc w:val="both"/>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w:t>
            </w:r>
            <w:r>
              <w:rPr>
                <w:rFonts w:ascii="宋体" w:hAnsi="宋体" w:eastAsia="宋体"/>
                <w:color w:val="auto"/>
                <w:sz w:val="21"/>
                <w:szCs w:val="21"/>
                <w:lang w:eastAsia="zh-CN" w:bidi="ar-SA"/>
              </w:rPr>
              <w:t>4</w:t>
            </w:r>
            <w:r>
              <w:rPr>
                <w:rFonts w:hint="eastAsia" w:ascii="宋体" w:hAnsi="宋体" w:eastAsia="宋体"/>
                <w:color w:val="auto"/>
                <w:sz w:val="21"/>
                <w:szCs w:val="21"/>
                <w:lang w:eastAsia="zh-CN" w:bidi="ar-SA"/>
              </w:rPr>
              <w:t>）信誉要求：见第一章“招标公告”附录</w:t>
            </w:r>
            <w:r>
              <w:rPr>
                <w:rFonts w:ascii="宋体" w:hAnsi="宋体" w:eastAsia="宋体"/>
                <w:color w:val="auto"/>
                <w:sz w:val="21"/>
                <w:szCs w:val="21"/>
                <w:lang w:eastAsia="zh-CN" w:bidi="ar-SA"/>
              </w:rPr>
              <w:t>4</w:t>
            </w:r>
          </w:p>
          <w:p w14:paraId="663451F5">
            <w:pPr>
              <w:spacing w:line="276" w:lineRule="auto"/>
              <w:jc w:val="both"/>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w:t>
            </w:r>
            <w:r>
              <w:rPr>
                <w:rFonts w:ascii="宋体" w:hAnsi="宋体" w:eastAsia="宋体"/>
                <w:color w:val="auto"/>
                <w:sz w:val="21"/>
                <w:szCs w:val="21"/>
                <w:lang w:eastAsia="zh-CN" w:bidi="ar-SA"/>
              </w:rPr>
              <w:t>5</w:t>
            </w:r>
            <w:r>
              <w:rPr>
                <w:rFonts w:hint="eastAsia" w:ascii="宋体" w:hAnsi="宋体" w:eastAsia="宋体"/>
                <w:color w:val="auto"/>
                <w:sz w:val="21"/>
                <w:szCs w:val="21"/>
                <w:lang w:eastAsia="zh-CN" w:bidi="ar-SA"/>
              </w:rPr>
              <w:t>）总监理工程师的资格要求：见第一章“招标公告”附录</w:t>
            </w:r>
            <w:r>
              <w:rPr>
                <w:rFonts w:ascii="宋体" w:hAnsi="宋体" w:eastAsia="宋体"/>
                <w:color w:val="auto"/>
                <w:sz w:val="21"/>
                <w:szCs w:val="21"/>
                <w:lang w:eastAsia="zh-CN" w:bidi="ar-SA"/>
              </w:rPr>
              <w:t>5</w:t>
            </w:r>
          </w:p>
          <w:p w14:paraId="00391394">
            <w:pPr>
              <w:spacing w:line="276" w:lineRule="auto"/>
              <w:jc w:val="both"/>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w:t>
            </w:r>
            <w:r>
              <w:rPr>
                <w:rFonts w:ascii="宋体" w:hAnsi="宋体" w:eastAsia="宋体"/>
                <w:color w:val="auto"/>
                <w:sz w:val="21"/>
                <w:szCs w:val="21"/>
                <w:lang w:eastAsia="zh-CN" w:bidi="ar-SA"/>
              </w:rPr>
              <w:t>6</w:t>
            </w:r>
            <w:r>
              <w:rPr>
                <w:rFonts w:hint="eastAsia" w:ascii="宋体" w:hAnsi="宋体" w:eastAsia="宋体"/>
                <w:color w:val="auto"/>
                <w:sz w:val="21"/>
                <w:szCs w:val="21"/>
                <w:lang w:eastAsia="zh-CN" w:bidi="ar-SA"/>
              </w:rPr>
              <w:t>）其他主要人员要求：见第一章“招标公告”附录</w:t>
            </w:r>
            <w:r>
              <w:rPr>
                <w:rFonts w:ascii="宋体" w:hAnsi="宋体" w:eastAsia="宋体"/>
                <w:color w:val="auto"/>
                <w:sz w:val="21"/>
                <w:szCs w:val="21"/>
                <w:lang w:eastAsia="zh-CN" w:bidi="ar-SA"/>
              </w:rPr>
              <w:t>6</w:t>
            </w:r>
          </w:p>
          <w:p w14:paraId="28B0B3A3">
            <w:pPr>
              <w:spacing w:line="276" w:lineRule="auto"/>
              <w:jc w:val="both"/>
              <w:rPr>
                <w:rFonts w:hint="eastAsia" w:ascii="宋体" w:hAnsi="宋体" w:eastAsia="宋体"/>
                <w:color w:val="auto"/>
                <w:sz w:val="21"/>
                <w:szCs w:val="21"/>
                <w:lang w:eastAsia="zh-CN" w:bidi="ar-SA"/>
              </w:rPr>
            </w:pPr>
          </w:p>
        </w:tc>
      </w:tr>
      <w:tr w14:paraId="679C7C8F">
        <w:tblPrEx>
          <w:tblCellMar>
            <w:top w:w="0" w:type="dxa"/>
            <w:left w:w="108" w:type="dxa"/>
            <w:bottom w:w="0" w:type="dxa"/>
            <w:right w:w="108" w:type="dxa"/>
          </w:tblCellMar>
        </w:tblPrEx>
        <w:trPr>
          <w:trHeight w:val="1131" w:hRule="exact"/>
          <w:jc w:val="center"/>
        </w:trPr>
        <w:tc>
          <w:tcPr>
            <w:tcW w:w="1048" w:type="dxa"/>
            <w:tcBorders>
              <w:top w:val="single" w:color="auto" w:sz="4" w:space="0"/>
              <w:left w:val="single" w:color="auto" w:sz="4" w:space="0"/>
              <w:bottom w:val="single" w:color="auto" w:sz="4" w:space="0"/>
              <w:right w:val="single" w:color="auto" w:sz="4" w:space="0"/>
            </w:tcBorders>
            <w:vAlign w:val="center"/>
          </w:tcPr>
          <w:p w14:paraId="7315DA01">
            <w:pPr>
              <w:jc w:val="center"/>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1.4.2</w:t>
            </w:r>
          </w:p>
        </w:tc>
        <w:tc>
          <w:tcPr>
            <w:tcW w:w="2835" w:type="dxa"/>
            <w:tcBorders>
              <w:top w:val="single" w:color="auto" w:sz="4" w:space="0"/>
              <w:left w:val="single" w:color="auto" w:sz="4" w:space="0"/>
              <w:bottom w:val="single" w:color="auto" w:sz="4" w:space="0"/>
              <w:right w:val="single" w:color="auto" w:sz="4" w:space="0"/>
            </w:tcBorders>
            <w:vAlign w:val="center"/>
          </w:tcPr>
          <w:p w14:paraId="28595439">
            <w:pPr>
              <w:jc w:val="center"/>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是否接受联合体投标</w:t>
            </w:r>
          </w:p>
        </w:tc>
        <w:tc>
          <w:tcPr>
            <w:tcW w:w="5355" w:type="dxa"/>
            <w:tcBorders>
              <w:top w:val="single" w:color="auto" w:sz="4" w:space="0"/>
              <w:left w:val="single" w:color="auto" w:sz="4" w:space="0"/>
              <w:bottom w:val="single" w:color="auto" w:sz="4" w:space="0"/>
              <w:right w:val="single" w:color="auto" w:sz="4" w:space="0"/>
            </w:tcBorders>
            <w:vAlign w:val="center"/>
          </w:tcPr>
          <w:p w14:paraId="0600CBED">
            <w:pPr>
              <w:jc w:val="both"/>
              <w:rPr>
                <w:rFonts w:hint="eastAsia" w:ascii="宋体" w:hAnsi="宋体" w:eastAsia="宋体"/>
                <w:color w:val="auto"/>
                <w:sz w:val="21"/>
                <w:szCs w:val="21"/>
                <w:lang w:eastAsia="zh-CN" w:bidi="ar-SA"/>
              </w:rPr>
            </w:pPr>
            <w:r>
              <w:rPr>
                <w:rFonts w:eastAsia="宋体"/>
                <w:color w:val="auto"/>
                <w:lang w:eastAsia="zh-CN" w:bidi="ar-SA"/>
              </w:rPr>
              <w:sym w:font="Wingdings 2" w:char="F052"/>
            </w:r>
            <w:r>
              <w:rPr>
                <w:rFonts w:hint="eastAsia" w:ascii="宋体" w:hAnsi="宋体" w:eastAsia="宋体"/>
                <w:color w:val="auto"/>
                <w:sz w:val="21"/>
                <w:szCs w:val="21"/>
                <w:lang w:eastAsia="zh-CN" w:bidi="ar-SA"/>
              </w:rPr>
              <w:t xml:space="preserve"> </w:t>
            </w:r>
            <w:r>
              <w:rPr>
                <w:rFonts w:ascii="宋体" w:hAnsi="宋体" w:eastAsia="宋体"/>
                <w:color w:val="auto"/>
                <w:sz w:val="21"/>
                <w:szCs w:val="21"/>
                <w:lang w:eastAsia="zh-CN" w:bidi="ar-SA"/>
              </w:rPr>
              <w:t>不接受</w:t>
            </w:r>
          </w:p>
          <w:p w14:paraId="679C05EE">
            <w:pPr>
              <w:rPr>
                <w:rFonts w:ascii="宋体" w:hAnsi="宋体"/>
                <w:color w:val="auto"/>
                <w:sz w:val="21"/>
                <w:szCs w:val="21"/>
                <w:lang w:eastAsia="zh-CN"/>
              </w:rPr>
            </w:pPr>
            <w:r>
              <w:rPr>
                <w:rFonts w:hint="eastAsia" w:ascii="宋体" w:hAnsi="宋体" w:eastAsia="宋体"/>
                <w:color w:val="auto"/>
                <w:sz w:val="21"/>
                <w:szCs w:val="21"/>
                <w:lang w:eastAsia="zh-CN" w:bidi="ar-SA"/>
              </w:rPr>
              <w:t>□</w:t>
            </w:r>
            <w:r>
              <w:rPr>
                <w:rFonts w:eastAsia="宋体"/>
                <w:color w:val="auto"/>
                <w:lang w:eastAsia="zh-CN" w:bidi="ar-SA"/>
              </w:rPr>
              <w:t xml:space="preserve">  </w:t>
            </w:r>
            <w:r>
              <w:rPr>
                <w:rFonts w:hint="eastAsia" w:ascii="宋体" w:hAnsi="宋体"/>
                <w:color w:val="auto"/>
                <w:sz w:val="21"/>
                <w:szCs w:val="21"/>
                <w:lang w:eastAsia="zh-CN"/>
              </w:rPr>
              <w:t>接受，应满足下列要求：</w:t>
            </w:r>
            <w:r>
              <w:rPr>
                <w:rFonts w:ascii="宋体" w:hAnsi="宋体"/>
                <w:color w:val="auto"/>
                <w:sz w:val="21"/>
                <w:szCs w:val="21"/>
                <w:lang w:eastAsia="zh-CN"/>
              </w:rPr>
              <w:t xml:space="preserve"> </w:t>
            </w:r>
          </w:p>
        </w:tc>
      </w:tr>
      <w:tr w14:paraId="5C72F7CB">
        <w:tblPrEx>
          <w:tblCellMar>
            <w:top w:w="0" w:type="dxa"/>
            <w:left w:w="108" w:type="dxa"/>
            <w:bottom w:w="0" w:type="dxa"/>
            <w:right w:w="108" w:type="dxa"/>
          </w:tblCellMar>
        </w:tblPrEx>
        <w:trPr>
          <w:trHeight w:val="1002" w:hRule="exact"/>
          <w:jc w:val="center"/>
        </w:trPr>
        <w:tc>
          <w:tcPr>
            <w:tcW w:w="1048" w:type="dxa"/>
            <w:tcBorders>
              <w:top w:val="single" w:color="auto" w:sz="4" w:space="0"/>
              <w:left w:val="single" w:color="auto" w:sz="4" w:space="0"/>
              <w:bottom w:val="single" w:color="auto" w:sz="4" w:space="0"/>
              <w:right w:val="single" w:color="auto" w:sz="4" w:space="0"/>
            </w:tcBorders>
            <w:vAlign w:val="center"/>
          </w:tcPr>
          <w:p w14:paraId="796378E0">
            <w:pPr>
              <w:jc w:val="cente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1.9.1</w:t>
            </w:r>
          </w:p>
        </w:tc>
        <w:tc>
          <w:tcPr>
            <w:tcW w:w="2835" w:type="dxa"/>
            <w:tcBorders>
              <w:top w:val="single" w:color="auto" w:sz="4" w:space="0"/>
              <w:left w:val="single" w:color="auto" w:sz="4" w:space="0"/>
              <w:bottom w:val="single" w:color="auto" w:sz="4" w:space="0"/>
              <w:right w:val="single" w:color="auto" w:sz="4" w:space="0"/>
            </w:tcBorders>
            <w:vAlign w:val="center"/>
          </w:tcPr>
          <w:p w14:paraId="78211E09">
            <w:pPr>
              <w:jc w:val="center"/>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踏勘现场</w:t>
            </w:r>
          </w:p>
        </w:tc>
        <w:tc>
          <w:tcPr>
            <w:tcW w:w="5355" w:type="dxa"/>
            <w:tcBorders>
              <w:top w:val="single" w:color="auto" w:sz="4" w:space="0"/>
              <w:left w:val="single" w:color="auto" w:sz="4" w:space="0"/>
              <w:bottom w:val="single" w:color="auto" w:sz="4" w:space="0"/>
              <w:right w:val="single" w:color="auto" w:sz="4" w:space="0"/>
            </w:tcBorders>
            <w:vAlign w:val="center"/>
          </w:tcPr>
          <w:p w14:paraId="298A386E">
            <w:pPr>
              <w:jc w:val="both"/>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sym w:font="Wingdings 2" w:char="F052"/>
            </w:r>
            <w:r>
              <w:rPr>
                <w:rFonts w:hint="eastAsia" w:ascii="宋体" w:hAnsi="宋体" w:eastAsia="宋体"/>
                <w:color w:val="auto"/>
                <w:sz w:val="21"/>
                <w:szCs w:val="21"/>
                <w:lang w:eastAsia="zh-CN" w:bidi="ar-SA"/>
              </w:rPr>
              <w:t>不组织，投标人自行现场考察</w:t>
            </w:r>
          </w:p>
          <w:p w14:paraId="36A3A2DC">
            <w:pPr>
              <w:jc w:val="both"/>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□组织，踏勘时间：</w:t>
            </w:r>
            <w:r>
              <w:rPr>
                <w:rFonts w:hint="eastAsia" w:ascii="宋体" w:hAnsi="宋体" w:eastAsia="宋体"/>
                <w:color w:val="auto"/>
                <w:sz w:val="21"/>
                <w:szCs w:val="21"/>
                <w:u w:val="single"/>
                <w:lang w:eastAsia="zh-CN" w:bidi="ar-SA"/>
              </w:rPr>
              <w:t xml:space="preserve"> </w:t>
            </w:r>
            <w:r>
              <w:rPr>
                <w:rFonts w:ascii="宋体" w:hAnsi="宋体" w:eastAsia="宋体"/>
                <w:color w:val="auto"/>
                <w:sz w:val="21"/>
                <w:szCs w:val="21"/>
                <w:u w:val="single"/>
                <w:lang w:eastAsia="zh-CN" w:bidi="ar-SA"/>
              </w:rPr>
              <w:t xml:space="preserve"> </w:t>
            </w:r>
            <w:r>
              <w:rPr>
                <w:rFonts w:hint="eastAsia" w:ascii="宋体" w:hAnsi="宋体" w:eastAsia="宋体"/>
                <w:color w:val="auto"/>
                <w:sz w:val="21"/>
                <w:szCs w:val="21"/>
                <w:lang w:eastAsia="zh-CN" w:bidi="ar-SA"/>
              </w:rPr>
              <w:t>年</w:t>
            </w:r>
            <w:r>
              <w:rPr>
                <w:rFonts w:ascii="宋体" w:hAnsi="宋体" w:eastAsia="宋体"/>
                <w:color w:val="auto"/>
                <w:sz w:val="21"/>
                <w:szCs w:val="21"/>
                <w:u w:val="single"/>
                <w:lang w:eastAsia="zh-CN" w:bidi="ar-SA"/>
              </w:rPr>
              <w:t xml:space="preserve">  </w:t>
            </w:r>
            <w:r>
              <w:rPr>
                <w:rFonts w:hint="eastAsia" w:ascii="宋体" w:hAnsi="宋体" w:eastAsia="宋体"/>
                <w:color w:val="auto"/>
                <w:sz w:val="21"/>
                <w:szCs w:val="21"/>
                <w:lang w:eastAsia="zh-CN" w:bidi="ar-SA"/>
              </w:rPr>
              <w:t>月</w:t>
            </w:r>
            <w:r>
              <w:rPr>
                <w:rFonts w:hint="eastAsia" w:ascii="宋体" w:hAnsi="宋体" w:eastAsia="宋体"/>
                <w:color w:val="auto"/>
                <w:sz w:val="21"/>
                <w:szCs w:val="21"/>
                <w:u w:val="single"/>
                <w:lang w:eastAsia="zh-CN" w:bidi="ar-SA"/>
              </w:rPr>
              <w:t xml:space="preserve"> </w:t>
            </w:r>
            <w:r>
              <w:rPr>
                <w:rFonts w:ascii="宋体" w:hAnsi="宋体" w:eastAsia="宋体"/>
                <w:color w:val="auto"/>
                <w:sz w:val="21"/>
                <w:szCs w:val="21"/>
                <w:u w:val="single"/>
                <w:lang w:eastAsia="zh-CN" w:bidi="ar-SA"/>
              </w:rPr>
              <w:t xml:space="preserve"> </w:t>
            </w:r>
            <w:r>
              <w:rPr>
                <w:rFonts w:hint="eastAsia" w:ascii="宋体" w:hAnsi="宋体" w:eastAsia="宋体"/>
                <w:color w:val="auto"/>
                <w:sz w:val="21"/>
                <w:szCs w:val="21"/>
                <w:lang w:eastAsia="zh-CN" w:bidi="ar-SA"/>
              </w:rPr>
              <w:t>日</w:t>
            </w:r>
            <w:r>
              <w:rPr>
                <w:rFonts w:hint="eastAsia" w:ascii="宋体" w:hAnsi="宋体" w:eastAsia="宋体"/>
                <w:color w:val="auto"/>
                <w:sz w:val="21"/>
                <w:szCs w:val="21"/>
                <w:u w:val="single"/>
                <w:lang w:eastAsia="zh-CN" w:bidi="ar-SA"/>
              </w:rPr>
              <w:t xml:space="preserve"> </w:t>
            </w:r>
            <w:r>
              <w:rPr>
                <w:rFonts w:ascii="宋体" w:hAnsi="宋体" w:eastAsia="宋体"/>
                <w:color w:val="auto"/>
                <w:sz w:val="21"/>
                <w:szCs w:val="21"/>
                <w:u w:val="single"/>
                <w:lang w:eastAsia="zh-CN" w:bidi="ar-SA"/>
              </w:rPr>
              <w:t xml:space="preserve"> </w:t>
            </w:r>
            <w:r>
              <w:rPr>
                <w:rFonts w:hint="eastAsia" w:ascii="宋体" w:hAnsi="宋体" w:eastAsia="宋体"/>
                <w:color w:val="auto"/>
                <w:sz w:val="21"/>
                <w:szCs w:val="21"/>
                <w:lang w:eastAsia="zh-CN" w:bidi="ar-SA"/>
              </w:rPr>
              <w:t>时</w:t>
            </w:r>
            <w:r>
              <w:rPr>
                <w:rFonts w:hint="eastAsia" w:ascii="宋体" w:hAnsi="宋体" w:eastAsia="宋体"/>
                <w:color w:val="auto"/>
                <w:sz w:val="21"/>
                <w:szCs w:val="21"/>
                <w:u w:val="single"/>
                <w:lang w:eastAsia="zh-CN" w:bidi="ar-SA"/>
              </w:rPr>
              <w:t xml:space="preserve"> </w:t>
            </w:r>
            <w:r>
              <w:rPr>
                <w:rFonts w:ascii="宋体" w:hAnsi="宋体" w:eastAsia="宋体"/>
                <w:color w:val="auto"/>
                <w:sz w:val="21"/>
                <w:szCs w:val="21"/>
                <w:u w:val="single"/>
                <w:lang w:eastAsia="zh-CN" w:bidi="ar-SA"/>
              </w:rPr>
              <w:t xml:space="preserve"> </w:t>
            </w:r>
            <w:r>
              <w:rPr>
                <w:rFonts w:hint="eastAsia" w:ascii="宋体" w:hAnsi="宋体" w:eastAsia="宋体"/>
                <w:color w:val="auto"/>
                <w:sz w:val="21"/>
                <w:szCs w:val="21"/>
                <w:lang w:eastAsia="zh-CN" w:bidi="ar-SA"/>
              </w:rPr>
              <w:t>分</w:t>
            </w:r>
          </w:p>
          <w:p w14:paraId="3EABB607">
            <w:pPr>
              <w:jc w:val="both"/>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 xml:space="preserve"> </w:t>
            </w:r>
            <w:r>
              <w:rPr>
                <w:rFonts w:ascii="宋体" w:hAnsi="宋体" w:eastAsia="宋体"/>
                <w:color w:val="auto"/>
                <w:sz w:val="21"/>
                <w:szCs w:val="21"/>
                <w:lang w:eastAsia="zh-CN" w:bidi="ar-SA"/>
              </w:rPr>
              <w:t xml:space="preserve">       </w:t>
            </w:r>
            <w:r>
              <w:rPr>
                <w:rFonts w:hint="eastAsia" w:ascii="宋体" w:hAnsi="宋体" w:eastAsia="宋体"/>
                <w:color w:val="auto"/>
                <w:sz w:val="21"/>
                <w:szCs w:val="21"/>
                <w:lang w:eastAsia="zh-CN" w:bidi="ar-SA"/>
              </w:rPr>
              <w:t>踏勘集中地点：</w:t>
            </w:r>
            <w:r>
              <w:rPr>
                <w:rFonts w:hint="eastAsia" w:ascii="宋体" w:hAnsi="宋体" w:eastAsia="宋体"/>
                <w:color w:val="auto"/>
                <w:sz w:val="21"/>
                <w:szCs w:val="21"/>
                <w:u w:val="single"/>
                <w:lang w:eastAsia="zh-CN" w:bidi="ar-SA"/>
              </w:rPr>
              <w:t xml:space="preserve"> </w:t>
            </w:r>
            <w:r>
              <w:rPr>
                <w:rFonts w:ascii="宋体" w:hAnsi="宋体" w:eastAsia="宋体"/>
                <w:color w:val="auto"/>
                <w:sz w:val="21"/>
                <w:szCs w:val="21"/>
                <w:u w:val="single"/>
                <w:lang w:eastAsia="zh-CN" w:bidi="ar-SA"/>
              </w:rPr>
              <w:t xml:space="preserve">         </w:t>
            </w:r>
            <w:r>
              <w:rPr>
                <w:rFonts w:hint="eastAsia" w:ascii="宋体" w:hAnsi="宋体" w:eastAsia="宋体"/>
                <w:color w:val="auto"/>
                <w:sz w:val="21"/>
                <w:szCs w:val="21"/>
                <w:lang w:eastAsia="zh-CN" w:bidi="ar-SA"/>
              </w:rPr>
              <w:t>（详细地址）</w:t>
            </w:r>
          </w:p>
        </w:tc>
      </w:tr>
      <w:tr w14:paraId="3FE9FC04">
        <w:tblPrEx>
          <w:tblCellMar>
            <w:top w:w="0" w:type="dxa"/>
            <w:left w:w="108" w:type="dxa"/>
            <w:bottom w:w="0" w:type="dxa"/>
            <w:right w:w="108" w:type="dxa"/>
          </w:tblCellMar>
        </w:tblPrEx>
        <w:trPr>
          <w:trHeight w:val="987" w:hRule="exact"/>
          <w:jc w:val="center"/>
        </w:trPr>
        <w:tc>
          <w:tcPr>
            <w:tcW w:w="1048" w:type="dxa"/>
            <w:tcBorders>
              <w:top w:val="single" w:color="auto" w:sz="4" w:space="0"/>
              <w:left w:val="single" w:color="auto" w:sz="4" w:space="0"/>
              <w:bottom w:val="single" w:color="auto" w:sz="4" w:space="0"/>
              <w:right w:val="single" w:color="auto" w:sz="4" w:space="0"/>
            </w:tcBorders>
            <w:vAlign w:val="center"/>
          </w:tcPr>
          <w:p w14:paraId="41990B00">
            <w:pPr>
              <w:jc w:val="cente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1.10.1</w:t>
            </w:r>
          </w:p>
        </w:tc>
        <w:tc>
          <w:tcPr>
            <w:tcW w:w="2835" w:type="dxa"/>
            <w:tcBorders>
              <w:top w:val="single" w:color="auto" w:sz="4" w:space="0"/>
              <w:left w:val="single" w:color="auto" w:sz="4" w:space="0"/>
              <w:bottom w:val="single" w:color="auto" w:sz="4" w:space="0"/>
              <w:right w:val="single" w:color="auto" w:sz="4" w:space="0"/>
            </w:tcBorders>
            <w:vAlign w:val="center"/>
          </w:tcPr>
          <w:p w14:paraId="2747DA31">
            <w:pPr>
              <w:jc w:val="center"/>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投标预备会</w:t>
            </w:r>
          </w:p>
        </w:tc>
        <w:tc>
          <w:tcPr>
            <w:tcW w:w="5355" w:type="dxa"/>
            <w:tcBorders>
              <w:top w:val="single" w:color="auto" w:sz="4" w:space="0"/>
              <w:left w:val="single" w:color="auto" w:sz="4" w:space="0"/>
              <w:bottom w:val="single" w:color="auto" w:sz="4" w:space="0"/>
              <w:right w:val="single" w:color="auto" w:sz="4" w:space="0"/>
            </w:tcBorders>
            <w:vAlign w:val="center"/>
          </w:tcPr>
          <w:p w14:paraId="0A8A3F74">
            <w:pPr>
              <w:jc w:val="both"/>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sym w:font="Wingdings 2" w:char="F052"/>
            </w:r>
            <w:r>
              <w:rPr>
                <w:rFonts w:hint="eastAsia" w:ascii="宋体" w:hAnsi="宋体" w:eastAsia="宋体"/>
                <w:color w:val="auto"/>
                <w:sz w:val="21"/>
                <w:szCs w:val="21"/>
                <w:lang w:eastAsia="zh-CN" w:bidi="ar-SA"/>
              </w:rPr>
              <w:t>不召开</w:t>
            </w:r>
          </w:p>
          <w:p w14:paraId="74B0FAB6">
            <w:pPr>
              <w:jc w:val="both"/>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□召开，召开时间：</w:t>
            </w:r>
            <w:r>
              <w:rPr>
                <w:rFonts w:hint="eastAsia" w:ascii="宋体" w:hAnsi="宋体" w:eastAsia="宋体"/>
                <w:color w:val="auto"/>
                <w:sz w:val="21"/>
                <w:szCs w:val="21"/>
                <w:u w:val="single"/>
                <w:lang w:eastAsia="zh-CN" w:bidi="ar-SA"/>
              </w:rPr>
              <w:t xml:space="preserve"> </w:t>
            </w:r>
            <w:r>
              <w:rPr>
                <w:rFonts w:ascii="宋体" w:hAnsi="宋体" w:eastAsia="宋体"/>
                <w:color w:val="auto"/>
                <w:sz w:val="21"/>
                <w:szCs w:val="21"/>
                <w:u w:val="single"/>
                <w:lang w:eastAsia="zh-CN" w:bidi="ar-SA"/>
              </w:rPr>
              <w:t xml:space="preserve"> </w:t>
            </w:r>
            <w:r>
              <w:rPr>
                <w:rFonts w:hint="eastAsia" w:ascii="宋体" w:hAnsi="宋体" w:eastAsia="宋体"/>
                <w:color w:val="auto"/>
                <w:sz w:val="21"/>
                <w:szCs w:val="21"/>
                <w:lang w:eastAsia="zh-CN" w:bidi="ar-SA"/>
              </w:rPr>
              <w:t>年</w:t>
            </w:r>
            <w:r>
              <w:rPr>
                <w:rFonts w:ascii="宋体" w:hAnsi="宋体" w:eastAsia="宋体"/>
                <w:color w:val="auto"/>
                <w:sz w:val="21"/>
                <w:szCs w:val="21"/>
                <w:u w:val="single"/>
                <w:lang w:eastAsia="zh-CN" w:bidi="ar-SA"/>
              </w:rPr>
              <w:t xml:space="preserve">  </w:t>
            </w:r>
            <w:r>
              <w:rPr>
                <w:rFonts w:hint="eastAsia" w:ascii="宋体" w:hAnsi="宋体" w:eastAsia="宋体"/>
                <w:color w:val="auto"/>
                <w:sz w:val="21"/>
                <w:szCs w:val="21"/>
                <w:lang w:eastAsia="zh-CN" w:bidi="ar-SA"/>
              </w:rPr>
              <w:t>月</w:t>
            </w:r>
            <w:r>
              <w:rPr>
                <w:rFonts w:hint="eastAsia" w:ascii="宋体" w:hAnsi="宋体" w:eastAsia="宋体"/>
                <w:color w:val="auto"/>
                <w:sz w:val="21"/>
                <w:szCs w:val="21"/>
                <w:u w:val="single"/>
                <w:lang w:eastAsia="zh-CN" w:bidi="ar-SA"/>
              </w:rPr>
              <w:t xml:space="preserve"> </w:t>
            </w:r>
            <w:r>
              <w:rPr>
                <w:rFonts w:ascii="宋体" w:hAnsi="宋体" w:eastAsia="宋体"/>
                <w:color w:val="auto"/>
                <w:sz w:val="21"/>
                <w:szCs w:val="21"/>
                <w:u w:val="single"/>
                <w:lang w:eastAsia="zh-CN" w:bidi="ar-SA"/>
              </w:rPr>
              <w:t xml:space="preserve"> </w:t>
            </w:r>
            <w:r>
              <w:rPr>
                <w:rFonts w:hint="eastAsia" w:ascii="宋体" w:hAnsi="宋体" w:eastAsia="宋体"/>
                <w:color w:val="auto"/>
                <w:sz w:val="21"/>
                <w:szCs w:val="21"/>
                <w:lang w:eastAsia="zh-CN" w:bidi="ar-SA"/>
              </w:rPr>
              <w:t>日</w:t>
            </w:r>
            <w:r>
              <w:rPr>
                <w:rFonts w:hint="eastAsia" w:ascii="宋体" w:hAnsi="宋体" w:eastAsia="宋体"/>
                <w:color w:val="auto"/>
                <w:sz w:val="21"/>
                <w:szCs w:val="21"/>
                <w:u w:val="single"/>
                <w:lang w:eastAsia="zh-CN" w:bidi="ar-SA"/>
              </w:rPr>
              <w:t xml:space="preserve"> </w:t>
            </w:r>
            <w:r>
              <w:rPr>
                <w:rFonts w:ascii="宋体" w:hAnsi="宋体" w:eastAsia="宋体"/>
                <w:color w:val="auto"/>
                <w:sz w:val="21"/>
                <w:szCs w:val="21"/>
                <w:u w:val="single"/>
                <w:lang w:eastAsia="zh-CN" w:bidi="ar-SA"/>
              </w:rPr>
              <w:t xml:space="preserve"> </w:t>
            </w:r>
            <w:r>
              <w:rPr>
                <w:rFonts w:hint="eastAsia" w:ascii="宋体" w:hAnsi="宋体" w:eastAsia="宋体"/>
                <w:color w:val="auto"/>
                <w:sz w:val="21"/>
                <w:szCs w:val="21"/>
                <w:lang w:eastAsia="zh-CN" w:bidi="ar-SA"/>
              </w:rPr>
              <w:t>时</w:t>
            </w:r>
            <w:r>
              <w:rPr>
                <w:rFonts w:hint="eastAsia" w:ascii="宋体" w:hAnsi="宋体" w:eastAsia="宋体"/>
                <w:color w:val="auto"/>
                <w:sz w:val="21"/>
                <w:szCs w:val="21"/>
                <w:u w:val="single"/>
                <w:lang w:eastAsia="zh-CN" w:bidi="ar-SA"/>
              </w:rPr>
              <w:t xml:space="preserve"> </w:t>
            </w:r>
            <w:r>
              <w:rPr>
                <w:rFonts w:ascii="宋体" w:hAnsi="宋体" w:eastAsia="宋体"/>
                <w:color w:val="auto"/>
                <w:sz w:val="21"/>
                <w:szCs w:val="21"/>
                <w:u w:val="single"/>
                <w:lang w:eastAsia="zh-CN" w:bidi="ar-SA"/>
              </w:rPr>
              <w:t xml:space="preserve"> </w:t>
            </w:r>
            <w:r>
              <w:rPr>
                <w:rFonts w:hint="eastAsia" w:ascii="宋体" w:hAnsi="宋体" w:eastAsia="宋体"/>
                <w:color w:val="auto"/>
                <w:sz w:val="21"/>
                <w:szCs w:val="21"/>
                <w:lang w:eastAsia="zh-CN" w:bidi="ar-SA"/>
              </w:rPr>
              <w:t>分</w:t>
            </w:r>
          </w:p>
          <w:p w14:paraId="448F1373">
            <w:pPr>
              <w:jc w:val="both"/>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 xml:space="preserve"> </w:t>
            </w:r>
            <w:r>
              <w:rPr>
                <w:rFonts w:ascii="宋体" w:hAnsi="宋体" w:eastAsia="宋体"/>
                <w:color w:val="auto"/>
                <w:sz w:val="21"/>
                <w:szCs w:val="21"/>
                <w:lang w:eastAsia="zh-CN" w:bidi="ar-SA"/>
              </w:rPr>
              <w:t xml:space="preserve">       </w:t>
            </w:r>
            <w:r>
              <w:rPr>
                <w:rFonts w:hint="eastAsia" w:ascii="宋体" w:hAnsi="宋体" w:eastAsia="宋体"/>
                <w:color w:val="auto"/>
                <w:sz w:val="21"/>
                <w:szCs w:val="21"/>
                <w:lang w:eastAsia="zh-CN" w:bidi="ar-SA"/>
              </w:rPr>
              <w:t>地点：</w:t>
            </w:r>
            <w:r>
              <w:rPr>
                <w:rFonts w:hint="eastAsia" w:ascii="宋体" w:hAnsi="宋体" w:eastAsia="宋体"/>
                <w:color w:val="auto"/>
                <w:sz w:val="21"/>
                <w:szCs w:val="21"/>
                <w:u w:val="single"/>
                <w:lang w:eastAsia="zh-CN" w:bidi="ar-SA"/>
              </w:rPr>
              <w:t xml:space="preserve"> </w:t>
            </w:r>
            <w:r>
              <w:rPr>
                <w:rFonts w:ascii="宋体" w:hAnsi="宋体" w:eastAsia="宋体"/>
                <w:color w:val="auto"/>
                <w:sz w:val="21"/>
                <w:szCs w:val="21"/>
                <w:u w:val="single"/>
                <w:lang w:eastAsia="zh-CN" w:bidi="ar-SA"/>
              </w:rPr>
              <w:t xml:space="preserve">         </w:t>
            </w:r>
            <w:r>
              <w:rPr>
                <w:rFonts w:hint="eastAsia" w:ascii="宋体" w:hAnsi="宋体" w:eastAsia="宋体"/>
                <w:color w:val="auto"/>
                <w:sz w:val="21"/>
                <w:szCs w:val="21"/>
                <w:lang w:eastAsia="zh-CN" w:bidi="ar-SA"/>
              </w:rPr>
              <w:t>（详细地址）</w:t>
            </w:r>
          </w:p>
        </w:tc>
      </w:tr>
      <w:tr w14:paraId="70B862BC">
        <w:tblPrEx>
          <w:tblCellMar>
            <w:top w:w="0" w:type="dxa"/>
            <w:left w:w="108" w:type="dxa"/>
            <w:bottom w:w="0" w:type="dxa"/>
            <w:right w:w="108" w:type="dxa"/>
          </w:tblCellMar>
        </w:tblPrEx>
        <w:trPr>
          <w:trHeight w:val="704" w:hRule="exact"/>
          <w:jc w:val="center"/>
        </w:trPr>
        <w:tc>
          <w:tcPr>
            <w:tcW w:w="1048" w:type="dxa"/>
            <w:tcBorders>
              <w:top w:val="single" w:color="auto" w:sz="4" w:space="0"/>
              <w:left w:val="single" w:color="auto" w:sz="4" w:space="0"/>
              <w:bottom w:val="single" w:color="auto" w:sz="4" w:space="0"/>
              <w:right w:val="single" w:color="auto" w:sz="4" w:space="0"/>
            </w:tcBorders>
            <w:vAlign w:val="center"/>
          </w:tcPr>
          <w:p w14:paraId="0E760C1C">
            <w:pPr>
              <w:jc w:val="center"/>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1.10.2</w:t>
            </w:r>
          </w:p>
        </w:tc>
        <w:tc>
          <w:tcPr>
            <w:tcW w:w="2835" w:type="dxa"/>
            <w:tcBorders>
              <w:top w:val="single" w:color="auto" w:sz="4" w:space="0"/>
              <w:left w:val="single" w:color="auto" w:sz="4" w:space="0"/>
              <w:bottom w:val="single" w:color="auto" w:sz="4" w:space="0"/>
              <w:right w:val="single" w:color="auto" w:sz="4" w:space="0"/>
            </w:tcBorders>
            <w:vAlign w:val="center"/>
          </w:tcPr>
          <w:p w14:paraId="61BB3BCD">
            <w:pPr>
              <w:jc w:val="cente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投标预备会前</w:t>
            </w:r>
            <w:r>
              <w:rPr>
                <w:rFonts w:ascii="宋体" w:hAnsi="宋体" w:eastAsia="宋体"/>
                <w:color w:val="auto"/>
                <w:sz w:val="21"/>
                <w:szCs w:val="21"/>
                <w:lang w:eastAsia="zh-CN" w:bidi="ar-SA"/>
              </w:rPr>
              <w:t>投标人提出问题</w:t>
            </w:r>
            <w:r>
              <w:rPr>
                <w:rFonts w:hint="eastAsia" w:ascii="宋体" w:hAnsi="宋体" w:eastAsia="宋体"/>
                <w:color w:val="auto"/>
                <w:sz w:val="21"/>
                <w:szCs w:val="21"/>
                <w:lang w:eastAsia="zh-CN" w:bidi="ar-SA"/>
              </w:rPr>
              <w:t>的截止时间</w:t>
            </w:r>
          </w:p>
        </w:tc>
        <w:tc>
          <w:tcPr>
            <w:tcW w:w="5355" w:type="dxa"/>
            <w:tcBorders>
              <w:top w:val="single" w:color="auto" w:sz="4" w:space="0"/>
              <w:left w:val="single" w:color="auto" w:sz="4" w:space="0"/>
              <w:bottom w:val="single" w:color="auto" w:sz="4" w:space="0"/>
              <w:right w:val="single" w:color="auto" w:sz="4" w:space="0"/>
            </w:tcBorders>
            <w:vAlign w:val="center"/>
          </w:tcPr>
          <w:p w14:paraId="66F21910">
            <w:pPr>
              <w:jc w:val="both"/>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不适用</w:t>
            </w:r>
          </w:p>
        </w:tc>
      </w:tr>
      <w:tr w14:paraId="1BEE7910">
        <w:tblPrEx>
          <w:tblCellMar>
            <w:top w:w="0" w:type="dxa"/>
            <w:left w:w="108" w:type="dxa"/>
            <w:bottom w:w="0" w:type="dxa"/>
            <w:right w:w="108" w:type="dxa"/>
          </w:tblCellMar>
        </w:tblPrEx>
        <w:trPr>
          <w:trHeight w:val="575" w:hRule="exact"/>
          <w:jc w:val="center"/>
        </w:trPr>
        <w:tc>
          <w:tcPr>
            <w:tcW w:w="1048" w:type="dxa"/>
            <w:tcBorders>
              <w:top w:val="single" w:color="auto" w:sz="4" w:space="0"/>
              <w:left w:val="single" w:color="auto" w:sz="4" w:space="0"/>
              <w:bottom w:val="single" w:color="auto" w:sz="4" w:space="0"/>
              <w:right w:val="single" w:color="auto" w:sz="4" w:space="0"/>
            </w:tcBorders>
            <w:vAlign w:val="center"/>
          </w:tcPr>
          <w:p w14:paraId="6CB0C406">
            <w:pPr>
              <w:jc w:val="cente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1.</w:t>
            </w:r>
            <w:r>
              <w:rPr>
                <w:rFonts w:ascii="宋体" w:hAnsi="宋体" w:eastAsia="宋体"/>
                <w:color w:val="auto"/>
                <w:sz w:val="21"/>
                <w:szCs w:val="21"/>
                <w:lang w:eastAsia="zh-CN" w:bidi="ar-SA"/>
              </w:rPr>
              <w:t>12.1</w:t>
            </w:r>
          </w:p>
        </w:tc>
        <w:tc>
          <w:tcPr>
            <w:tcW w:w="2835" w:type="dxa"/>
            <w:tcBorders>
              <w:top w:val="single" w:color="auto" w:sz="4" w:space="0"/>
              <w:left w:val="single" w:color="auto" w:sz="4" w:space="0"/>
              <w:bottom w:val="single" w:color="auto" w:sz="4" w:space="0"/>
              <w:right w:val="single" w:color="auto" w:sz="4" w:space="0"/>
            </w:tcBorders>
            <w:vAlign w:val="center"/>
          </w:tcPr>
          <w:p w14:paraId="545D1297">
            <w:pPr>
              <w:jc w:val="cente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实质性要求和条件</w:t>
            </w:r>
          </w:p>
        </w:tc>
        <w:tc>
          <w:tcPr>
            <w:tcW w:w="5355" w:type="dxa"/>
            <w:tcBorders>
              <w:top w:val="single" w:color="auto" w:sz="4" w:space="0"/>
              <w:left w:val="single" w:color="auto" w:sz="4" w:space="0"/>
              <w:bottom w:val="single" w:color="auto" w:sz="4" w:space="0"/>
              <w:right w:val="single" w:color="auto" w:sz="4" w:space="0"/>
            </w:tcBorders>
            <w:vAlign w:val="center"/>
          </w:tcPr>
          <w:p w14:paraId="119F00CD">
            <w:pPr>
              <w:rPr>
                <w:rFonts w:hint="eastAsia" w:ascii="宋体" w:hAnsi="宋体" w:eastAsia="宋体"/>
                <w:color w:val="auto"/>
                <w:sz w:val="21"/>
                <w:szCs w:val="21"/>
                <w:lang w:eastAsia="zh-CN" w:bidi="ar-SA"/>
              </w:rPr>
            </w:pPr>
            <w:r>
              <w:rPr>
                <w:rFonts w:hint="eastAsia" w:ascii="宋体" w:hAnsi="宋体" w:eastAsia="宋体"/>
                <w:bCs/>
                <w:color w:val="auto"/>
                <w:kern w:val="2"/>
                <w:sz w:val="21"/>
                <w:szCs w:val="21"/>
                <w:lang w:eastAsia="zh-CN" w:bidi="ar-SA"/>
              </w:rPr>
              <w:t>详见招标文件</w:t>
            </w:r>
            <w:r>
              <w:rPr>
                <w:rFonts w:ascii="宋体" w:hAnsi="宋体" w:eastAsia="宋体"/>
                <w:bCs/>
                <w:color w:val="auto"/>
                <w:kern w:val="2"/>
                <w:sz w:val="21"/>
                <w:szCs w:val="21"/>
                <w:lang w:eastAsia="zh-CN" w:bidi="ar-SA"/>
              </w:rPr>
              <w:t xml:space="preserve"> </w:t>
            </w:r>
            <w:r>
              <w:rPr>
                <w:rFonts w:hint="eastAsia" w:ascii="宋体" w:hAnsi="宋体" w:eastAsia="宋体"/>
                <w:bCs/>
                <w:color w:val="auto"/>
                <w:kern w:val="2"/>
                <w:sz w:val="21"/>
                <w:szCs w:val="21"/>
                <w:lang w:eastAsia="zh-CN" w:bidi="ar-SA"/>
              </w:rPr>
              <w:t>第三章</w:t>
            </w:r>
            <w:r>
              <w:rPr>
                <w:rFonts w:ascii="宋体" w:hAnsi="宋体" w:eastAsia="宋体"/>
                <w:bCs/>
                <w:color w:val="auto"/>
                <w:kern w:val="2"/>
                <w:sz w:val="21"/>
                <w:szCs w:val="21"/>
                <w:lang w:eastAsia="zh-CN" w:bidi="ar-SA"/>
              </w:rPr>
              <w:t xml:space="preserve"> </w:t>
            </w:r>
            <w:r>
              <w:rPr>
                <w:rFonts w:hint="eastAsia" w:ascii="宋体" w:hAnsi="宋体" w:eastAsia="宋体"/>
                <w:bCs/>
                <w:color w:val="auto"/>
                <w:kern w:val="2"/>
                <w:sz w:val="21"/>
                <w:szCs w:val="21"/>
                <w:lang w:eastAsia="zh-CN" w:bidi="ar-SA"/>
              </w:rPr>
              <w:t>评标办法第</w:t>
            </w:r>
            <w:r>
              <w:rPr>
                <w:rFonts w:ascii="宋体" w:hAnsi="宋体" w:eastAsia="宋体"/>
                <w:bCs/>
                <w:color w:val="auto"/>
                <w:kern w:val="2"/>
                <w:sz w:val="21"/>
                <w:szCs w:val="21"/>
                <w:lang w:eastAsia="zh-CN" w:bidi="ar-SA"/>
              </w:rPr>
              <w:t>2.1</w:t>
            </w:r>
            <w:r>
              <w:rPr>
                <w:rFonts w:hint="eastAsia" w:ascii="宋体" w:hAnsi="宋体" w:eastAsia="宋体"/>
                <w:bCs/>
                <w:color w:val="auto"/>
                <w:kern w:val="2"/>
                <w:sz w:val="21"/>
                <w:szCs w:val="21"/>
                <w:lang w:eastAsia="zh-CN" w:bidi="ar-SA"/>
              </w:rPr>
              <w:t>款要求</w:t>
            </w:r>
          </w:p>
        </w:tc>
      </w:tr>
      <w:tr w14:paraId="6070F577">
        <w:tblPrEx>
          <w:tblCellMar>
            <w:top w:w="0" w:type="dxa"/>
            <w:left w:w="108" w:type="dxa"/>
            <w:bottom w:w="0" w:type="dxa"/>
            <w:right w:w="108" w:type="dxa"/>
          </w:tblCellMar>
        </w:tblPrEx>
        <w:trPr>
          <w:trHeight w:val="1401" w:hRule="exact"/>
          <w:jc w:val="center"/>
        </w:trPr>
        <w:tc>
          <w:tcPr>
            <w:tcW w:w="1048" w:type="dxa"/>
            <w:tcBorders>
              <w:top w:val="single" w:color="auto" w:sz="4" w:space="0"/>
              <w:left w:val="single" w:color="auto" w:sz="4" w:space="0"/>
              <w:bottom w:val="single" w:color="auto" w:sz="4" w:space="0"/>
              <w:right w:val="single" w:color="auto" w:sz="4" w:space="0"/>
            </w:tcBorders>
            <w:vAlign w:val="center"/>
          </w:tcPr>
          <w:p w14:paraId="26A72452">
            <w:pPr>
              <w:jc w:val="cente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1.12</w:t>
            </w:r>
            <w:r>
              <w:rPr>
                <w:rFonts w:ascii="宋体" w:hAnsi="宋体" w:eastAsia="宋体"/>
                <w:color w:val="auto"/>
                <w:sz w:val="21"/>
                <w:szCs w:val="21"/>
                <w:lang w:eastAsia="zh-CN" w:bidi="ar-SA"/>
              </w:rPr>
              <w:t>.3</w:t>
            </w:r>
          </w:p>
        </w:tc>
        <w:tc>
          <w:tcPr>
            <w:tcW w:w="2835" w:type="dxa"/>
            <w:tcBorders>
              <w:top w:val="single" w:color="auto" w:sz="4" w:space="0"/>
              <w:left w:val="single" w:color="auto" w:sz="4" w:space="0"/>
              <w:bottom w:val="single" w:color="auto" w:sz="4" w:space="0"/>
              <w:right w:val="single" w:color="auto" w:sz="4" w:space="0"/>
            </w:tcBorders>
            <w:vAlign w:val="center"/>
          </w:tcPr>
          <w:p w14:paraId="75291888">
            <w:pPr>
              <w:jc w:val="center"/>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偏差</w:t>
            </w:r>
          </w:p>
        </w:tc>
        <w:tc>
          <w:tcPr>
            <w:tcW w:w="5355" w:type="dxa"/>
            <w:tcBorders>
              <w:top w:val="single" w:color="auto" w:sz="4" w:space="0"/>
              <w:left w:val="single" w:color="auto" w:sz="4" w:space="0"/>
              <w:bottom w:val="single" w:color="auto" w:sz="4" w:space="0"/>
              <w:right w:val="single" w:color="auto" w:sz="4" w:space="0"/>
            </w:tcBorders>
            <w:vAlign w:val="center"/>
          </w:tcPr>
          <w:p w14:paraId="449F02D5">
            <w:pPr>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投标文件不符合第三章“</w:t>
            </w:r>
            <w:r>
              <w:rPr>
                <w:rFonts w:hint="eastAsia" w:ascii="宋体" w:hAnsi="宋体" w:eastAsia="宋体"/>
                <w:color w:val="auto"/>
                <w:sz w:val="21"/>
                <w:szCs w:val="21"/>
                <w:lang w:eastAsia="zh-CN" w:bidi="ar-SA"/>
              </w:rPr>
              <w:t>评标办法</w:t>
            </w:r>
            <w:r>
              <w:rPr>
                <w:rFonts w:ascii="宋体" w:hAnsi="宋体" w:eastAsia="宋体"/>
                <w:color w:val="auto"/>
                <w:sz w:val="21"/>
                <w:szCs w:val="21"/>
                <w:lang w:eastAsia="zh-CN" w:bidi="ar-SA"/>
              </w:rPr>
              <w:t>”第</w:t>
            </w:r>
            <w:r>
              <w:rPr>
                <w:rFonts w:hint="eastAsia" w:ascii="宋体" w:hAnsi="宋体" w:eastAsia="宋体"/>
                <w:color w:val="auto"/>
                <w:sz w:val="21"/>
                <w:szCs w:val="21"/>
                <w:lang w:eastAsia="zh-CN" w:bidi="ar-SA"/>
              </w:rPr>
              <w:t>2.1款所列的初步评审标准，属于重大偏差，视为对招标文件未作出实质性响应，评标委员会将否决其投标。</w:t>
            </w:r>
          </w:p>
          <w:p w14:paraId="233C6EBC">
            <w:pPr>
              <w:jc w:val="both"/>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重大偏差之外的均视为细微偏差。</w:t>
            </w:r>
          </w:p>
        </w:tc>
      </w:tr>
      <w:tr w14:paraId="61F95C81">
        <w:tblPrEx>
          <w:tblCellMar>
            <w:top w:w="0" w:type="dxa"/>
            <w:left w:w="108" w:type="dxa"/>
            <w:bottom w:w="0" w:type="dxa"/>
            <w:right w:w="108" w:type="dxa"/>
          </w:tblCellMar>
        </w:tblPrEx>
        <w:trPr>
          <w:trHeight w:val="726" w:hRule="exact"/>
          <w:jc w:val="center"/>
        </w:trPr>
        <w:tc>
          <w:tcPr>
            <w:tcW w:w="1048" w:type="dxa"/>
            <w:tcBorders>
              <w:top w:val="single" w:color="auto" w:sz="4" w:space="0"/>
              <w:left w:val="single" w:color="auto" w:sz="4" w:space="0"/>
              <w:bottom w:val="single" w:color="auto" w:sz="4" w:space="0"/>
              <w:right w:val="single" w:color="auto" w:sz="4" w:space="0"/>
            </w:tcBorders>
            <w:vAlign w:val="center"/>
          </w:tcPr>
          <w:p w14:paraId="6885C7E5">
            <w:pPr>
              <w:jc w:val="cente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2</w:t>
            </w:r>
            <w:r>
              <w:rPr>
                <w:rFonts w:ascii="宋体" w:hAnsi="宋体" w:eastAsia="宋体"/>
                <w:color w:val="auto"/>
                <w:sz w:val="21"/>
                <w:szCs w:val="21"/>
                <w:lang w:eastAsia="zh-CN" w:bidi="ar-SA"/>
              </w:rPr>
              <w:t>.1</w:t>
            </w:r>
          </w:p>
        </w:tc>
        <w:tc>
          <w:tcPr>
            <w:tcW w:w="2835" w:type="dxa"/>
            <w:tcBorders>
              <w:top w:val="single" w:color="auto" w:sz="4" w:space="0"/>
              <w:left w:val="single" w:color="auto" w:sz="4" w:space="0"/>
              <w:bottom w:val="single" w:color="auto" w:sz="4" w:space="0"/>
              <w:right w:val="single" w:color="auto" w:sz="4" w:space="0"/>
            </w:tcBorders>
            <w:vAlign w:val="center"/>
          </w:tcPr>
          <w:p w14:paraId="6F528B15">
            <w:pPr>
              <w:jc w:val="cente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构成招标文件的其他材料</w:t>
            </w:r>
          </w:p>
        </w:tc>
        <w:tc>
          <w:tcPr>
            <w:tcW w:w="5355" w:type="dxa"/>
            <w:tcBorders>
              <w:top w:val="single" w:color="auto" w:sz="4" w:space="0"/>
              <w:left w:val="single" w:color="auto" w:sz="4" w:space="0"/>
              <w:bottom w:val="single" w:color="auto" w:sz="4" w:space="0"/>
              <w:right w:val="single" w:color="auto" w:sz="4" w:space="0"/>
            </w:tcBorders>
            <w:vAlign w:val="center"/>
          </w:tcPr>
          <w:p w14:paraId="4CAE9E3D">
            <w:pP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招标人发出的澄清、修改，构成招标文件的组成部分。</w:t>
            </w:r>
          </w:p>
        </w:tc>
      </w:tr>
      <w:tr w14:paraId="5D56D1CC">
        <w:tblPrEx>
          <w:tblCellMar>
            <w:top w:w="0" w:type="dxa"/>
            <w:left w:w="108" w:type="dxa"/>
            <w:bottom w:w="0" w:type="dxa"/>
            <w:right w:w="108" w:type="dxa"/>
          </w:tblCellMar>
        </w:tblPrEx>
        <w:trPr>
          <w:trHeight w:val="701" w:hRule="exact"/>
          <w:jc w:val="center"/>
        </w:trPr>
        <w:tc>
          <w:tcPr>
            <w:tcW w:w="1048" w:type="dxa"/>
            <w:vMerge w:val="restart"/>
            <w:tcBorders>
              <w:top w:val="single" w:color="auto" w:sz="4" w:space="0"/>
              <w:left w:val="single" w:color="auto" w:sz="4" w:space="0"/>
              <w:bottom w:val="single" w:color="auto" w:sz="4" w:space="0"/>
              <w:right w:val="single" w:color="auto" w:sz="4" w:space="0"/>
            </w:tcBorders>
            <w:vAlign w:val="center"/>
          </w:tcPr>
          <w:p w14:paraId="365EB29B">
            <w:pPr>
              <w:jc w:val="center"/>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2.2.1</w:t>
            </w:r>
          </w:p>
        </w:tc>
        <w:tc>
          <w:tcPr>
            <w:tcW w:w="2835" w:type="dxa"/>
            <w:vMerge w:val="restart"/>
            <w:tcBorders>
              <w:top w:val="single" w:color="auto" w:sz="4" w:space="0"/>
              <w:left w:val="single" w:color="auto" w:sz="4" w:space="0"/>
              <w:bottom w:val="single" w:color="auto" w:sz="4" w:space="0"/>
              <w:right w:val="single" w:color="auto" w:sz="4" w:space="0"/>
            </w:tcBorders>
            <w:vAlign w:val="center"/>
          </w:tcPr>
          <w:p w14:paraId="69F6B3CE">
            <w:pPr>
              <w:jc w:val="center"/>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投标人要求澄清招标文件</w:t>
            </w:r>
          </w:p>
        </w:tc>
        <w:tc>
          <w:tcPr>
            <w:tcW w:w="5355" w:type="dxa"/>
            <w:tcBorders>
              <w:top w:val="single" w:color="auto" w:sz="4" w:space="0"/>
              <w:left w:val="single" w:color="auto" w:sz="4" w:space="0"/>
              <w:bottom w:val="single" w:color="auto" w:sz="4" w:space="0"/>
              <w:right w:val="single" w:color="auto" w:sz="4" w:space="0"/>
            </w:tcBorders>
            <w:vAlign w:val="center"/>
          </w:tcPr>
          <w:p w14:paraId="385CDB53">
            <w:pP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时间</w:t>
            </w:r>
            <w:r>
              <w:rPr>
                <w:rFonts w:ascii="宋体" w:hAnsi="宋体" w:eastAsia="宋体"/>
                <w:color w:val="auto"/>
                <w:sz w:val="21"/>
                <w:szCs w:val="21"/>
                <w:lang w:eastAsia="zh-CN" w:bidi="ar-SA"/>
              </w:rPr>
              <w:t>：递交投标文件截止之日</w:t>
            </w:r>
            <w:r>
              <w:rPr>
                <w:rFonts w:hint="eastAsia" w:ascii="宋体" w:hAnsi="宋体" w:eastAsia="宋体"/>
                <w:color w:val="auto"/>
                <w:sz w:val="21"/>
                <w:szCs w:val="21"/>
                <w:u w:val="single"/>
                <w:lang w:eastAsia="zh-CN" w:bidi="ar-SA"/>
              </w:rPr>
              <w:t>10</w:t>
            </w:r>
            <w:r>
              <w:rPr>
                <w:rFonts w:hint="eastAsia" w:ascii="宋体" w:hAnsi="宋体" w:eastAsia="宋体"/>
                <w:color w:val="auto"/>
                <w:sz w:val="21"/>
                <w:szCs w:val="21"/>
                <w:lang w:eastAsia="zh-CN" w:bidi="ar-SA"/>
              </w:rPr>
              <w:t>天</w:t>
            </w:r>
            <w:r>
              <w:rPr>
                <w:rFonts w:ascii="宋体" w:hAnsi="宋体" w:eastAsia="宋体"/>
                <w:color w:val="auto"/>
                <w:sz w:val="21"/>
                <w:szCs w:val="21"/>
                <w:lang w:eastAsia="zh-CN" w:bidi="ar-SA"/>
              </w:rPr>
              <w:t>前</w:t>
            </w:r>
          </w:p>
        </w:tc>
      </w:tr>
      <w:tr w14:paraId="37F8E4A4">
        <w:tblPrEx>
          <w:tblCellMar>
            <w:top w:w="0" w:type="dxa"/>
            <w:left w:w="108" w:type="dxa"/>
            <w:bottom w:w="0" w:type="dxa"/>
            <w:right w:w="108" w:type="dxa"/>
          </w:tblCellMar>
        </w:tblPrEx>
        <w:trPr>
          <w:trHeight w:val="710" w:hRule="exact"/>
          <w:jc w:val="center"/>
        </w:trPr>
        <w:tc>
          <w:tcPr>
            <w:tcW w:w="1048" w:type="dxa"/>
            <w:vMerge w:val="continue"/>
            <w:tcBorders>
              <w:top w:val="single" w:color="auto" w:sz="4" w:space="0"/>
              <w:left w:val="single" w:color="auto" w:sz="4" w:space="0"/>
              <w:bottom w:val="single" w:color="auto" w:sz="4" w:space="0"/>
              <w:right w:val="single" w:color="auto" w:sz="4" w:space="0"/>
            </w:tcBorders>
            <w:vAlign w:val="center"/>
          </w:tcPr>
          <w:p w14:paraId="66BB665C">
            <w:pPr>
              <w:jc w:val="center"/>
              <w:rPr>
                <w:rFonts w:hint="eastAsia" w:ascii="宋体" w:hAnsi="宋体" w:eastAsia="宋体"/>
                <w:color w:val="auto"/>
                <w:sz w:val="21"/>
                <w:szCs w:val="21"/>
                <w:lang w:eastAsia="zh-CN" w:bidi="ar-SA"/>
              </w:rPr>
            </w:pPr>
          </w:p>
        </w:tc>
        <w:tc>
          <w:tcPr>
            <w:tcW w:w="2835" w:type="dxa"/>
            <w:vMerge w:val="continue"/>
            <w:tcBorders>
              <w:top w:val="single" w:color="auto" w:sz="4" w:space="0"/>
              <w:left w:val="single" w:color="auto" w:sz="4" w:space="0"/>
              <w:bottom w:val="single" w:color="auto" w:sz="4" w:space="0"/>
              <w:right w:val="single" w:color="auto" w:sz="4" w:space="0"/>
            </w:tcBorders>
            <w:vAlign w:val="center"/>
          </w:tcPr>
          <w:p w14:paraId="3E52BCCD">
            <w:pPr>
              <w:jc w:val="center"/>
              <w:rPr>
                <w:rFonts w:hint="eastAsia" w:ascii="宋体" w:hAnsi="宋体" w:eastAsia="宋体"/>
                <w:color w:val="auto"/>
                <w:sz w:val="21"/>
                <w:szCs w:val="21"/>
                <w:lang w:eastAsia="zh-CN" w:bidi="ar-SA"/>
              </w:rPr>
            </w:pPr>
          </w:p>
        </w:tc>
        <w:tc>
          <w:tcPr>
            <w:tcW w:w="5355" w:type="dxa"/>
            <w:tcBorders>
              <w:top w:val="single" w:color="auto" w:sz="4" w:space="0"/>
              <w:left w:val="single" w:color="auto" w:sz="4" w:space="0"/>
              <w:bottom w:val="single" w:color="auto" w:sz="4" w:space="0"/>
              <w:right w:val="single" w:color="auto" w:sz="4" w:space="0"/>
            </w:tcBorders>
            <w:vAlign w:val="center"/>
          </w:tcPr>
          <w:p w14:paraId="0721D519">
            <w:pPr>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形式：</w:t>
            </w:r>
            <w:r>
              <w:rPr>
                <w:rFonts w:hint="eastAsia" w:ascii="宋体" w:hAnsi="宋体" w:eastAsia="宋体"/>
                <w:color w:val="auto"/>
                <w:sz w:val="21"/>
                <w:szCs w:val="21"/>
                <w:lang w:eastAsia="zh-CN" w:bidi="ar-SA"/>
              </w:rPr>
              <w:t>电话、邮件</w:t>
            </w:r>
          </w:p>
        </w:tc>
      </w:tr>
      <w:tr w14:paraId="78375F92">
        <w:tblPrEx>
          <w:tblCellMar>
            <w:top w:w="0" w:type="dxa"/>
            <w:left w:w="108" w:type="dxa"/>
            <w:bottom w:w="0" w:type="dxa"/>
            <w:right w:w="108" w:type="dxa"/>
          </w:tblCellMar>
        </w:tblPrEx>
        <w:trPr>
          <w:trHeight w:val="722" w:hRule="exact"/>
          <w:jc w:val="center"/>
        </w:trPr>
        <w:tc>
          <w:tcPr>
            <w:tcW w:w="1048" w:type="dxa"/>
            <w:tcBorders>
              <w:top w:val="single" w:color="auto" w:sz="4" w:space="0"/>
              <w:left w:val="single" w:color="auto" w:sz="4" w:space="0"/>
              <w:bottom w:val="single" w:color="auto" w:sz="4" w:space="0"/>
              <w:right w:val="single" w:color="auto" w:sz="4" w:space="0"/>
            </w:tcBorders>
            <w:vAlign w:val="center"/>
          </w:tcPr>
          <w:p w14:paraId="62684922">
            <w:pPr>
              <w:jc w:val="cente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2.2.2</w:t>
            </w:r>
          </w:p>
        </w:tc>
        <w:tc>
          <w:tcPr>
            <w:tcW w:w="2835" w:type="dxa"/>
            <w:tcBorders>
              <w:top w:val="single" w:color="auto" w:sz="4" w:space="0"/>
              <w:left w:val="single" w:color="auto" w:sz="4" w:space="0"/>
              <w:bottom w:val="single" w:color="auto" w:sz="4" w:space="0"/>
              <w:right w:val="single" w:color="auto" w:sz="4" w:space="0"/>
            </w:tcBorders>
            <w:vAlign w:val="center"/>
          </w:tcPr>
          <w:p w14:paraId="55CA8A39">
            <w:pPr>
              <w:jc w:val="center"/>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投标截止时间</w:t>
            </w:r>
          </w:p>
        </w:tc>
        <w:tc>
          <w:tcPr>
            <w:tcW w:w="5355" w:type="dxa"/>
            <w:tcBorders>
              <w:top w:val="single" w:color="auto" w:sz="4" w:space="0"/>
              <w:left w:val="single" w:color="auto" w:sz="4" w:space="0"/>
              <w:bottom w:val="single" w:color="auto" w:sz="4" w:space="0"/>
              <w:right w:val="single" w:color="auto" w:sz="4" w:space="0"/>
            </w:tcBorders>
            <w:vAlign w:val="center"/>
          </w:tcPr>
          <w:p w14:paraId="5625839F">
            <w:pP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见第一章“招标公告”第5.2款</w:t>
            </w:r>
          </w:p>
        </w:tc>
      </w:tr>
      <w:tr w14:paraId="010BD6EB">
        <w:tblPrEx>
          <w:tblCellMar>
            <w:top w:w="0" w:type="dxa"/>
            <w:left w:w="108" w:type="dxa"/>
            <w:bottom w:w="0" w:type="dxa"/>
            <w:right w:w="108" w:type="dxa"/>
          </w:tblCellMar>
        </w:tblPrEx>
        <w:trPr>
          <w:trHeight w:val="1250" w:hRule="atLeast"/>
          <w:jc w:val="center"/>
        </w:trPr>
        <w:tc>
          <w:tcPr>
            <w:tcW w:w="1048" w:type="dxa"/>
            <w:tcBorders>
              <w:top w:val="single" w:color="auto" w:sz="4" w:space="0"/>
              <w:left w:val="single" w:color="auto" w:sz="4" w:space="0"/>
              <w:bottom w:val="single" w:color="auto" w:sz="4" w:space="0"/>
              <w:right w:val="single" w:color="auto" w:sz="4" w:space="0"/>
            </w:tcBorders>
            <w:vAlign w:val="center"/>
          </w:tcPr>
          <w:p w14:paraId="7F5A6B0E">
            <w:pPr>
              <w:jc w:val="center"/>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2.2.2</w:t>
            </w:r>
          </w:p>
        </w:tc>
        <w:tc>
          <w:tcPr>
            <w:tcW w:w="2835" w:type="dxa"/>
            <w:tcBorders>
              <w:top w:val="single" w:color="auto" w:sz="4" w:space="0"/>
              <w:left w:val="single" w:color="auto" w:sz="4" w:space="0"/>
              <w:bottom w:val="single" w:color="auto" w:sz="4" w:space="0"/>
              <w:right w:val="single" w:color="auto" w:sz="4" w:space="0"/>
            </w:tcBorders>
            <w:vAlign w:val="center"/>
          </w:tcPr>
          <w:p w14:paraId="4ACA0493">
            <w:pPr>
              <w:jc w:val="center"/>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招标文件澄清发出的形式</w:t>
            </w:r>
          </w:p>
        </w:tc>
        <w:tc>
          <w:tcPr>
            <w:tcW w:w="5355" w:type="dxa"/>
            <w:tcBorders>
              <w:top w:val="single" w:color="auto" w:sz="4" w:space="0"/>
              <w:left w:val="single" w:color="auto" w:sz="4" w:space="0"/>
              <w:bottom w:val="single" w:color="auto" w:sz="4" w:space="0"/>
              <w:right w:val="single" w:color="auto" w:sz="4" w:space="0"/>
            </w:tcBorders>
            <w:vAlign w:val="center"/>
          </w:tcPr>
          <w:p w14:paraId="431E6B6C">
            <w:pPr>
              <w:rPr>
                <w:rFonts w:hint="eastAsia" w:ascii="宋体" w:hAnsi="宋体" w:eastAsia="宋体"/>
                <w:color w:val="auto"/>
                <w:sz w:val="21"/>
                <w:szCs w:val="21"/>
                <w:lang w:eastAsia="zh-CN" w:bidi="ar-SA"/>
              </w:rPr>
            </w:pPr>
            <w:r>
              <w:rPr>
                <w:rFonts w:hint="eastAsia" w:ascii="宋体" w:hAnsi="宋体" w:eastAsia="宋体"/>
                <w:color w:val="auto"/>
                <w:kern w:val="2"/>
                <w:sz w:val="21"/>
                <w:szCs w:val="21"/>
                <w:lang w:eastAsia="zh-CN" w:bidi="ar-SA"/>
              </w:rPr>
              <w:t>招标文件的澄清将在投标截止时间</w:t>
            </w:r>
            <w:r>
              <w:rPr>
                <w:rFonts w:hint="eastAsia" w:ascii="宋体" w:hAnsi="宋体" w:eastAsia="宋体"/>
                <w:color w:val="auto"/>
                <w:kern w:val="2"/>
                <w:sz w:val="21"/>
                <w:szCs w:val="21"/>
                <w:u w:val="single"/>
                <w:lang w:eastAsia="zh-CN" w:bidi="ar-SA"/>
              </w:rPr>
              <w:t>15</w:t>
            </w:r>
            <w:r>
              <w:rPr>
                <w:rFonts w:hint="eastAsia" w:ascii="宋体" w:hAnsi="宋体" w:eastAsia="宋体"/>
                <w:color w:val="auto"/>
                <w:kern w:val="2"/>
                <w:sz w:val="21"/>
                <w:szCs w:val="21"/>
                <w:lang w:eastAsia="zh-CN" w:bidi="ar-SA"/>
              </w:rPr>
              <w:t>天前以编号的补遗书形式公布在江西省公共资源交易平台（</w:t>
            </w:r>
            <w:r>
              <w:rPr>
                <w:rFonts w:hint="eastAsia" w:eastAsia="宋体"/>
                <w:color w:val="auto"/>
                <w:kern w:val="2"/>
                <w:sz w:val="21"/>
                <w:szCs w:val="21"/>
                <w:lang w:eastAsia="zh-CN" w:bidi="ar-SA"/>
              </w:rPr>
              <w:t>http://www.jxsggzy.cn</w:t>
            </w:r>
            <w:r>
              <w:rPr>
                <w:rFonts w:hint="eastAsia" w:ascii="宋体" w:hAnsi="宋体" w:eastAsia="宋体"/>
                <w:color w:val="auto"/>
                <w:kern w:val="2"/>
                <w:sz w:val="21"/>
                <w:szCs w:val="21"/>
                <w:lang w:eastAsia="zh-CN" w:bidi="ar-SA"/>
              </w:rPr>
              <w:t>）上，供所有已获取招标文件的投标人浏览或下载，招标人不再另行通知。</w:t>
            </w:r>
          </w:p>
        </w:tc>
      </w:tr>
      <w:tr w14:paraId="2D238FED">
        <w:tblPrEx>
          <w:tblCellMar>
            <w:top w:w="0" w:type="dxa"/>
            <w:left w:w="108" w:type="dxa"/>
            <w:bottom w:w="0" w:type="dxa"/>
            <w:right w:w="108" w:type="dxa"/>
          </w:tblCellMar>
        </w:tblPrEx>
        <w:trPr>
          <w:trHeight w:val="538" w:hRule="atLeast"/>
          <w:jc w:val="center"/>
        </w:trPr>
        <w:tc>
          <w:tcPr>
            <w:tcW w:w="1048" w:type="dxa"/>
            <w:vMerge w:val="restart"/>
            <w:tcBorders>
              <w:top w:val="single" w:color="auto" w:sz="4" w:space="0"/>
              <w:left w:val="single" w:color="auto" w:sz="4" w:space="0"/>
              <w:right w:val="single" w:color="auto" w:sz="4" w:space="0"/>
            </w:tcBorders>
            <w:vAlign w:val="center"/>
          </w:tcPr>
          <w:p w14:paraId="3E40B031">
            <w:pPr>
              <w:jc w:val="center"/>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2.2.3</w:t>
            </w:r>
          </w:p>
        </w:tc>
        <w:tc>
          <w:tcPr>
            <w:tcW w:w="2835" w:type="dxa"/>
            <w:vMerge w:val="restart"/>
            <w:tcBorders>
              <w:top w:val="single" w:color="auto" w:sz="4" w:space="0"/>
              <w:left w:val="single" w:color="auto" w:sz="4" w:space="0"/>
              <w:right w:val="single" w:color="auto" w:sz="4" w:space="0"/>
            </w:tcBorders>
            <w:vAlign w:val="center"/>
          </w:tcPr>
          <w:p w14:paraId="52B411D5">
            <w:pPr>
              <w:jc w:val="center"/>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投标人确认收到招标文件澄清</w:t>
            </w:r>
            <w:r>
              <w:rPr>
                <w:rFonts w:hint="eastAsia" w:ascii="宋体" w:hAnsi="宋体" w:eastAsia="宋体"/>
                <w:color w:val="auto"/>
                <w:sz w:val="21"/>
                <w:szCs w:val="21"/>
                <w:lang w:eastAsia="zh-CN" w:bidi="ar-SA"/>
              </w:rPr>
              <w:t>的时间</w:t>
            </w:r>
          </w:p>
        </w:tc>
        <w:tc>
          <w:tcPr>
            <w:tcW w:w="5355" w:type="dxa"/>
            <w:tcBorders>
              <w:top w:val="single" w:color="auto" w:sz="4" w:space="0"/>
              <w:left w:val="single" w:color="auto" w:sz="4" w:space="0"/>
              <w:bottom w:val="single" w:color="auto" w:sz="4" w:space="0"/>
              <w:right w:val="single" w:color="auto" w:sz="4" w:space="0"/>
            </w:tcBorders>
            <w:vAlign w:val="center"/>
          </w:tcPr>
          <w:p w14:paraId="611CE900">
            <w:pP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时间：/</w:t>
            </w:r>
          </w:p>
        </w:tc>
      </w:tr>
      <w:tr w14:paraId="17F72D5C">
        <w:tblPrEx>
          <w:tblCellMar>
            <w:top w:w="0" w:type="dxa"/>
            <w:left w:w="108" w:type="dxa"/>
            <w:bottom w:w="0" w:type="dxa"/>
            <w:right w:w="108" w:type="dxa"/>
          </w:tblCellMar>
        </w:tblPrEx>
        <w:trPr>
          <w:trHeight w:val="1236" w:hRule="atLeast"/>
          <w:jc w:val="center"/>
        </w:trPr>
        <w:tc>
          <w:tcPr>
            <w:tcW w:w="1048" w:type="dxa"/>
            <w:vMerge w:val="continue"/>
            <w:tcBorders>
              <w:left w:val="single" w:color="auto" w:sz="4" w:space="0"/>
              <w:bottom w:val="single" w:color="auto" w:sz="4" w:space="0"/>
              <w:right w:val="single" w:color="auto" w:sz="4" w:space="0"/>
            </w:tcBorders>
            <w:vAlign w:val="center"/>
          </w:tcPr>
          <w:p w14:paraId="4855324A">
            <w:pPr>
              <w:jc w:val="center"/>
              <w:rPr>
                <w:rFonts w:hint="eastAsia" w:ascii="宋体" w:hAnsi="宋体" w:eastAsia="宋体"/>
                <w:color w:val="auto"/>
                <w:sz w:val="21"/>
                <w:szCs w:val="21"/>
                <w:lang w:eastAsia="zh-CN" w:bidi="ar-SA"/>
              </w:rPr>
            </w:pPr>
          </w:p>
        </w:tc>
        <w:tc>
          <w:tcPr>
            <w:tcW w:w="2835" w:type="dxa"/>
            <w:vMerge w:val="continue"/>
            <w:tcBorders>
              <w:left w:val="single" w:color="auto" w:sz="4" w:space="0"/>
              <w:bottom w:val="single" w:color="auto" w:sz="4" w:space="0"/>
              <w:right w:val="single" w:color="auto" w:sz="4" w:space="0"/>
            </w:tcBorders>
            <w:vAlign w:val="center"/>
          </w:tcPr>
          <w:p w14:paraId="07772DC2">
            <w:pPr>
              <w:jc w:val="center"/>
              <w:rPr>
                <w:rFonts w:hint="eastAsia" w:ascii="宋体" w:hAnsi="宋体" w:eastAsia="宋体"/>
                <w:color w:val="auto"/>
                <w:sz w:val="21"/>
                <w:szCs w:val="21"/>
                <w:lang w:eastAsia="zh-CN" w:bidi="ar-SA"/>
              </w:rPr>
            </w:pPr>
          </w:p>
        </w:tc>
        <w:tc>
          <w:tcPr>
            <w:tcW w:w="5355" w:type="dxa"/>
            <w:tcBorders>
              <w:top w:val="single" w:color="auto" w:sz="4" w:space="0"/>
              <w:left w:val="single" w:color="auto" w:sz="4" w:space="0"/>
              <w:bottom w:val="single" w:color="auto" w:sz="4" w:space="0"/>
              <w:right w:val="single" w:color="auto" w:sz="4" w:space="0"/>
            </w:tcBorders>
            <w:vAlign w:val="center"/>
          </w:tcPr>
          <w:p w14:paraId="02231C09">
            <w:pP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形式：</w:t>
            </w:r>
            <w:r>
              <w:rPr>
                <w:rFonts w:hint="eastAsia" w:eastAsia="宋体"/>
                <w:color w:val="auto"/>
                <w:kern w:val="2"/>
                <w:sz w:val="21"/>
                <w:szCs w:val="21"/>
                <w:lang w:eastAsia="zh-CN" w:bidi="ar-SA"/>
              </w:rPr>
              <w:t>投标人收到后无需回复确认。如投标人不能成功浏览或下载补遗书，可致电招标人（或招标代理机构）咨询。因投标人未及时浏览或下载补遗书而产生的法律后果，由投标人自行承担。</w:t>
            </w:r>
          </w:p>
        </w:tc>
      </w:tr>
      <w:tr w14:paraId="574FA37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429" w:hRule="atLeast"/>
          <w:jc w:val="center"/>
        </w:trPr>
        <w:tc>
          <w:tcPr>
            <w:tcW w:w="1048" w:type="dxa"/>
            <w:tcBorders>
              <w:top w:val="single" w:color="auto" w:sz="4" w:space="0"/>
              <w:left w:val="single" w:color="auto" w:sz="4" w:space="0"/>
              <w:bottom w:val="single" w:color="auto" w:sz="4" w:space="0"/>
              <w:right w:val="single" w:color="auto" w:sz="4" w:space="0"/>
              <w:tl2br w:val="nil"/>
              <w:tr2bl w:val="nil"/>
            </w:tcBorders>
            <w:vAlign w:val="center"/>
          </w:tcPr>
          <w:p w14:paraId="0093DCB9">
            <w:pPr>
              <w:jc w:val="center"/>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2.3.1</w:t>
            </w:r>
          </w:p>
        </w:tc>
        <w:tc>
          <w:tcPr>
            <w:tcW w:w="2835" w:type="dxa"/>
            <w:tcBorders>
              <w:top w:val="single" w:color="auto" w:sz="4" w:space="0"/>
              <w:left w:val="single" w:color="auto" w:sz="4" w:space="0"/>
              <w:bottom w:val="single" w:color="auto" w:sz="4" w:space="0"/>
              <w:right w:val="single" w:color="auto" w:sz="4" w:space="0"/>
              <w:tl2br w:val="nil"/>
              <w:tr2bl w:val="nil"/>
            </w:tcBorders>
            <w:vAlign w:val="center"/>
          </w:tcPr>
          <w:p w14:paraId="43875576">
            <w:pPr>
              <w:jc w:val="center"/>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招标文件修改发出的形式</w:t>
            </w:r>
          </w:p>
        </w:tc>
        <w:tc>
          <w:tcPr>
            <w:tcW w:w="5355" w:type="dxa"/>
            <w:tcBorders>
              <w:top w:val="single" w:color="auto" w:sz="4" w:space="0"/>
              <w:left w:val="single" w:color="auto" w:sz="4" w:space="0"/>
              <w:bottom w:val="single" w:color="auto" w:sz="4" w:space="0"/>
              <w:right w:val="single" w:color="auto" w:sz="4" w:space="0"/>
              <w:tl2br w:val="nil"/>
              <w:tr2bl w:val="nil"/>
            </w:tcBorders>
            <w:vAlign w:val="center"/>
          </w:tcPr>
          <w:p w14:paraId="39E668CF">
            <w:pPr>
              <w:rPr>
                <w:rFonts w:hint="eastAsia" w:ascii="宋体" w:hAnsi="宋体" w:eastAsia="宋体"/>
                <w:color w:val="auto"/>
                <w:sz w:val="21"/>
                <w:szCs w:val="21"/>
                <w:lang w:eastAsia="zh-CN" w:bidi="ar-SA"/>
              </w:rPr>
            </w:pPr>
            <w:r>
              <w:rPr>
                <w:rFonts w:hint="eastAsia" w:ascii="宋体" w:hAnsi="宋体" w:eastAsia="宋体"/>
                <w:color w:val="auto"/>
                <w:kern w:val="2"/>
                <w:sz w:val="21"/>
                <w:szCs w:val="21"/>
                <w:lang w:eastAsia="zh-CN" w:bidi="ar-SA"/>
              </w:rPr>
              <w:t>招标文件的修改将在投标截止时间15天前以编号的补遗书形式在江西省公共资源交易平台（http://www.jxsggzy.cn）公布，供所有已获取招标文件的投标人浏览或下载，招标人不再另行通知。</w:t>
            </w:r>
          </w:p>
        </w:tc>
      </w:tr>
      <w:tr w14:paraId="0CA85227">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79" w:hRule="atLeast"/>
          <w:jc w:val="center"/>
        </w:trPr>
        <w:tc>
          <w:tcPr>
            <w:tcW w:w="1048" w:type="dxa"/>
            <w:vMerge w:val="restart"/>
            <w:tcBorders>
              <w:top w:val="single" w:color="auto" w:sz="4" w:space="0"/>
              <w:left w:val="single" w:color="auto" w:sz="4" w:space="0"/>
              <w:right w:val="single" w:color="auto" w:sz="4" w:space="0"/>
              <w:tl2br w:val="nil"/>
              <w:tr2bl w:val="nil"/>
            </w:tcBorders>
            <w:vAlign w:val="center"/>
          </w:tcPr>
          <w:p w14:paraId="253E0284">
            <w:pPr>
              <w:jc w:val="center"/>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2.3.2</w:t>
            </w:r>
          </w:p>
        </w:tc>
        <w:tc>
          <w:tcPr>
            <w:tcW w:w="2835" w:type="dxa"/>
            <w:vMerge w:val="restart"/>
            <w:tcBorders>
              <w:top w:val="single" w:color="auto" w:sz="4" w:space="0"/>
              <w:left w:val="single" w:color="auto" w:sz="4" w:space="0"/>
              <w:right w:val="single" w:color="auto" w:sz="4" w:space="0"/>
              <w:tl2br w:val="nil"/>
              <w:tr2bl w:val="nil"/>
            </w:tcBorders>
            <w:vAlign w:val="center"/>
          </w:tcPr>
          <w:p w14:paraId="56F33AF9">
            <w:pPr>
              <w:jc w:val="center"/>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投标人确认收到招标文件修改</w:t>
            </w:r>
            <w:r>
              <w:rPr>
                <w:rFonts w:hint="eastAsia" w:ascii="宋体" w:hAnsi="宋体" w:eastAsia="宋体"/>
                <w:color w:val="auto"/>
                <w:sz w:val="21"/>
                <w:szCs w:val="21"/>
                <w:lang w:eastAsia="zh-CN" w:bidi="ar-SA"/>
              </w:rPr>
              <w:t>的时间</w:t>
            </w:r>
          </w:p>
        </w:tc>
        <w:tc>
          <w:tcPr>
            <w:tcW w:w="5355" w:type="dxa"/>
            <w:tcBorders>
              <w:top w:val="single" w:color="auto" w:sz="4" w:space="0"/>
              <w:left w:val="single" w:color="auto" w:sz="4" w:space="0"/>
              <w:bottom w:val="single" w:color="auto" w:sz="4" w:space="0"/>
              <w:right w:val="single" w:color="auto" w:sz="4" w:space="0"/>
              <w:tl2br w:val="nil"/>
              <w:tr2bl w:val="nil"/>
            </w:tcBorders>
            <w:vAlign w:val="center"/>
          </w:tcPr>
          <w:p w14:paraId="4C2A4510">
            <w:pP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时间：/</w:t>
            </w:r>
          </w:p>
        </w:tc>
      </w:tr>
      <w:tr w14:paraId="43222B6B">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236" w:hRule="atLeast"/>
          <w:jc w:val="center"/>
        </w:trPr>
        <w:tc>
          <w:tcPr>
            <w:tcW w:w="1048" w:type="dxa"/>
            <w:vMerge w:val="continue"/>
            <w:tcBorders>
              <w:left w:val="single" w:color="auto" w:sz="4" w:space="0"/>
              <w:bottom w:val="single" w:color="auto" w:sz="4" w:space="0"/>
              <w:right w:val="single" w:color="auto" w:sz="4" w:space="0"/>
              <w:tl2br w:val="nil"/>
              <w:tr2bl w:val="nil"/>
            </w:tcBorders>
            <w:vAlign w:val="center"/>
          </w:tcPr>
          <w:p w14:paraId="306465C1">
            <w:pPr>
              <w:jc w:val="center"/>
              <w:rPr>
                <w:rFonts w:hint="eastAsia" w:ascii="宋体" w:hAnsi="宋体" w:eastAsia="宋体"/>
                <w:color w:val="auto"/>
                <w:sz w:val="21"/>
                <w:szCs w:val="21"/>
                <w:lang w:eastAsia="zh-CN" w:bidi="ar-SA"/>
              </w:rPr>
            </w:pPr>
          </w:p>
        </w:tc>
        <w:tc>
          <w:tcPr>
            <w:tcW w:w="2835" w:type="dxa"/>
            <w:vMerge w:val="continue"/>
            <w:tcBorders>
              <w:left w:val="single" w:color="auto" w:sz="4" w:space="0"/>
              <w:bottom w:val="single" w:color="auto" w:sz="4" w:space="0"/>
              <w:right w:val="single" w:color="auto" w:sz="4" w:space="0"/>
              <w:tl2br w:val="nil"/>
              <w:tr2bl w:val="nil"/>
            </w:tcBorders>
            <w:vAlign w:val="center"/>
          </w:tcPr>
          <w:p w14:paraId="16A070D0">
            <w:pPr>
              <w:jc w:val="center"/>
              <w:rPr>
                <w:rFonts w:hint="eastAsia" w:ascii="宋体" w:hAnsi="宋体" w:eastAsia="宋体"/>
                <w:color w:val="auto"/>
                <w:sz w:val="21"/>
                <w:szCs w:val="21"/>
                <w:lang w:eastAsia="zh-CN" w:bidi="ar-SA"/>
              </w:rPr>
            </w:pPr>
          </w:p>
        </w:tc>
        <w:tc>
          <w:tcPr>
            <w:tcW w:w="5355" w:type="dxa"/>
            <w:tcBorders>
              <w:top w:val="single" w:color="auto" w:sz="4" w:space="0"/>
              <w:left w:val="single" w:color="auto" w:sz="4" w:space="0"/>
              <w:bottom w:val="single" w:color="auto" w:sz="4" w:space="0"/>
              <w:right w:val="single" w:color="auto" w:sz="4" w:space="0"/>
              <w:tl2br w:val="nil"/>
              <w:tr2bl w:val="nil"/>
            </w:tcBorders>
            <w:vAlign w:val="center"/>
          </w:tcPr>
          <w:p w14:paraId="24148AEB">
            <w:pP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形式：</w:t>
            </w:r>
            <w:r>
              <w:rPr>
                <w:rFonts w:hint="eastAsia" w:eastAsia="宋体"/>
                <w:color w:val="auto"/>
                <w:kern w:val="2"/>
                <w:sz w:val="21"/>
                <w:szCs w:val="21"/>
                <w:lang w:eastAsia="zh-CN" w:bidi="ar-SA"/>
              </w:rPr>
              <w:t>投标人收到后无需回复确认。如投标人不能成功浏览或下载补遗书，可致电招标人（或招标代理机构）咨询。因投标人未及时浏览或下载补遗书而产生的法律后果，由投标人自行承担。</w:t>
            </w:r>
          </w:p>
        </w:tc>
      </w:tr>
      <w:tr w14:paraId="2665D87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154" w:hRule="exact"/>
          <w:jc w:val="center"/>
        </w:trPr>
        <w:tc>
          <w:tcPr>
            <w:tcW w:w="1048" w:type="dxa"/>
            <w:tcBorders>
              <w:top w:val="single" w:color="auto" w:sz="4" w:space="0"/>
              <w:left w:val="single" w:color="auto" w:sz="4" w:space="0"/>
              <w:bottom w:val="single" w:color="auto" w:sz="4" w:space="0"/>
              <w:right w:val="single" w:color="auto" w:sz="4" w:space="0"/>
              <w:tl2br w:val="nil"/>
              <w:tr2bl w:val="nil"/>
            </w:tcBorders>
            <w:vAlign w:val="center"/>
          </w:tcPr>
          <w:p w14:paraId="10E87DBE">
            <w:pPr>
              <w:jc w:val="cente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3</w:t>
            </w:r>
            <w:r>
              <w:rPr>
                <w:rFonts w:ascii="宋体" w:hAnsi="宋体" w:eastAsia="宋体"/>
                <w:color w:val="auto"/>
                <w:sz w:val="21"/>
                <w:szCs w:val="21"/>
                <w:lang w:eastAsia="zh-CN" w:bidi="ar-SA"/>
              </w:rPr>
              <w:t>.1</w:t>
            </w:r>
            <w:r>
              <w:rPr>
                <w:rFonts w:hint="eastAsia" w:ascii="宋体" w:hAnsi="宋体" w:eastAsia="宋体"/>
                <w:color w:val="auto"/>
                <w:sz w:val="21"/>
                <w:szCs w:val="21"/>
                <w:lang w:eastAsia="zh-CN" w:bidi="ar-SA"/>
              </w:rPr>
              <w:t>.1</w:t>
            </w:r>
          </w:p>
        </w:tc>
        <w:tc>
          <w:tcPr>
            <w:tcW w:w="2835" w:type="dxa"/>
            <w:tcBorders>
              <w:top w:val="single" w:color="auto" w:sz="4" w:space="0"/>
              <w:left w:val="single" w:color="auto" w:sz="4" w:space="0"/>
              <w:bottom w:val="single" w:color="auto" w:sz="4" w:space="0"/>
              <w:right w:val="single" w:color="auto" w:sz="4" w:space="0"/>
              <w:tl2br w:val="nil"/>
              <w:tr2bl w:val="nil"/>
            </w:tcBorders>
            <w:vAlign w:val="center"/>
          </w:tcPr>
          <w:p w14:paraId="422C9BA5">
            <w:pPr>
              <w:jc w:val="cente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构成投标文件的其他材料</w:t>
            </w:r>
          </w:p>
        </w:tc>
        <w:tc>
          <w:tcPr>
            <w:tcW w:w="5355" w:type="dxa"/>
            <w:tcBorders>
              <w:top w:val="single" w:color="auto" w:sz="4" w:space="0"/>
              <w:left w:val="single" w:color="auto" w:sz="4" w:space="0"/>
              <w:bottom w:val="single" w:color="auto" w:sz="4" w:space="0"/>
              <w:right w:val="single" w:color="auto" w:sz="4" w:space="0"/>
              <w:tl2br w:val="nil"/>
              <w:tr2bl w:val="nil"/>
            </w:tcBorders>
            <w:vAlign w:val="center"/>
          </w:tcPr>
          <w:p w14:paraId="445BD691">
            <w:pP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本次招标补遗书及投标人认为应该提交的其它材料</w:t>
            </w:r>
          </w:p>
          <w:p w14:paraId="12435969">
            <w:pPr>
              <w:spacing w:line="400" w:lineRule="exact"/>
              <w:rPr>
                <w:color w:val="auto"/>
                <w:sz w:val="21"/>
                <w:szCs w:val="21"/>
                <w:lang w:eastAsia="zh-CN"/>
              </w:rPr>
            </w:pPr>
            <w:r>
              <w:rPr>
                <w:rFonts w:hint="eastAsia"/>
                <w:color w:val="auto"/>
                <w:sz w:val="21"/>
                <w:szCs w:val="21"/>
                <w:lang w:eastAsia="zh-CN"/>
              </w:rPr>
              <w:t>第二个信封（报价文件）增加：</w:t>
            </w:r>
          </w:p>
          <w:p w14:paraId="3CC9D7BA">
            <w:pPr>
              <w:rPr>
                <w:rFonts w:hint="eastAsia" w:ascii="宋体" w:hAnsi="宋体" w:eastAsia="宋体"/>
                <w:color w:val="auto"/>
                <w:sz w:val="21"/>
                <w:szCs w:val="21"/>
                <w:lang w:eastAsia="zh-CN" w:bidi="ar-SA"/>
              </w:rPr>
            </w:pPr>
            <w:r>
              <w:rPr>
                <w:rFonts w:hint="eastAsia"/>
                <w:color w:val="auto"/>
                <w:sz w:val="21"/>
                <w:szCs w:val="21"/>
              </w:rPr>
              <w:t>开标一览表</w:t>
            </w:r>
          </w:p>
        </w:tc>
      </w:tr>
      <w:tr w14:paraId="717A657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1048" w:type="dxa"/>
            <w:tcBorders>
              <w:top w:val="single" w:color="auto" w:sz="4" w:space="0"/>
              <w:left w:val="single" w:color="auto" w:sz="4" w:space="0"/>
              <w:bottom w:val="single" w:color="auto" w:sz="4" w:space="0"/>
              <w:right w:val="single" w:color="auto" w:sz="4" w:space="0"/>
              <w:tl2br w:val="nil"/>
              <w:tr2bl w:val="nil"/>
            </w:tcBorders>
            <w:vAlign w:val="center"/>
          </w:tcPr>
          <w:p w14:paraId="2C2DCAD6">
            <w:pPr>
              <w:jc w:val="cente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3</w:t>
            </w:r>
            <w:r>
              <w:rPr>
                <w:rFonts w:ascii="宋体" w:hAnsi="宋体" w:eastAsia="宋体"/>
                <w:color w:val="auto"/>
                <w:sz w:val="21"/>
                <w:szCs w:val="21"/>
                <w:lang w:eastAsia="zh-CN" w:bidi="ar-SA"/>
              </w:rPr>
              <w:t>.2.1</w:t>
            </w:r>
          </w:p>
        </w:tc>
        <w:tc>
          <w:tcPr>
            <w:tcW w:w="2835" w:type="dxa"/>
            <w:tcBorders>
              <w:top w:val="single" w:color="auto" w:sz="4" w:space="0"/>
              <w:left w:val="single" w:color="auto" w:sz="4" w:space="0"/>
              <w:bottom w:val="single" w:color="auto" w:sz="4" w:space="0"/>
              <w:right w:val="single" w:color="auto" w:sz="4" w:space="0"/>
              <w:tl2br w:val="nil"/>
              <w:tr2bl w:val="nil"/>
            </w:tcBorders>
            <w:vAlign w:val="center"/>
          </w:tcPr>
          <w:p w14:paraId="73CB2E69">
            <w:pPr>
              <w:jc w:val="cente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增值税税金的计算方法</w:t>
            </w:r>
          </w:p>
        </w:tc>
        <w:tc>
          <w:tcPr>
            <w:tcW w:w="5355" w:type="dxa"/>
            <w:tcBorders>
              <w:top w:val="single" w:color="auto" w:sz="4" w:space="0"/>
              <w:left w:val="single" w:color="auto" w:sz="4" w:space="0"/>
              <w:bottom w:val="single" w:color="auto" w:sz="4" w:space="0"/>
              <w:right w:val="single" w:color="auto" w:sz="4" w:space="0"/>
              <w:tl2br w:val="nil"/>
              <w:tr2bl w:val="nil"/>
            </w:tcBorders>
            <w:vAlign w:val="center"/>
          </w:tcPr>
          <w:p w14:paraId="54C05499">
            <w:pP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增值税税金按一般计税方法计算</w:t>
            </w:r>
          </w:p>
        </w:tc>
      </w:tr>
      <w:tr w14:paraId="4A412CBB">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2132" w:hRule="exact"/>
          <w:jc w:val="center"/>
        </w:trPr>
        <w:tc>
          <w:tcPr>
            <w:tcW w:w="1048" w:type="dxa"/>
            <w:tcBorders>
              <w:top w:val="single" w:color="auto" w:sz="4" w:space="0"/>
              <w:left w:val="single" w:color="auto" w:sz="4" w:space="0"/>
              <w:bottom w:val="single" w:color="auto" w:sz="4" w:space="0"/>
              <w:right w:val="single" w:color="auto" w:sz="4" w:space="0"/>
              <w:tl2br w:val="nil"/>
              <w:tr2bl w:val="nil"/>
            </w:tcBorders>
            <w:vAlign w:val="center"/>
          </w:tcPr>
          <w:p w14:paraId="7F9492E6">
            <w:pPr>
              <w:jc w:val="cente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3</w:t>
            </w:r>
            <w:r>
              <w:rPr>
                <w:rFonts w:ascii="宋体" w:hAnsi="宋体" w:eastAsia="宋体"/>
                <w:color w:val="auto"/>
                <w:sz w:val="21"/>
                <w:szCs w:val="21"/>
                <w:lang w:eastAsia="zh-CN" w:bidi="ar-SA"/>
              </w:rPr>
              <w:t>.2.3</w:t>
            </w:r>
          </w:p>
        </w:tc>
        <w:tc>
          <w:tcPr>
            <w:tcW w:w="2835" w:type="dxa"/>
            <w:tcBorders>
              <w:top w:val="single" w:color="auto" w:sz="4" w:space="0"/>
              <w:left w:val="single" w:color="auto" w:sz="4" w:space="0"/>
              <w:bottom w:val="single" w:color="auto" w:sz="4" w:space="0"/>
              <w:right w:val="single" w:color="auto" w:sz="4" w:space="0"/>
              <w:tl2br w:val="nil"/>
              <w:tr2bl w:val="nil"/>
            </w:tcBorders>
            <w:vAlign w:val="center"/>
          </w:tcPr>
          <w:p w14:paraId="01D472C7">
            <w:pPr>
              <w:jc w:val="cente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报价方式</w:t>
            </w:r>
          </w:p>
        </w:tc>
        <w:tc>
          <w:tcPr>
            <w:tcW w:w="5355" w:type="dxa"/>
            <w:tcBorders>
              <w:top w:val="single" w:color="auto" w:sz="4" w:space="0"/>
              <w:left w:val="single" w:color="auto" w:sz="4" w:space="0"/>
              <w:bottom w:val="single" w:color="auto" w:sz="4" w:space="0"/>
              <w:right w:val="single" w:color="auto" w:sz="4" w:space="0"/>
              <w:tl2br w:val="nil"/>
              <w:tr2bl w:val="nil"/>
            </w:tcBorders>
            <w:vAlign w:val="center"/>
          </w:tcPr>
          <w:p w14:paraId="4E43DB17">
            <w:pPr>
              <w:rPr>
                <w:rFonts w:hint="eastAsia" w:ascii="宋体" w:hAnsi="宋体" w:eastAsia="宋体"/>
                <w:color w:val="auto"/>
                <w:sz w:val="21"/>
                <w:szCs w:val="21"/>
                <w:lang w:eastAsia="zh-CN"/>
              </w:rPr>
            </w:pPr>
            <w:r>
              <w:rPr>
                <w:rFonts w:ascii="宋体" w:hAnsi="宋体" w:eastAsia="宋体"/>
                <w:color w:val="auto"/>
                <w:sz w:val="21"/>
                <w:szCs w:val="21"/>
                <w:lang w:eastAsia="zh-CN"/>
              </w:rPr>
              <w:t>投标人应充分了解本项目的总体情况以及影响投标报价的其他要素，按照招标文件规定的工作内容和计划工作量，自行</w:t>
            </w:r>
            <w:r>
              <w:rPr>
                <w:rFonts w:hint="eastAsia" w:ascii="宋体" w:hAnsi="宋体" w:eastAsia="宋体"/>
                <w:color w:val="auto"/>
                <w:sz w:val="21"/>
                <w:szCs w:val="21"/>
                <w:lang w:eastAsia="zh-CN"/>
              </w:rPr>
              <w:t>计算监理</w:t>
            </w:r>
            <w:r>
              <w:rPr>
                <w:rFonts w:ascii="宋体" w:hAnsi="宋体" w:eastAsia="宋体"/>
                <w:color w:val="auto"/>
                <w:sz w:val="21"/>
                <w:szCs w:val="21"/>
                <w:lang w:eastAsia="zh-CN"/>
              </w:rPr>
              <w:t>费用。投标报价应涵盖投标人完成</w:t>
            </w:r>
            <w:r>
              <w:rPr>
                <w:rFonts w:hint="eastAsia" w:ascii="宋体" w:hAnsi="宋体" w:eastAsia="宋体"/>
                <w:color w:val="auto"/>
                <w:sz w:val="21"/>
                <w:szCs w:val="21"/>
                <w:lang w:eastAsia="zh-CN"/>
              </w:rPr>
              <w:t>监理</w:t>
            </w:r>
            <w:r>
              <w:rPr>
                <w:rFonts w:ascii="宋体" w:hAnsi="宋体" w:eastAsia="宋体"/>
                <w:color w:val="auto"/>
                <w:sz w:val="21"/>
                <w:szCs w:val="21"/>
                <w:lang w:eastAsia="zh-CN"/>
              </w:rPr>
              <w:t>工作所需的全部费用。</w:t>
            </w:r>
          </w:p>
          <w:p w14:paraId="1C38CDF0">
            <w:pP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rPr>
              <w:t>投标人应按照第六章</w:t>
            </w:r>
            <w:r>
              <w:rPr>
                <w:rFonts w:hint="eastAsia" w:ascii="宋体" w:hAnsi="宋体" w:eastAsia="宋体"/>
                <w:color w:val="auto"/>
                <w:sz w:val="21"/>
                <w:szCs w:val="21"/>
                <w:lang w:eastAsia="zh-CN" w:bidi="ar-SA"/>
              </w:rPr>
              <w:t>“</w:t>
            </w:r>
            <w:r>
              <w:rPr>
                <w:rFonts w:hint="eastAsia" w:ascii="宋体" w:hAnsi="宋体" w:eastAsia="宋体"/>
                <w:color w:val="auto"/>
                <w:sz w:val="21"/>
                <w:szCs w:val="21"/>
                <w:lang w:eastAsia="zh-CN"/>
              </w:rPr>
              <w:t>投标文件格式</w:t>
            </w:r>
            <w:r>
              <w:rPr>
                <w:rFonts w:ascii="宋体" w:hAnsi="宋体" w:eastAsia="宋体"/>
                <w:color w:val="auto"/>
                <w:sz w:val="21"/>
                <w:szCs w:val="21"/>
                <w:lang w:eastAsia="zh-CN" w:bidi="ar-SA"/>
              </w:rPr>
              <w:t>”</w:t>
            </w:r>
            <w:r>
              <w:rPr>
                <w:rFonts w:hint="eastAsia" w:ascii="宋体" w:hAnsi="宋体" w:eastAsia="宋体"/>
                <w:color w:val="auto"/>
                <w:sz w:val="21"/>
                <w:szCs w:val="21"/>
                <w:lang w:eastAsia="zh-CN"/>
              </w:rPr>
              <w:t>中</w:t>
            </w:r>
            <w:r>
              <w:rPr>
                <w:rFonts w:hint="eastAsia" w:ascii="宋体" w:hAnsi="宋体" w:eastAsia="宋体"/>
                <w:color w:val="auto"/>
                <w:sz w:val="21"/>
                <w:szCs w:val="21"/>
                <w:lang w:eastAsia="zh-CN" w:bidi="ar-SA"/>
              </w:rPr>
              <w:t>“监理报酬</w:t>
            </w:r>
            <w:r>
              <w:rPr>
                <w:rFonts w:hint="eastAsia" w:ascii="宋体" w:hAnsi="宋体" w:eastAsia="宋体"/>
                <w:color w:val="auto"/>
                <w:sz w:val="21"/>
                <w:szCs w:val="21"/>
                <w:lang w:eastAsia="zh-CN"/>
              </w:rPr>
              <w:t>清单</w:t>
            </w:r>
            <w:r>
              <w:rPr>
                <w:rFonts w:ascii="宋体" w:hAnsi="宋体" w:eastAsia="宋体"/>
                <w:color w:val="auto"/>
                <w:sz w:val="21"/>
                <w:szCs w:val="21"/>
                <w:lang w:eastAsia="zh-CN" w:bidi="ar-SA"/>
              </w:rPr>
              <w:t>”</w:t>
            </w:r>
            <w:r>
              <w:rPr>
                <w:rFonts w:hint="eastAsia" w:ascii="宋体" w:hAnsi="宋体" w:eastAsia="宋体"/>
                <w:color w:val="auto"/>
                <w:sz w:val="21"/>
                <w:szCs w:val="21"/>
                <w:lang w:eastAsia="zh-CN"/>
              </w:rPr>
              <w:t>的要求填报服务费。投标人未填报的部分，认为该部分费用已包含在报价中。</w:t>
            </w:r>
          </w:p>
        </w:tc>
      </w:tr>
      <w:tr w14:paraId="11BC7112">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846" w:hRule="exact"/>
          <w:jc w:val="center"/>
        </w:trPr>
        <w:tc>
          <w:tcPr>
            <w:tcW w:w="1048" w:type="dxa"/>
            <w:tcBorders>
              <w:top w:val="single" w:color="auto" w:sz="4" w:space="0"/>
              <w:left w:val="single" w:color="auto" w:sz="4" w:space="0"/>
              <w:bottom w:val="single" w:color="auto" w:sz="4" w:space="0"/>
              <w:right w:val="single" w:color="auto" w:sz="4" w:space="0"/>
              <w:tl2br w:val="nil"/>
              <w:tr2bl w:val="nil"/>
            </w:tcBorders>
            <w:vAlign w:val="center"/>
          </w:tcPr>
          <w:p w14:paraId="415DD2C8">
            <w:pPr>
              <w:jc w:val="cente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3.2.</w:t>
            </w:r>
            <w:r>
              <w:rPr>
                <w:rFonts w:ascii="宋体" w:hAnsi="宋体" w:eastAsia="宋体"/>
                <w:color w:val="auto"/>
                <w:sz w:val="21"/>
                <w:szCs w:val="21"/>
                <w:lang w:eastAsia="zh-CN" w:bidi="ar-SA"/>
              </w:rPr>
              <w:t>4</w:t>
            </w:r>
          </w:p>
        </w:tc>
        <w:tc>
          <w:tcPr>
            <w:tcW w:w="2835" w:type="dxa"/>
            <w:tcBorders>
              <w:top w:val="single" w:color="auto" w:sz="4" w:space="0"/>
              <w:left w:val="single" w:color="auto" w:sz="4" w:space="0"/>
              <w:bottom w:val="single" w:color="auto" w:sz="4" w:space="0"/>
              <w:right w:val="single" w:color="auto" w:sz="4" w:space="0"/>
              <w:tl2br w:val="nil"/>
              <w:tr2bl w:val="nil"/>
            </w:tcBorders>
            <w:vAlign w:val="center"/>
          </w:tcPr>
          <w:p w14:paraId="476C1C1F">
            <w:pPr>
              <w:jc w:val="cente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最高投标限价</w:t>
            </w:r>
          </w:p>
        </w:tc>
        <w:tc>
          <w:tcPr>
            <w:tcW w:w="5355" w:type="dxa"/>
            <w:tcBorders>
              <w:top w:val="single" w:color="auto" w:sz="4" w:space="0"/>
              <w:left w:val="single" w:color="auto" w:sz="4" w:space="0"/>
              <w:bottom w:val="single" w:color="auto" w:sz="4" w:space="0"/>
              <w:right w:val="single" w:color="auto" w:sz="4" w:space="0"/>
              <w:tl2br w:val="nil"/>
              <w:tr2bl w:val="nil"/>
            </w:tcBorders>
            <w:vAlign w:val="center"/>
          </w:tcPr>
          <w:p w14:paraId="197FA675">
            <w:pPr>
              <w:jc w:val="both"/>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□无</w:t>
            </w:r>
          </w:p>
          <w:p w14:paraId="51219E22">
            <w:pPr>
              <w:jc w:val="both"/>
              <w:rPr>
                <w:rFonts w:hint="eastAsia" w:ascii="宋体" w:hAnsi="宋体" w:eastAsia="宋体"/>
                <w:b/>
                <w:color w:val="auto"/>
                <w:sz w:val="21"/>
                <w:szCs w:val="21"/>
                <w:lang w:eastAsia="zh-CN" w:bidi="ar-SA"/>
              </w:rPr>
            </w:pPr>
            <w:r>
              <w:rPr>
                <w:rFonts w:hint="eastAsia" w:ascii="宋体" w:hAnsi="宋体" w:eastAsia="宋体"/>
                <w:color w:val="auto"/>
                <w:sz w:val="21"/>
                <w:szCs w:val="21"/>
                <w:lang w:eastAsia="zh-CN" w:bidi="ar-SA"/>
              </w:rPr>
              <w:sym w:font="Wingdings 2" w:char="F052"/>
            </w:r>
            <w:r>
              <w:rPr>
                <w:rFonts w:hint="eastAsia" w:ascii="宋体" w:hAnsi="宋体" w:eastAsia="宋体"/>
                <w:color w:val="auto"/>
                <w:sz w:val="21"/>
                <w:szCs w:val="21"/>
                <w:lang w:eastAsia="zh-CN" w:bidi="ar-SA"/>
              </w:rPr>
              <w:t>有 最高投标限价：</w:t>
            </w:r>
            <w:r>
              <w:rPr>
                <w:rFonts w:hint="eastAsia" w:ascii="宋体" w:hAnsi="宋体" w:eastAsia="宋体"/>
                <w:b/>
                <w:bCs/>
                <w:color w:val="auto"/>
                <w:sz w:val="21"/>
                <w:szCs w:val="21"/>
                <w:lang w:eastAsia="zh-CN" w:bidi="ar-SA"/>
              </w:rPr>
              <w:t>￥</w:t>
            </w:r>
            <w:r>
              <w:rPr>
                <w:rFonts w:hint="eastAsia" w:ascii="宋体" w:hAnsi="宋体"/>
                <w:b/>
                <w:color w:val="auto"/>
                <w:szCs w:val="32"/>
                <w:lang w:eastAsia="zh-CN"/>
              </w:rPr>
              <w:t>1</w:t>
            </w:r>
            <w:r>
              <w:rPr>
                <w:rFonts w:hint="eastAsia" w:ascii="宋体" w:hAnsi="宋体" w:eastAsiaTheme="minorEastAsia"/>
                <w:b/>
                <w:color w:val="auto"/>
                <w:szCs w:val="32"/>
                <w:lang w:eastAsia="zh-CN"/>
              </w:rPr>
              <w:t>92</w:t>
            </w:r>
            <w:r>
              <w:rPr>
                <w:rFonts w:hint="eastAsia" w:ascii="宋体" w:hAnsi="宋体"/>
                <w:b/>
                <w:color w:val="auto"/>
                <w:szCs w:val="32"/>
                <w:lang w:eastAsia="zh-CN"/>
              </w:rPr>
              <w:t>0000</w:t>
            </w:r>
            <w:r>
              <w:rPr>
                <w:rFonts w:hint="eastAsia" w:ascii="宋体" w:hAnsi="宋体" w:eastAsia="宋体"/>
                <w:b/>
                <w:bCs/>
                <w:color w:val="auto"/>
                <w:sz w:val="21"/>
                <w:szCs w:val="21"/>
                <w:lang w:eastAsia="zh-CN" w:bidi="ar-SA"/>
              </w:rPr>
              <w:t>元</w:t>
            </w:r>
          </w:p>
        </w:tc>
      </w:tr>
      <w:tr w14:paraId="31CB5436">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850" w:hRule="exact"/>
          <w:jc w:val="center"/>
        </w:trPr>
        <w:tc>
          <w:tcPr>
            <w:tcW w:w="1048" w:type="dxa"/>
            <w:tcBorders>
              <w:top w:val="single" w:color="auto" w:sz="4" w:space="0"/>
              <w:left w:val="single" w:color="auto" w:sz="4" w:space="0"/>
              <w:bottom w:val="single" w:color="auto" w:sz="4" w:space="0"/>
              <w:right w:val="single" w:color="auto" w:sz="4" w:space="0"/>
              <w:tl2br w:val="nil"/>
              <w:tr2bl w:val="nil"/>
            </w:tcBorders>
            <w:vAlign w:val="center"/>
          </w:tcPr>
          <w:p w14:paraId="054A768A">
            <w:pPr>
              <w:jc w:val="center"/>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3.3.1</w:t>
            </w:r>
          </w:p>
        </w:tc>
        <w:tc>
          <w:tcPr>
            <w:tcW w:w="2835" w:type="dxa"/>
            <w:tcBorders>
              <w:top w:val="single" w:color="auto" w:sz="4" w:space="0"/>
              <w:left w:val="single" w:color="auto" w:sz="4" w:space="0"/>
              <w:bottom w:val="single" w:color="auto" w:sz="4" w:space="0"/>
              <w:right w:val="single" w:color="auto" w:sz="4" w:space="0"/>
              <w:tl2br w:val="nil"/>
              <w:tr2bl w:val="nil"/>
            </w:tcBorders>
            <w:vAlign w:val="center"/>
          </w:tcPr>
          <w:p w14:paraId="14B24C0D">
            <w:pPr>
              <w:jc w:val="center"/>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投标有效期</w:t>
            </w:r>
          </w:p>
        </w:tc>
        <w:tc>
          <w:tcPr>
            <w:tcW w:w="5355" w:type="dxa"/>
            <w:tcBorders>
              <w:top w:val="single" w:color="auto" w:sz="4" w:space="0"/>
              <w:left w:val="single" w:color="auto" w:sz="4" w:space="0"/>
              <w:bottom w:val="single" w:color="auto" w:sz="4" w:space="0"/>
              <w:right w:val="single" w:color="auto" w:sz="4" w:space="0"/>
              <w:tl2br w:val="nil"/>
              <w:tr2bl w:val="nil"/>
            </w:tcBorders>
            <w:vAlign w:val="center"/>
          </w:tcPr>
          <w:p w14:paraId="171C3FE1">
            <w:pPr>
              <w:jc w:val="both"/>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自投标人提交投标文件截止之日起计算</w:t>
            </w:r>
            <w:r>
              <w:rPr>
                <w:rFonts w:hint="eastAsia" w:ascii="宋体" w:hAnsi="宋体" w:eastAsia="宋体"/>
                <w:color w:val="auto"/>
                <w:sz w:val="21"/>
                <w:szCs w:val="21"/>
                <w:u w:val="single"/>
                <w:lang w:eastAsia="zh-CN" w:bidi="ar-SA"/>
              </w:rPr>
              <w:t xml:space="preserve">90 </w:t>
            </w:r>
            <w:r>
              <w:rPr>
                <w:rFonts w:ascii="宋体" w:hAnsi="宋体" w:eastAsia="宋体"/>
                <w:color w:val="auto"/>
                <w:sz w:val="21"/>
                <w:szCs w:val="21"/>
                <w:lang w:eastAsia="zh-CN" w:bidi="ar-SA"/>
              </w:rPr>
              <w:t>日</w:t>
            </w:r>
          </w:p>
        </w:tc>
      </w:tr>
      <w:tr w14:paraId="0E8E8970">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918" w:hRule="atLeast"/>
          <w:jc w:val="center"/>
        </w:trPr>
        <w:tc>
          <w:tcPr>
            <w:tcW w:w="1048" w:type="dxa"/>
            <w:tcBorders>
              <w:top w:val="single" w:color="auto" w:sz="4" w:space="0"/>
              <w:left w:val="single" w:color="auto" w:sz="4" w:space="0"/>
              <w:bottom w:val="single" w:color="auto" w:sz="4" w:space="0"/>
              <w:right w:val="single" w:color="auto" w:sz="4" w:space="0"/>
              <w:tl2br w:val="nil"/>
              <w:tr2bl w:val="nil"/>
            </w:tcBorders>
            <w:vAlign w:val="center"/>
          </w:tcPr>
          <w:p w14:paraId="606A5B4E">
            <w:pPr>
              <w:jc w:val="center"/>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3.4.1</w:t>
            </w:r>
          </w:p>
        </w:tc>
        <w:tc>
          <w:tcPr>
            <w:tcW w:w="2835" w:type="dxa"/>
            <w:tcBorders>
              <w:top w:val="single" w:color="auto" w:sz="4" w:space="0"/>
              <w:left w:val="single" w:color="auto" w:sz="4" w:space="0"/>
              <w:bottom w:val="single" w:color="auto" w:sz="4" w:space="0"/>
              <w:right w:val="single" w:color="auto" w:sz="4" w:space="0"/>
              <w:tl2br w:val="nil"/>
              <w:tr2bl w:val="nil"/>
            </w:tcBorders>
            <w:vAlign w:val="center"/>
          </w:tcPr>
          <w:p w14:paraId="6B3DA84F">
            <w:pPr>
              <w:jc w:val="center"/>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投标保证金</w:t>
            </w:r>
          </w:p>
        </w:tc>
        <w:tc>
          <w:tcPr>
            <w:tcW w:w="5355" w:type="dxa"/>
            <w:tcBorders>
              <w:top w:val="single" w:color="auto" w:sz="4" w:space="0"/>
              <w:left w:val="single" w:color="auto" w:sz="4" w:space="0"/>
              <w:bottom w:val="single" w:color="auto" w:sz="4" w:space="0"/>
              <w:right w:val="single" w:color="auto" w:sz="4" w:space="0"/>
              <w:tl2br w:val="nil"/>
              <w:tr2bl w:val="nil"/>
            </w:tcBorders>
            <w:vAlign w:val="center"/>
          </w:tcPr>
          <w:p w14:paraId="376ECAE6">
            <w:pPr>
              <w:spacing w:line="360" w:lineRule="auto"/>
              <w:rPr>
                <w:rFonts w:ascii="宋体" w:hAnsi="宋体" w:cs="宋体"/>
                <w:color w:val="auto"/>
                <w:sz w:val="21"/>
                <w:szCs w:val="21"/>
                <w:lang w:eastAsia="zh-CN"/>
              </w:rPr>
            </w:pPr>
            <w:r>
              <w:rPr>
                <w:rFonts w:hint="eastAsia" w:ascii="宋体" w:hAnsi="宋体" w:cs="宋体"/>
                <w:color w:val="auto"/>
                <w:sz w:val="21"/>
                <w:szCs w:val="21"/>
                <w:lang w:eastAsia="zh-CN"/>
              </w:rPr>
              <w:t>是否要求投标人递交投标保证金：</w:t>
            </w:r>
          </w:p>
          <w:p w14:paraId="306A981F">
            <w:pPr>
              <w:spacing w:line="360" w:lineRule="auto"/>
              <w:rPr>
                <w:rFonts w:ascii="宋体" w:hAnsi="宋体" w:cs="宋体"/>
                <w:color w:val="auto"/>
                <w:sz w:val="21"/>
                <w:szCs w:val="21"/>
                <w:lang w:eastAsia="zh-CN"/>
              </w:rPr>
            </w:pPr>
            <w:r>
              <w:rPr>
                <w:rFonts w:hint="eastAsia" w:ascii="宋体" w:hAnsi="宋体" w:cs="宋体"/>
                <w:color w:val="auto"/>
                <w:sz w:val="21"/>
                <w:szCs w:val="21"/>
              </w:rPr>
              <w:sym w:font="Wingdings 2" w:char="00A3"/>
            </w:r>
            <w:r>
              <w:rPr>
                <w:rFonts w:hint="eastAsia" w:ascii="宋体" w:hAnsi="宋体" w:cs="宋体"/>
                <w:color w:val="auto"/>
                <w:sz w:val="21"/>
                <w:szCs w:val="21"/>
                <w:lang w:eastAsia="zh-CN"/>
              </w:rPr>
              <w:t>不要求,招标文件中所有有关投标保证金的条款均不适用。</w:t>
            </w:r>
          </w:p>
          <w:p w14:paraId="045AAA71">
            <w:pPr>
              <w:spacing w:line="360" w:lineRule="auto"/>
              <w:rPr>
                <w:rFonts w:ascii="宋体" w:hAnsi="宋体" w:cs="宋体"/>
                <w:color w:val="auto"/>
                <w:sz w:val="21"/>
                <w:szCs w:val="21"/>
                <w:lang w:eastAsia="zh-CN"/>
              </w:rPr>
            </w:pPr>
            <w:r>
              <w:rPr>
                <w:rFonts w:hint="eastAsia" w:ascii="宋体" w:hAnsi="宋体" w:cs="宋体"/>
                <w:color w:val="auto"/>
                <w:sz w:val="21"/>
                <w:szCs w:val="21"/>
              </w:rPr>
              <w:sym w:font="Wingdings 2" w:char="0052"/>
            </w:r>
            <w:r>
              <w:rPr>
                <w:rFonts w:hint="eastAsia" w:ascii="宋体" w:hAnsi="宋体" w:cs="宋体"/>
                <w:color w:val="auto"/>
                <w:sz w:val="21"/>
                <w:szCs w:val="21"/>
                <w:lang w:eastAsia="zh-CN"/>
              </w:rPr>
              <w:t>要求：</w:t>
            </w:r>
          </w:p>
          <w:p w14:paraId="254967FA">
            <w:pPr>
              <w:spacing w:line="360" w:lineRule="auto"/>
              <w:rPr>
                <w:rFonts w:ascii="宋体" w:hAnsi="宋体" w:cs="宋体"/>
                <w:b/>
                <w:bCs/>
                <w:color w:val="auto"/>
                <w:sz w:val="21"/>
                <w:szCs w:val="21"/>
                <w:lang w:eastAsia="zh-CN"/>
              </w:rPr>
            </w:pPr>
            <w:r>
              <w:rPr>
                <w:rFonts w:hint="eastAsia" w:ascii="宋体" w:hAnsi="宋体" w:cs="宋体"/>
                <w:b/>
                <w:bCs/>
                <w:color w:val="auto"/>
                <w:sz w:val="21"/>
                <w:szCs w:val="21"/>
                <w:lang w:eastAsia="zh-CN"/>
              </w:rPr>
              <w:t>投标保证金的金额：</w:t>
            </w:r>
            <w:r>
              <w:rPr>
                <w:rFonts w:ascii="宋体" w:hAnsi="宋体" w:cs="宋体"/>
                <w:b/>
                <w:bCs/>
                <w:color w:val="auto"/>
                <w:sz w:val="21"/>
                <w:szCs w:val="21"/>
                <w:u w:val="single"/>
              </w:rPr>
              <w:fldChar w:fldCharType="begin"/>
            </w:r>
            <w:r>
              <w:rPr>
                <w:rFonts w:ascii="宋体" w:hAnsi="宋体" w:cs="宋体"/>
                <w:b/>
                <w:bCs/>
                <w:color w:val="auto"/>
                <w:sz w:val="21"/>
                <w:szCs w:val="21"/>
                <w:u w:val="single"/>
                <w:lang w:eastAsia="zh-CN"/>
              </w:rPr>
              <w:instrText xml:space="preserve"> = 100000 \* CHINESENUM2 \* MERGEFORMAT </w:instrText>
            </w:r>
            <w:r>
              <w:rPr>
                <w:rFonts w:ascii="宋体" w:hAnsi="宋体" w:cs="宋体"/>
                <w:b/>
                <w:bCs/>
                <w:color w:val="auto"/>
                <w:sz w:val="21"/>
                <w:szCs w:val="21"/>
                <w:u w:val="single"/>
              </w:rPr>
              <w:fldChar w:fldCharType="separate"/>
            </w:r>
            <w:r>
              <w:rPr>
                <w:rFonts w:hint="eastAsia" w:ascii="宋体" w:hAnsi="宋体" w:eastAsia="宋体" w:cs="宋体"/>
                <w:b/>
                <w:bCs/>
                <w:color w:val="auto"/>
                <w:sz w:val="21"/>
                <w:szCs w:val="21"/>
                <w:u w:val="single"/>
                <w:lang w:eastAsia="zh-CN"/>
              </w:rPr>
              <w:t>叁</w:t>
            </w:r>
            <w:r>
              <w:rPr>
                <w:b/>
                <w:bCs/>
                <w:color w:val="auto"/>
                <w:sz w:val="21"/>
                <w:szCs w:val="21"/>
                <w:lang w:eastAsia="zh-CN"/>
              </w:rPr>
              <w:t>万</w:t>
            </w:r>
            <w:r>
              <w:rPr>
                <w:rFonts w:ascii="宋体" w:hAnsi="宋体" w:cs="宋体"/>
                <w:b/>
                <w:bCs/>
                <w:color w:val="auto"/>
                <w:sz w:val="21"/>
                <w:szCs w:val="21"/>
                <w:u w:val="single"/>
              </w:rPr>
              <w:fldChar w:fldCharType="end"/>
            </w:r>
            <w:r>
              <w:rPr>
                <w:rFonts w:hint="eastAsia" w:ascii="宋体" w:hAnsi="宋体" w:cs="宋体"/>
                <w:b/>
                <w:bCs/>
                <w:color w:val="auto"/>
                <w:sz w:val="21"/>
                <w:szCs w:val="21"/>
                <w:lang w:eastAsia="zh-CN"/>
              </w:rPr>
              <w:t>元/标段（￥</w:t>
            </w:r>
            <w:r>
              <w:rPr>
                <w:rFonts w:hint="eastAsia" w:ascii="宋体" w:hAnsi="宋体" w:eastAsia="宋体" w:cs="宋体"/>
                <w:b/>
                <w:bCs/>
                <w:color w:val="auto"/>
                <w:sz w:val="21"/>
                <w:szCs w:val="21"/>
                <w:u w:val="single"/>
                <w:lang w:eastAsia="zh-CN"/>
              </w:rPr>
              <w:t>3</w:t>
            </w:r>
            <w:r>
              <w:rPr>
                <w:rFonts w:hint="eastAsia" w:ascii="宋体" w:hAnsi="宋体" w:cs="宋体"/>
                <w:b/>
                <w:bCs/>
                <w:color w:val="auto"/>
                <w:sz w:val="21"/>
                <w:szCs w:val="21"/>
                <w:u w:val="single"/>
                <w:lang w:eastAsia="zh-CN"/>
              </w:rPr>
              <w:t>0000</w:t>
            </w:r>
            <w:r>
              <w:rPr>
                <w:rFonts w:hint="eastAsia" w:ascii="宋体" w:hAnsi="宋体" w:cs="宋体"/>
                <w:b/>
                <w:bCs/>
                <w:color w:val="auto"/>
                <w:sz w:val="21"/>
                <w:szCs w:val="21"/>
                <w:lang w:eastAsia="zh-CN"/>
              </w:rPr>
              <w:t xml:space="preserve">元/标段） </w:t>
            </w:r>
          </w:p>
          <w:p w14:paraId="0C269AC5">
            <w:pPr>
              <w:spacing w:line="360" w:lineRule="auto"/>
              <w:rPr>
                <w:rFonts w:ascii="宋体" w:hAnsi="宋体" w:cs="宋体"/>
                <w:color w:val="auto"/>
                <w:spacing w:val="1"/>
                <w:sz w:val="21"/>
                <w:szCs w:val="21"/>
                <w:lang w:eastAsia="zh-CN"/>
              </w:rPr>
            </w:pPr>
            <w:r>
              <w:rPr>
                <w:rFonts w:hint="eastAsia" w:ascii="宋体" w:hAnsi="宋体" w:cs="宋体"/>
                <w:b/>
                <w:bCs/>
                <w:color w:val="auto"/>
                <w:sz w:val="21"/>
                <w:szCs w:val="21"/>
                <w:lang w:eastAsia="zh-CN"/>
              </w:rPr>
              <w:t>投标保证金的形式：</w:t>
            </w:r>
            <w:r>
              <w:rPr>
                <w:rFonts w:hint="eastAsia" w:ascii="宋体" w:hAnsi="宋体" w:cs="宋体"/>
                <w:color w:val="auto"/>
                <w:spacing w:val="1"/>
                <w:sz w:val="21"/>
                <w:szCs w:val="21"/>
                <w:lang w:eastAsia="zh-CN"/>
              </w:rPr>
              <w:t>银行转账、电子保函，其中：</w:t>
            </w:r>
          </w:p>
          <w:p w14:paraId="400C2CD7">
            <w:pPr>
              <w:kinsoku w:val="0"/>
              <w:overflowPunct w:val="0"/>
              <w:spacing w:line="360" w:lineRule="auto"/>
              <w:ind w:right="120" w:rightChars="50" w:hanging="4"/>
              <w:rPr>
                <w:rFonts w:ascii="宋体" w:hAnsi="宋体" w:cs="宋体"/>
                <w:color w:val="auto"/>
                <w:spacing w:val="1"/>
                <w:sz w:val="21"/>
                <w:szCs w:val="21"/>
                <w:lang w:eastAsia="zh-CN"/>
              </w:rPr>
            </w:pPr>
            <w:r>
              <w:rPr>
                <w:rFonts w:hint="eastAsia" w:ascii="宋体" w:hAnsi="宋体" w:cs="宋体"/>
                <w:color w:val="auto"/>
                <w:spacing w:val="1"/>
                <w:sz w:val="21"/>
                <w:szCs w:val="21"/>
                <w:lang w:eastAsia="zh-CN"/>
              </w:rPr>
              <w:t>（1）采用银行转账时，必须从投标人基本账户一次性汇出或转出，至招标人指定的开户银行及账号，信息如下：</w:t>
            </w:r>
          </w:p>
          <w:p w14:paraId="2E211391">
            <w:pPr>
              <w:kinsoku w:val="0"/>
              <w:overflowPunct w:val="0"/>
              <w:spacing w:line="360" w:lineRule="auto"/>
              <w:ind w:left="102" w:right="120" w:rightChars="50" w:hanging="106"/>
              <w:rPr>
                <w:rFonts w:ascii="宋体" w:hAnsi="宋体" w:cs="宋体"/>
                <w:color w:val="auto"/>
                <w:spacing w:val="1"/>
                <w:sz w:val="21"/>
                <w:szCs w:val="21"/>
                <w:lang w:eastAsia="zh-CN"/>
              </w:rPr>
            </w:pPr>
            <w:r>
              <w:rPr>
                <w:rFonts w:hint="eastAsia" w:ascii="宋体" w:hAnsi="宋体" w:cs="宋体"/>
                <w:color w:val="auto"/>
                <w:spacing w:val="1"/>
                <w:sz w:val="21"/>
                <w:szCs w:val="21"/>
                <w:lang w:eastAsia="zh-CN"/>
              </w:rPr>
              <w:t>账户名称：</w:t>
            </w:r>
            <w:r>
              <w:rPr>
                <w:rFonts w:hint="eastAsia" w:ascii="宋体" w:hAnsi="宋体" w:cs="宋体"/>
                <w:color w:val="auto"/>
                <w:spacing w:val="1"/>
                <w:sz w:val="21"/>
                <w:szCs w:val="21"/>
                <w:u w:val="single"/>
                <w:lang w:eastAsia="zh-CN"/>
              </w:rPr>
              <w:t>投标人自行从系统中获取</w:t>
            </w:r>
          </w:p>
          <w:p w14:paraId="45F864E3">
            <w:pPr>
              <w:kinsoku w:val="0"/>
              <w:overflowPunct w:val="0"/>
              <w:spacing w:line="360" w:lineRule="auto"/>
              <w:ind w:left="102" w:right="120" w:rightChars="50" w:hanging="106"/>
              <w:rPr>
                <w:rFonts w:ascii="宋体" w:hAnsi="宋体" w:cs="宋体"/>
                <w:color w:val="auto"/>
                <w:spacing w:val="1"/>
                <w:sz w:val="21"/>
                <w:szCs w:val="21"/>
                <w:lang w:eastAsia="zh-CN"/>
              </w:rPr>
            </w:pPr>
            <w:r>
              <w:rPr>
                <w:rFonts w:hint="eastAsia" w:ascii="宋体" w:hAnsi="宋体" w:cs="宋体"/>
                <w:color w:val="auto"/>
                <w:spacing w:val="1"/>
                <w:sz w:val="21"/>
                <w:szCs w:val="21"/>
                <w:lang w:eastAsia="zh-CN"/>
              </w:rPr>
              <w:t>开户银行：</w:t>
            </w:r>
            <w:r>
              <w:rPr>
                <w:rFonts w:hint="eastAsia" w:ascii="宋体" w:hAnsi="宋体" w:cs="宋体"/>
                <w:color w:val="auto"/>
                <w:spacing w:val="1"/>
                <w:sz w:val="21"/>
                <w:szCs w:val="21"/>
                <w:u w:val="single"/>
                <w:lang w:eastAsia="zh-CN"/>
              </w:rPr>
              <w:t>投标人自行从系统中选择</w:t>
            </w:r>
          </w:p>
          <w:p w14:paraId="65432FAE">
            <w:pPr>
              <w:kinsoku w:val="0"/>
              <w:overflowPunct w:val="0"/>
              <w:spacing w:line="360" w:lineRule="auto"/>
              <w:ind w:left="102" w:right="120" w:rightChars="50" w:hanging="106"/>
              <w:rPr>
                <w:rFonts w:ascii="宋体" w:hAnsi="宋体" w:cs="宋体"/>
                <w:color w:val="auto"/>
                <w:spacing w:val="1"/>
                <w:sz w:val="21"/>
                <w:szCs w:val="21"/>
                <w:u w:val="single"/>
                <w:lang w:eastAsia="zh-CN"/>
              </w:rPr>
            </w:pPr>
            <w:r>
              <w:rPr>
                <w:rFonts w:hint="eastAsia" w:ascii="宋体" w:hAnsi="宋体" w:cs="宋体"/>
                <w:color w:val="auto"/>
                <w:spacing w:val="1"/>
                <w:sz w:val="21"/>
                <w:szCs w:val="21"/>
                <w:lang w:eastAsia="zh-CN"/>
              </w:rPr>
              <w:t>账    号：</w:t>
            </w:r>
            <w:r>
              <w:rPr>
                <w:rFonts w:hint="eastAsia" w:ascii="宋体" w:hAnsi="宋体" w:cs="宋体"/>
                <w:color w:val="auto"/>
                <w:spacing w:val="1"/>
                <w:sz w:val="21"/>
                <w:szCs w:val="21"/>
                <w:u w:val="single"/>
                <w:lang w:eastAsia="zh-CN"/>
              </w:rPr>
              <w:t>投标人自行在系统中生成</w:t>
            </w:r>
          </w:p>
          <w:p w14:paraId="5D891088">
            <w:pPr>
              <w:kinsoku w:val="0"/>
              <w:overflowPunct w:val="0"/>
              <w:spacing w:line="360" w:lineRule="auto"/>
              <w:ind w:left="102" w:right="120" w:rightChars="50" w:hanging="106"/>
              <w:rPr>
                <w:rFonts w:ascii="宋体" w:hAnsi="宋体" w:cs="宋体"/>
                <w:color w:val="auto"/>
                <w:spacing w:val="1"/>
                <w:sz w:val="21"/>
                <w:szCs w:val="21"/>
                <w:lang w:eastAsia="zh-CN"/>
              </w:rPr>
            </w:pPr>
            <w:r>
              <w:rPr>
                <w:rFonts w:hint="eastAsia" w:ascii="宋体" w:hAnsi="宋体" w:cs="宋体"/>
                <w:color w:val="auto"/>
                <w:spacing w:val="1"/>
                <w:sz w:val="21"/>
                <w:szCs w:val="21"/>
                <w:u w:val="single"/>
                <w:lang w:eastAsia="zh-CN"/>
              </w:rPr>
              <w:t>投标保证金到账截止时间（指到达招标人指定的账号时间）： 同投标截止时间（投标截止时间如有变动时，到账时间同步顺延）。</w:t>
            </w:r>
          </w:p>
          <w:p w14:paraId="6E4C27F1">
            <w:pPr>
              <w:kinsoku w:val="0"/>
              <w:overflowPunct w:val="0"/>
              <w:spacing w:line="360" w:lineRule="auto"/>
              <w:ind w:right="120" w:rightChars="50" w:hanging="4"/>
              <w:rPr>
                <w:rFonts w:ascii="宋体" w:hAnsi="宋体" w:cs="宋体"/>
                <w:color w:val="auto"/>
                <w:spacing w:val="1"/>
                <w:sz w:val="21"/>
                <w:szCs w:val="21"/>
                <w:lang w:eastAsia="zh-CN"/>
              </w:rPr>
            </w:pPr>
            <w:r>
              <w:rPr>
                <w:rFonts w:hint="eastAsia" w:ascii="宋体" w:hAnsi="宋体" w:cs="宋体"/>
                <w:color w:val="auto"/>
                <w:spacing w:val="1"/>
                <w:sz w:val="21"/>
                <w:szCs w:val="21"/>
                <w:lang w:eastAsia="zh-CN"/>
              </w:rPr>
              <w:t>备注：本招标项目在江西省公共资源交易平台电子交易系统交通工程子系统中的交通工程（非自动评审类）模块采取虚拟子账户方式缴纳投标保证金，投标人应当按照电子保证金系统中的流程操作，在系统中获取投标保证金子账号，在规定的到账截止时间之前一次性足额转账到达该子账号中，同时投标保证金汇出的账户名称应与投标人名称一致。</w:t>
            </w:r>
          </w:p>
          <w:p w14:paraId="7AA53006">
            <w:pPr>
              <w:kinsoku w:val="0"/>
              <w:overflowPunct w:val="0"/>
              <w:spacing w:line="360" w:lineRule="auto"/>
              <w:ind w:right="120" w:rightChars="50"/>
              <w:rPr>
                <w:rFonts w:ascii="宋体" w:hAnsi="宋体" w:cs="宋体"/>
                <w:color w:val="auto"/>
                <w:spacing w:val="1"/>
                <w:sz w:val="21"/>
                <w:szCs w:val="21"/>
                <w:lang w:eastAsia="zh-CN"/>
              </w:rPr>
            </w:pPr>
            <w:r>
              <w:rPr>
                <w:rFonts w:hint="eastAsia" w:ascii="宋体" w:hAnsi="宋体" w:cs="宋体"/>
                <w:color w:val="auto"/>
                <w:spacing w:val="1"/>
                <w:sz w:val="21"/>
                <w:szCs w:val="21"/>
                <w:lang w:eastAsia="zh-CN"/>
              </w:rPr>
              <w:t>（</w:t>
            </w:r>
            <w:r>
              <w:rPr>
                <w:rFonts w:ascii="宋体" w:hAnsi="宋体" w:cs="宋体"/>
                <w:color w:val="auto"/>
                <w:spacing w:val="1"/>
                <w:sz w:val="21"/>
                <w:szCs w:val="21"/>
                <w:lang w:eastAsia="zh-CN"/>
              </w:rPr>
              <w:t>2</w:t>
            </w:r>
            <w:r>
              <w:rPr>
                <w:rFonts w:hint="eastAsia" w:ascii="宋体" w:hAnsi="宋体" w:cs="宋体"/>
                <w:color w:val="auto"/>
                <w:spacing w:val="1"/>
                <w:sz w:val="21"/>
                <w:szCs w:val="21"/>
                <w:lang w:eastAsia="zh-CN"/>
              </w:rPr>
              <w:t>）采用电子保函形式时，按照《赣发改公管规【2021】1092号》要求执行，投标人应通过江西省公共资源交易平台金融服务系统开具和提交，提交截止时间同投标截止时间，保函内容及格式最终以江西省公共资源交易平台金融服务系统查询开具情况为准。当金融机构开具的投标保函与招标文件规定的投标保函格式内容存在差异，但是该差异不影响保函的担保效力时，该投标保函认定有效。</w:t>
            </w:r>
          </w:p>
          <w:p w14:paraId="2E30508A">
            <w:pPr>
              <w:jc w:val="both"/>
              <w:rPr>
                <w:rFonts w:hint="eastAsia" w:ascii="宋体" w:hAnsi="宋体" w:eastAsia="宋体"/>
                <w:color w:val="auto"/>
                <w:sz w:val="21"/>
                <w:szCs w:val="21"/>
                <w:lang w:eastAsia="zh-CN" w:bidi="ar-SA"/>
              </w:rPr>
            </w:pPr>
            <w:r>
              <w:rPr>
                <w:rFonts w:hint="eastAsia" w:ascii="宋体" w:hAnsi="宋体" w:cs="宋体"/>
                <w:color w:val="auto"/>
                <w:spacing w:val="1"/>
                <w:sz w:val="21"/>
                <w:szCs w:val="21"/>
                <w:lang w:eastAsia="zh-CN"/>
              </w:rPr>
              <w:t>特别提醒：保函格式可以载明保函有限期限（包括生效、失效日期的约定），但保函有效期限不得少于本项目投标有效期或经延长的投标有效期。</w:t>
            </w:r>
          </w:p>
        </w:tc>
      </w:tr>
      <w:tr w14:paraId="0DE07179">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808" w:hRule="exact"/>
          <w:jc w:val="center"/>
        </w:trPr>
        <w:tc>
          <w:tcPr>
            <w:tcW w:w="1048" w:type="dxa"/>
            <w:tcBorders>
              <w:top w:val="single" w:color="auto" w:sz="4" w:space="0"/>
              <w:left w:val="single" w:color="auto" w:sz="4" w:space="0"/>
              <w:bottom w:val="single" w:color="auto" w:sz="4" w:space="0"/>
              <w:right w:val="single" w:color="auto" w:sz="4" w:space="0"/>
              <w:tl2br w:val="nil"/>
              <w:tr2bl w:val="nil"/>
            </w:tcBorders>
            <w:vAlign w:val="center"/>
          </w:tcPr>
          <w:p w14:paraId="0D3B5639">
            <w:pPr>
              <w:jc w:val="cente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3</w:t>
            </w:r>
            <w:r>
              <w:rPr>
                <w:rFonts w:ascii="宋体" w:hAnsi="宋体" w:eastAsia="宋体"/>
                <w:color w:val="auto"/>
                <w:sz w:val="21"/>
                <w:szCs w:val="21"/>
                <w:lang w:eastAsia="zh-CN" w:bidi="ar-SA"/>
              </w:rPr>
              <w:t>.4.4</w:t>
            </w:r>
          </w:p>
        </w:tc>
        <w:tc>
          <w:tcPr>
            <w:tcW w:w="2835" w:type="dxa"/>
            <w:tcBorders>
              <w:top w:val="single" w:color="auto" w:sz="4" w:space="0"/>
              <w:left w:val="single" w:color="auto" w:sz="4" w:space="0"/>
              <w:bottom w:val="single" w:color="auto" w:sz="4" w:space="0"/>
              <w:right w:val="single" w:color="auto" w:sz="4" w:space="0"/>
              <w:tl2br w:val="nil"/>
              <w:tr2bl w:val="nil"/>
            </w:tcBorders>
            <w:vAlign w:val="center"/>
          </w:tcPr>
          <w:p w14:paraId="38677597">
            <w:pPr>
              <w:jc w:val="cente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其他可以不予退还投标保证金的情形</w:t>
            </w:r>
          </w:p>
        </w:tc>
        <w:tc>
          <w:tcPr>
            <w:tcW w:w="5355" w:type="dxa"/>
            <w:tcBorders>
              <w:top w:val="single" w:color="auto" w:sz="4" w:space="0"/>
              <w:left w:val="single" w:color="auto" w:sz="4" w:space="0"/>
              <w:bottom w:val="single" w:color="auto" w:sz="4" w:space="0"/>
              <w:right w:val="single" w:color="auto" w:sz="4" w:space="0"/>
              <w:tl2br w:val="nil"/>
              <w:tr2bl w:val="nil"/>
            </w:tcBorders>
            <w:vAlign w:val="center"/>
          </w:tcPr>
          <w:p w14:paraId="7416F420">
            <w:pPr>
              <w:tabs>
                <w:tab w:val="left" w:pos="1180"/>
                <w:tab w:val="left" w:pos="3820"/>
              </w:tabs>
              <w:jc w:val="both"/>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w:t>
            </w:r>
            <w:r>
              <w:rPr>
                <w:rFonts w:ascii="宋体" w:hAnsi="宋体" w:eastAsia="宋体"/>
                <w:color w:val="auto"/>
                <w:sz w:val="21"/>
                <w:szCs w:val="21"/>
                <w:lang w:eastAsia="zh-CN" w:bidi="ar-SA"/>
              </w:rPr>
              <w:t>1</w:t>
            </w:r>
            <w:r>
              <w:rPr>
                <w:rFonts w:hint="eastAsia" w:ascii="宋体" w:hAnsi="宋体" w:eastAsia="宋体"/>
                <w:color w:val="auto"/>
                <w:sz w:val="21"/>
                <w:szCs w:val="21"/>
                <w:lang w:eastAsia="zh-CN" w:bidi="ar-SA"/>
              </w:rPr>
              <w:t>）投标人不接受依据评标办法的规定对其投标文件中细微偏差进行澄清和补正；</w:t>
            </w:r>
          </w:p>
          <w:p w14:paraId="2FA05A66">
            <w:pPr>
              <w:tabs>
                <w:tab w:val="left" w:pos="1180"/>
                <w:tab w:val="left" w:pos="3820"/>
              </w:tabs>
              <w:jc w:val="both"/>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w:t>
            </w:r>
            <w:r>
              <w:rPr>
                <w:rFonts w:ascii="宋体" w:hAnsi="宋体" w:eastAsia="宋体"/>
                <w:color w:val="auto"/>
                <w:sz w:val="21"/>
                <w:szCs w:val="21"/>
                <w:lang w:eastAsia="zh-CN" w:bidi="ar-SA"/>
              </w:rPr>
              <w:t>2</w:t>
            </w:r>
            <w:r>
              <w:rPr>
                <w:rFonts w:hint="eastAsia" w:ascii="宋体" w:hAnsi="宋体" w:eastAsia="宋体"/>
                <w:color w:val="auto"/>
                <w:sz w:val="21"/>
                <w:szCs w:val="21"/>
                <w:lang w:eastAsia="zh-CN" w:bidi="ar-SA"/>
              </w:rPr>
              <w:t>）投标人提交了虚假资料。</w:t>
            </w:r>
          </w:p>
          <w:p w14:paraId="35B8CEC0">
            <w:pPr>
              <w:tabs>
                <w:tab w:val="left" w:pos="1180"/>
                <w:tab w:val="left" w:pos="3820"/>
              </w:tabs>
              <w:jc w:val="both"/>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（3）投标人通过第一信封（商务及技术文件）评审，未在规定时间内进行第二信封（报价文件）解密的（因交易中心网络或解密机故障除外）。</w:t>
            </w:r>
          </w:p>
        </w:tc>
      </w:tr>
      <w:tr w14:paraId="1EBD0999">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249" w:hRule="exact"/>
          <w:jc w:val="center"/>
        </w:trPr>
        <w:tc>
          <w:tcPr>
            <w:tcW w:w="1048" w:type="dxa"/>
            <w:tcBorders>
              <w:top w:val="single" w:color="auto" w:sz="4" w:space="0"/>
              <w:left w:val="single" w:color="auto" w:sz="4" w:space="0"/>
              <w:bottom w:val="single" w:color="auto" w:sz="4" w:space="0"/>
              <w:right w:val="single" w:color="auto" w:sz="4" w:space="0"/>
              <w:tl2br w:val="nil"/>
              <w:tr2bl w:val="nil"/>
            </w:tcBorders>
            <w:vAlign w:val="center"/>
          </w:tcPr>
          <w:p w14:paraId="766DDAA3">
            <w:pPr>
              <w:jc w:val="cente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3</w:t>
            </w:r>
            <w:r>
              <w:rPr>
                <w:rFonts w:ascii="宋体" w:hAnsi="宋体" w:eastAsia="宋体"/>
                <w:color w:val="auto"/>
                <w:sz w:val="21"/>
                <w:szCs w:val="21"/>
                <w:lang w:eastAsia="zh-CN" w:bidi="ar-SA"/>
              </w:rPr>
              <w:t>.5</w:t>
            </w:r>
          </w:p>
        </w:tc>
        <w:tc>
          <w:tcPr>
            <w:tcW w:w="2835" w:type="dxa"/>
            <w:tcBorders>
              <w:top w:val="single" w:color="auto" w:sz="4" w:space="0"/>
              <w:left w:val="single" w:color="auto" w:sz="4" w:space="0"/>
              <w:bottom w:val="single" w:color="auto" w:sz="4" w:space="0"/>
              <w:right w:val="single" w:color="auto" w:sz="4" w:space="0"/>
              <w:tl2br w:val="nil"/>
              <w:tr2bl w:val="nil"/>
            </w:tcBorders>
            <w:vAlign w:val="center"/>
          </w:tcPr>
          <w:p w14:paraId="6F699B72">
            <w:pPr>
              <w:jc w:val="cente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资格审查资料的特殊要求</w:t>
            </w:r>
          </w:p>
        </w:tc>
        <w:tc>
          <w:tcPr>
            <w:tcW w:w="5355" w:type="dxa"/>
            <w:tcBorders>
              <w:top w:val="single" w:color="auto" w:sz="4" w:space="0"/>
              <w:left w:val="single" w:color="auto" w:sz="4" w:space="0"/>
              <w:bottom w:val="single" w:color="auto" w:sz="4" w:space="0"/>
              <w:right w:val="single" w:color="auto" w:sz="4" w:space="0"/>
              <w:tl2br w:val="nil"/>
              <w:tr2bl w:val="nil"/>
            </w:tcBorders>
            <w:vAlign w:val="center"/>
          </w:tcPr>
          <w:p w14:paraId="417D448C">
            <w:pPr>
              <w:pStyle w:val="95"/>
              <w:spacing w:line="276" w:lineRule="auto"/>
              <w:ind w:firstLine="0" w:firstLineChars="0"/>
              <w:rPr>
                <w:color w:val="auto"/>
                <w:sz w:val="21"/>
                <w:szCs w:val="21"/>
              </w:rPr>
            </w:pPr>
            <w:r>
              <w:rPr>
                <w:rFonts w:hint="eastAsia"/>
                <w:color w:val="auto"/>
                <w:sz w:val="21"/>
                <w:szCs w:val="21"/>
              </w:rPr>
              <w:t>□</w:t>
            </w:r>
            <w:r>
              <w:rPr>
                <w:color w:val="auto"/>
                <w:sz w:val="21"/>
                <w:szCs w:val="21"/>
              </w:rPr>
              <w:t>无</w:t>
            </w:r>
          </w:p>
          <w:p w14:paraId="7DBB8A7E">
            <w:pPr>
              <w:tabs>
                <w:tab w:val="left" w:pos="1180"/>
                <w:tab w:val="left" w:pos="3820"/>
              </w:tabs>
              <w:spacing w:line="276" w:lineRule="auto"/>
              <w:jc w:val="both"/>
              <w:rPr>
                <w:rFonts w:hint="eastAsia" w:ascii="宋体" w:hAnsi="宋体" w:eastAsia="宋体"/>
                <w:color w:val="auto"/>
                <w:sz w:val="21"/>
                <w:szCs w:val="21"/>
                <w:lang w:eastAsia="zh-CN" w:bidi="ar-SA"/>
              </w:rPr>
            </w:pPr>
            <w:r>
              <w:rPr>
                <w:rFonts w:hint="eastAsia" w:cs="Arial"/>
                <w:color w:val="auto"/>
                <w:sz w:val="21"/>
                <w:szCs w:val="21"/>
              </w:rPr>
              <w:sym w:font="Wingdings 2" w:char="F052"/>
            </w:r>
            <w:r>
              <w:rPr>
                <w:color w:val="auto"/>
                <w:sz w:val="21"/>
                <w:szCs w:val="21"/>
                <w:lang w:eastAsia="zh-CN"/>
              </w:rPr>
              <w:t>有，</w:t>
            </w:r>
            <w:r>
              <w:rPr>
                <w:rFonts w:hint="eastAsia"/>
                <w:color w:val="auto"/>
                <w:sz w:val="21"/>
                <w:szCs w:val="21"/>
                <w:lang w:eastAsia="zh-CN"/>
              </w:rPr>
              <w:t>投标人需提供的资格审查资料应满足投标人须知前附表第3.5.1项、第3.5.2项、第3.5.3项、第3.5.</w:t>
            </w:r>
            <w:r>
              <w:rPr>
                <w:color w:val="auto"/>
                <w:sz w:val="21"/>
                <w:szCs w:val="21"/>
                <w:lang w:eastAsia="zh-CN"/>
              </w:rPr>
              <w:t>5</w:t>
            </w:r>
            <w:r>
              <w:rPr>
                <w:rFonts w:hint="eastAsia"/>
                <w:color w:val="auto"/>
                <w:sz w:val="21"/>
                <w:szCs w:val="21"/>
                <w:lang w:eastAsia="zh-CN"/>
              </w:rPr>
              <w:t>项、第3.5.</w:t>
            </w:r>
            <w:r>
              <w:rPr>
                <w:color w:val="auto"/>
                <w:sz w:val="21"/>
                <w:szCs w:val="21"/>
                <w:lang w:eastAsia="zh-CN"/>
              </w:rPr>
              <w:t>6</w:t>
            </w:r>
            <w:r>
              <w:rPr>
                <w:rFonts w:hint="eastAsia"/>
                <w:color w:val="auto"/>
                <w:sz w:val="21"/>
                <w:szCs w:val="21"/>
                <w:lang w:eastAsia="zh-CN"/>
              </w:rPr>
              <w:t>项。</w:t>
            </w:r>
          </w:p>
        </w:tc>
      </w:tr>
      <w:tr w14:paraId="2E6CD07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jc w:val="center"/>
        </w:trPr>
        <w:tc>
          <w:tcPr>
            <w:tcW w:w="1048" w:type="dxa"/>
            <w:tcBorders>
              <w:top w:val="single" w:color="auto" w:sz="4" w:space="0"/>
              <w:left w:val="single" w:color="auto" w:sz="4" w:space="0"/>
              <w:bottom w:val="single" w:color="auto" w:sz="4" w:space="0"/>
              <w:right w:val="single" w:color="auto" w:sz="4" w:space="0"/>
              <w:tl2br w:val="nil"/>
              <w:tr2bl w:val="nil"/>
            </w:tcBorders>
            <w:vAlign w:val="center"/>
          </w:tcPr>
          <w:p w14:paraId="5525F5F1">
            <w:pPr>
              <w:jc w:val="cente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3</w:t>
            </w:r>
            <w:r>
              <w:rPr>
                <w:rFonts w:ascii="宋体" w:hAnsi="宋体" w:eastAsia="宋体"/>
                <w:color w:val="auto"/>
                <w:sz w:val="21"/>
                <w:szCs w:val="21"/>
                <w:lang w:eastAsia="zh-CN" w:bidi="ar-SA"/>
              </w:rPr>
              <w:t>.5.1</w:t>
            </w:r>
          </w:p>
        </w:tc>
        <w:tc>
          <w:tcPr>
            <w:tcW w:w="2835" w:type="dxa"/>
            <w:tcBorders>
              <w:top w:val="single" w:color="auto" w:sz="4" w:space="0"/>
              <w:left w:val="single" w:color="auto" w:sz="4" w:space="0"/>
              <w:bottom w:val="single" w:color="auto" w:sz="4" w:space="0"/>
              <w:right w:val="single" w:color="auto" w:sz="4" w:space="0"/>
              <w:tl2br w:val="nil"/>
              <w:tr2bl w:val="nil"/>
            </w:tcBorders>
            <w:vAlign w:val="center"/>
          </w:tcPr>
          <w:p w14:paraId="2C5903B5">
            <w:pPr>
              <w:jc w:val="cente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投标人基本情况表</w:t>
            </w:r>
          </w:p>
        </w:tc>
        <w:tc>
          <w:tcPr>
            <w:tcW w:w="5355" w:type="dxa"/>
            <w:tcBorders>
              <w:top w:val="single" w:color="auto" w:sz="4" w:space="0"/>
              <w:left w:val="single" w:color="auto" w:sz="4" w:space="0"/>
              <w:bottom w:val="single" w:color="auto" w:sz="4" w:space="0"/>
              <w:right w:val="single" w:color="auto" w:sz="4" w:space="0"/>
              <w:tl2br w:val="nil"/>
              <w:tr2bl w:val="nil"/>
            </w:tcBorders>
            <w:vAlign w:val="center"/>
          </w:tcPr>
          <w:p w14:paraId="6DEFF278">
            <w:pPr>
              <w:widowControl/>
              <w:spacing w:line="360" w:lineRule="exact"/>
              <w:rPr>
                <w:rFonts w:ascii="宋体" w:hAnsi="宋体" w:cs="宋体"/>
                <w:color w:val="auto"/>
                <w:sz w:val="21"/>
                <w:szCs w:val="21"/>
                <w:lang w:eastAsia="zh-CN"/>
              </w:rPr>
            </w:pPr>
            <w:r>
              <w:rPr>
                <w:rFonts w:hint="eastAsia" w:ascii="宋体" w:hAnsi="宋体" w:cs="宋体"/>
                <w:color w:val="auto"/>
                <w:sz w:val="21"/>
                <w:szCs w:val="21"/>
                <w:lang w:eastAsia="zh-CN"/>
              </w:rPr>
              <w:t>需提供资料：</w:t>
            </w:r>
          </w:p>
          <w:p w14:paraId="2935DCE2">
            <w:pPr>
              <w:pStyle w:val="95"/>
              <w:spacing w:line="300" w:lineRule="exact"/>
              <w:ind w:firstLine="0" w:firstLineChars="0"/>
              <w:rPr>
                <w:rFonts w:hint="eastAsia" w:ascii="宋体" w:hAnsi="宋体"/>
                <w:color w:val="auto"/>
                <w:sz w:val="21"/>
                <w:szCs w:val="21"/>
                <w:lang w:bidi="zh-CN"/>
              </w:rPr>
            </w:pPr>
            <w:r>
              <w:rPr>
                <w:rFonts w:hint="eastAsia" w:ascii="宋体" w:hAnsi="宋体"/>
                <w:color w:val="auto"/>
                <w:sz w:val="21"/>
                <w:szCs w:val="21"/>
                <w:lang w:bidi="zh-CN"/>
              </w:rPr>
              <w:t>（1）应附法人营业执照副本（全本）或事业单位法人证书、资质证书、基本账户开户许可证的彩色扫描件(证书封面、封底、空白页除外)，以及投标人在国家企业信用信息公示系统中基础信息（体现股东及出资详细信息）的网页截图或由法定的社会验资机构出具的验资报告或注册地工商部门出具的股东出资情况证明的彩色扫描件。</w:t>
            </w:r>
          </w:p>
          <w:p w14:paraId="1267842D">
            <w:pPr>
              <w:pStyle w:val="95"/>
              <w:spacing w:line="300" w:lineRule="exact"/>
              <w:ind w:firstLine="0" w:firstLineChars="0"/>
              <w:rPr>
                <w:rFonts w:hint="eastAsia" w:ascii="宋体" w:hAnsi="宋体"/>
                <w:color w:val="auto"/>
                <w:sz w:val="21"/>
                <w:szCs w:val="21"/>
                <w:lang w:val="zh-CN" w:bidi="zh-CN"/>
              </w:rPr>
            </w:pPr>
            <w:r>
              <w:rPr>
                <w:rFonts w:hint="eastAsia" w:ascii="宋体" w:hAnsi="宋体"/>
                <w:color w:val="auto"/>
                <w:sz w:val="21"/>
                <w:szCs w:val="21"/>
                <w:lang w:bidi="zh-CN"/>
              </w:rPr>
              <w:t>（2）对于</w:t>
            </w:r>
            <w:r>
              <w:rPr>
                <w:rFonts w:hint="eastAsia" w:ascii="宋体" w:hAnsi="宋体"/>
                <w:color w:val="auto"/>
                <w:sz w:val="21"/>
                <w:szCs w:val="21"/>
                <w:lang w:val="zh-CN" w:bidi="zh-CN"/>
              </w:rPr>
              <w:t>取消企业银行账户许可地区范围内的投标人，其基本账户开户许可证可采用《基本存款账户信息》代替。</w:t>
            </w:r>
          </w:p>
          <w:p w14:paraId="28465D0F">
            <w:pPr>
              <w:pStyle w:val="95"/>
              <w:spacing w:line="300" w:lineRule="exact"/>
              <w:ind w:firstLine="0" w:firstLineChars="0"/>
              <w:rPr>
                <w:color w:val="auto"/>
                <w:sz w:val="21"/>
                <w:szCs w:val="21"/>
              </w:rPr>
            </w:pPr>
            <w:r>
              <w:rPr>
                <w:rFonts w:hint="eastAsia" w:ascii="宋体" w:hAnsi="宋体"/>
                <w:color w:val="auto"/>
                <w:sz w:val="21"/>
                <w:szCs w:val="21"/>
                <w:lang w:val="zh-CN" w:bidi="zh-CN"/>
              </w:rPr>
              <w:t>（</w:t>
            </w:r>
            <w:r>
              <w:rPr>
                <w:rFonts w:ascii="宋体" w:hAnsi="宋体"/>
                <w:color w:val="auto"/>
                <w:sz w:val="21"/>
                <w:szCs w:val="21"/>
                <w:lang w:bidi="zh-CN"/>
              </w:rPr>
              <w:t>3</w:t>
            </w:r>
            <w:r>
              <w:rPr>
                <w:rFonts w:hint="eastAsia" w:ascii="宋体" w:hAnsi="宋体"/>
                <w:color w:val="auto"/>
                <w:sz w:val="21"/>
                <w:szCs w:val="21"/>
                <w:lang w:bidi="zh-CN"/>
              </w:rPr>
              <w:t>）</w:t>
            </w:r>
            <w:r>
              <w:rPr>
                <w:rFonts w:hint="eastAsia" w:ascii="宋体" w:hAnsi="宋体"/>
                <w:color w:val="auto"/>
                <w:sz w:val="21"/>
                <w:szCs w:val="21"/>
                <w:lang w:val="zh-CN" w:bidi="zh-CN"/>
              </w:rPr>
              <w:t>上述所有执照、证书彩色扫描件均应逐页加盖投标人单位公章。</w:t>
            </w:r>
          </w:p>
        </w:tc>
      </w:tr>
      <w:tr w14:paraId="7FB9702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238" w:hRule="exact"/>
          <w:jc w:val="center"/>
        </w:trPr>
        <w:tc>
          <w:tcPr>
            <w:tcW w:w="1048" w:type="dxa"/>
            <w:tcBorders>
              <w:top w:val="single" w:color="auto" w:sz="4" w:space="0"/>
              <w:left w:val="single" w:color="auto" w:sz="4" w:space="0"/>
              <w:bottom w:val="single" w:color="auto" w:sz="4" w:space="0"/>
              <w:right w:val="single" w:color="auto" w:sz="4" w:space="0"/>
              <w:tl2br w:val="nil"/>
              <w:tr2bl w:val="nil"/>
            </w:tcBorders>
            <w:vAlign w:val="center"/>
          </w:tcPr>
          <w:p w14:paraId="1F85E156">
            <w:pPr>
              <w:jc w:val="cente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3</w:t>
            </w:r>
            <w:r>
              <w:rPr>
                <w:rFonts w:ascii="宋体" w:hAnsi="宋体" w:eastAsia="宋体"/>
                <w:color w:val="auto"/>
                <w:sz w:val="21"/>
                <w:szCs w:val="21"/>
                <w:lang w:eastAsia="zh-CN" w:bidi="ar-SA"/>
              </w:rPr>
              <w:t>.5</w:t>
            </w:r>
            <w:r>
              <w:rPr>
                <w:rFonts w:hint="eastAsia" w:ascii="宋体" w:hAnsi="宋体" w:eastAsia="宋体"/>
                <w:color w:val="auto"/>
                <w:sz w:val="21"/>
                <w:szCs w:val="21"/>
                <w:lang w:eastAsia="zh-CN" w:bidi="ar-SA"/>
              </w:rPr>
              <w:t>.</w:t>
            </w:r>
            <w:r>
              <w:rPr>
                <w:rFonts w:ascii="宋体" w:hAnsi="宋体" w:eastAsia="宋体"/>
                <w:color w:val="auto"/>
                <w:sz w:val="21"/>
                <w:szCs w:val="21"/>
                <w:lang w:eastAsia="zh-CN" w:bidi="ar-SA"/>
              </w:rPr>
              <w:t>2</w:t>
            </w:r>
          </w:p>
        </w:tc>
        <w:tc>
          <w:tcPr>
            <w:tcW w:w="2835" w:type="dxa"/>
            <w:tcBorders>
              <w:top w:val="single" w:color="auto" w:sz="4" w:space="0"/>
              <w:left w:val="single" w:color="auto" w:sz="4" w:space="0"/>
              <w:bottom w:val="single" w:color="auto" w:sz="4" w:space="0"/>
              <w:right w:val="single" w:color="auto" w:sz="4" w:space="0"/>
              <w:tl2br w:val="nil"/>
              <w:tr2bl w:val="nil"/>
            </w:tcBorders>
            <w:vAlign w:val="center"/>
          </w:tcPr>
          <w:p w14:paraId="6E2268FF">
            <w:pPr>
              <w:jc w:val="cente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近年财务状况的年份要求</w:t>
            </w:r>
          </w:p>
        </w:tc>
        <w:tc>
          <w:tcPr>
            <w:tcW w:w="5355" w:type="dxa"/>
            <w:tcBorders>
              <w:top w:val="single" w:color="auto" w:sz="4" w:space="0"/>
              <w:left w:val="single" w:color="auto" w:sz="4" w:space="0"/>
              <w:bottom w:val="single" w:color="auto" w:sz="4" w:space="0"/>
              <w:right w:val="single" w:color="auto" w:sz="4" w:space="0"/>
              <w:tl2br w:val="nil"/>
              <w:tr2bl w:val="nil"/>
            </w:tcBorders>
            <w:vAlign w:val="center"/>
          </w:tcPr>
          <w:p w14:paraId="3922E6CA">
            <w:pPr>
              <w:jc w:val="both"/>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是否对财务状况进行资格审查</w:t>
            </w:r>
          </w:p>
          <w:p w14:paraId="0AFC9972">
            <w:pPr>
              <w:jc w:val="both"/>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sym w:font="Wingdings 2" w:char="F052"/>
            </w:r>
            <w:r>
              <w:rPr>
                <w:rFonts w:hint="eastAsia" w:ascii="宋体" w:hAnsi="宋体" w:eastAsia="宋体"/>
                <w:color w:val="auto"/>
                <w:sz w:val="21"/>
                <w:szCs w:val="21"/>
                <w:lang w:eastAsia="zh-CN" w:bidi="ar-SA"/>
              </w:rPr>
              <w:t>否，无需提供近年财务状况表</w:t>
            </w:r>
          </w:p>
          <w:p w14:paraId="17975786">
            <w:pPr>
              <w:jc w:val="both"/>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□是，提供近年财务状况表的年份：</w:t>
            </w:r>
          </w:p>
          <w:p w14:paraId="2405707F">
            <w:pPr>
              <w:jc w:val="both"/>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 xml:space="preserve">      </w:t>
            </w:r>
            <w:r>
              <w:rPr>
                <w:rFonts w:hint="eastAsia" w:ascii="宋体" w:hAnsi="宋体"/>
                <w:color w:val="auto"/>
                <w:sz w:val="21"/>
                <w:szCs w:val="18"/>
                <w:u w:val="single"/>
                <w:lang w:eastAsia="zh-CN"/>
              </w:rPr>
              <w:t xml:space="preserve">      </w:t>
            </w:r>
            <w:r>
              <w:rPr>
                <w:rFonts w:hint="eastAsia" w:ascii="宋体" w:hAnsi="宋体"/>
                <w:color w:val="auto"/>
                <w:sz w:val="21"/>
                <w:szCs w:val="18"/>
              </w:rPr>
              <w:t>年</w:t>
            </w:r>
            <w:r>
              <w:rPr>
                <w:rFonts w:hint="eastAsia" w:ascii="宋体" w:hAnsi="宋体"/>
                <w:color w:val="auto"/>
                <w:sz w:val="21"/>
                <w:szCs w:val="18"/>
                <w:u w:val="single"/>
              </w:rPr>
              <w:t xml:space="preserve">    </w:t>
            </w:r>
            <w:r>
              <w:rPr>
                <w:rFonts w:hint="eastAsia" w:ascii="宋体" w:hAnsi="宋体"/>
                <w:color w:val="auto"/>
                <w:sz w:val="21"/>
                <w:szCs w:val="18"/>
              </w:rPr>
              <w:t>月</w:t>
            </w:r>
            <w:r>
              <w:rPr>
                <w:rFonts w:hint="eastAsia" w:ascii="宋体" w:hAnsi="宋体"/>
                <w:color w:val="auto"/>
                <w:sz w:val="21"/>
                <w:szCs w:val="18"/>
                <w:u w:val="single"/>
              </w:rPr>
              <w:t xml:space="preserve">    </w:t>
            </w:r>
            <w:r>
              <w:rPr>
                <w:rFonts w:hint="eastAsia" w:ascii="宋体" w:hAnsi="宋体"/>
                <w:color w:val="auto"/>
                <w:sz w:val="21"/>
                <w:szCs w:val="18"/>
              </w:rPr>
              <w:t>日～</w:t>
            </w:r>
            <w:r>
              <w:rPr>
                <w:rFonts w:hint="eastAsia" w:ascii="宋体" w:hAnsi="宋体"/>
                <w:color w:val="auto"/>
                <w:sz w:val="21"/>
                <w:szCs w:val="18"/>
                <w:u w:val="single"/>
              </w:rPr>
              <w:t xml:space="preserve">      </w:t>
            </w:r>
            <w:r>
              <w:rPr>
                <w:rFonts w:hint="eastAsia" w:ascii="宋体" w:hAnsi="宋体"/>
                <w:color w:val="auto"/>
                <w:sz w:val="21"/>
                <w:szCs w:val="18"/>
              </w:rPr>
              <w:t>年</w:t>
            </w:r>
            <w:r>
              <w:rPr>
                <w:rFonts w:hint="eastAsia" w:ascii="宋体" w:hAnsi="宋体"/>
                <w:color w:val="auto"/>
                <w:sz w:val="21"/>
                <w:szCs w:val="18"/>
                <w:u w:val="single"/>
              </w:rPr>
              <w:t xml:space="preserve">    </w:t>
            </w:r>
            <w:r>
              <w:rPr>
                <w:rFonts w:hint="eastAsia" w:ascii="宋体" w:hAnsi="宋体"/>
                <w:color w:val="auto"/>
                <w:sz w:val="21"/>
                <w:szCs w:val="18"/>
              </w:rPr>
              <w:t>月</w:t>
            </w:r>
            <w:r>
              <w:rPr>
                <w:rFonts w:hint="eastAsia" w:ascii="宋体" w:hAnsi="宋体"/>
                <w:color w:val="auto"/>
                <w:sz w:val="21"/>
                <w:szCs w:val="18"/>
                <w:u w:val="single"/>
              </w:rPr>
              <w:t xml:space="preserve">    </w:t>
            </w:r>
            <w:r>
              <w:rPr>
                <w:rFonts w:hint="eastAsia" w:ascii="宋体" w:hAnsi="宋体"/>
                <w:color w:val="auto"/>
                <w:sz w:val="21"/>
                <w:szCs w:val="18"/>
              </w:rPr>
              <w:t>日</w:t>
            </w:r>
          </w:p>
        </w:tc>
      </w:tr>
      <w:tr w14:paraId="2B81BB5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jc w:val="center"/>
        </w:trPr>
        <w:tc>
          <w:tcPr>
            <w:tcW w:w="1048" w:type="dxa"/>
            <w:tcBorders>
              <w:top w:val="single" w:color="auto" w:sz="4" w:space="0"/>
              <w:left w:val="single" w:color="auto" w:sz="4" w:space="0"/>
              <w:bottom w:val="single" w:color="auto" w:sz="4" w:space="0"/>
              <w:right w:val="single" w:color="auto" w:sz="4" w:space="0"/>
              <w:tl2br w:val="nil"/>
              <w:tr2bl w:val="nil"/>
            </w:tcBorders>
            <w:vAlign w:val="center"/>
          </w:tcPr>
          <w:p w14:paraId="08118FD2">
            <w:pPr>
              <w:jc w:val="cente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3</w:t>
            </w:r>
            <w:r>
              <w:rPr>
                <w:rFonts w:ascii="宋体" w:hAnsi="宋体" w:eastAsia="宋体"/>
                <w:color w:val="auto"/>
                <w:sz w:val="21"/>
                <w:szCs w:val="21"/>
                <w:lang w:eastAsia="zh-CN" w:bidi="ar-SA"/>
              </w:rPr>
              <w:t>.5</w:t>
            </w:r>
            <w:r>
              <w:rPr>
                <w:rFonts w:hint="eastAsia" w:ascii="宋体" w:hAnsi="宋体" w:eastAsia="宋体"/>
                <w:color w:val="auto"/>
                <w:sz w:val="21"/>
                <w:szCs w:val="21"/>
                <w:lang w:eastAsia="zh-CN" w:bidi="ar-SA"/>
              </w:rPr>
              <w:t>.</w:t>
            </w:r>
            <w:r>
              <w:rPr>
                <w:rFonts w:ascii="宋体" w:hAnsi="宋体" w:eastAsia="宋体"/>
                <w:color w:val="auto"/>
                <w:sz w:val="21"/>
                <w:szCs w:val="21"/>
                <w:lang w:eastAsia="zh-CN" w:bidi="ar-SA"/>
              </w:rPr>
              <w:t>3</w:t>
            </w:r>
          </w:p>
        </w:tc>
        <w:tc>
          <w:tcPr>
            <w:tcW w:w="2835" w:type="dxa"/>
            <w:tcBorders>
              <w:top w:val="single" w:color="auto" w:sz="4" w:space="0"/>
              <w:left w:val="single" w:color="auto" w:sz="4" w:space="0"/>
              <w:bottom w:val="single" w:color="auto" w:sz="4" w:space="0"/>
              <w:right w:val="single" w:color="auto" w:sz="4" w:space="0"/>
              <w:tl2br w:val="nil"/>
              <w:tr2bl w:val="nil"/>
            </w:tcBorders>
            <w:vAlign w:val="center"/>
          </w:tcPr>
          <w:p w14:paraId="24C72F8D">
            <w:pPr>
              <w:jc w:val="center"/>
              <w:rPr>
                <w:color w:val="auto"/>
                <w:sz w:val="21"/>
                <w:szCs w:val="21"/>
                <w:lang w:eastAsia="zh-CN" w:bidi="ar-SA"/>
              </w:rPr>
            </w:pPr>
            <w:r>
              <w:rPr>
                <w:rFonts w:hint="eastAsia" w:ascii="宋体" w:hAnsi="宋体" w:eastAsia="宋体" w:cs="宋体"/>
                <w:color w:val="auto"/>
                <w:sz w:val="21"/>
                <w:szCs w:val="21"/>
                <w:lang w:eastAsia="zh-CN" w:bidi="ar-SA"/>
              </w:rPr>
              <w:t>近年完成的类似监理项目情况要求</w:t>
            </w:r>
          </w:p>
        </w:tc>
        <w:tc>
          <w:tcPr>
            <w:tcW w:w="5355" w:type="dxa"/>
            <w:tcBorders>
              <w:top w:val="single" w:color="auto" w:sz="4" w:space="0"/>
              <w:left w:val="single" w:color="auto" w:sz="4" w:space="0"/>
              <w:bottom w:val="single" w:color="auto" w:sz="4" w:space="0"/>
              <w:right w:val="single" w:color="auto" w:sz="4" w:space="0"/>
              <w:tl2br w:val="nil"/>
              <w:tr2bl w:val="nil"/>
            </w:tcBorders>
            <w:vAlign w:val="center"/>
          </w:tcPr>
          <w:p w14:paraId="0877F9E9">
            <w:pPr>
              <w:pStyle w:val="95"/>
              <w:tabs>
                <w:tab w:val="left" w:pos="529"/>
                <w:tab w:val="left" w:pos="1158"/>
                <w:tab w:val="left" w:pos="1790"/>
                <w:tab w:val="left" w:pos="2627"/>
                <w:tab w:val="left" w:pos="3258"/>
                <w:tab w:val="left" w:pos="3888"/>
              </w:tabs>
              <w:spacing w:line="276" w:lineRule="auto"/>
              <w:ind w:firstLine="0" w:firstLineChars="0"/>
              <w:rPr>
                <w:rFonts w:eastAsia="Times New Roman" w:cs="Times New Roman"/>
                <w:color w:val="auto"/>
                <w:sz w:val="21"/>
                <w:szCs w:val="21"/>
              </w:rPr>
            </w:pPr>
            <w:r>
              <w:rPr>
                <w:rFonts w:hint="eastAsia" w:ascii="宋体" w:hAnsi="宋体"/>
                <w:color w:val="auto"/>
                <w:sz w:val="21"/>
                <w:szCs w:val="21"/>
              </w:rPr>
              <w:t>需提供资料：</w:t>
            </w:r>
          </w:p>
          <w:p w14:paraId="7DBB1045">
            <w:pPr>
              <w:widowControl/>
              <w:spacing w:line="320" w:lineRule="exact"/>
              <w:ind w:firstLine="420" w:firstLineChars="200"/>
              <w:rPr>
                <w:color w:val="EE0000"/>
                <w:sz w:val="21"/>
                <w:szCs w:val="21"/>
                <w:lang w:eastAsia="zh-CN" w:bidi="ar-SA"/>
              </w:rPr>
            </w:pPr>
            <w:r>
              <w:rPr>
                <w:rFonts w:hint="eastAsia" w:ascii="宋体" w:hAnsi="宋体" w:eastAsia="宋体" w:cs="宋体"/>
                <w:color w:val="auto"/>
                <w:sz w:val="21"/>
                <w:szCs w:val="21"/>
                <w:lang w:eastAsia="zh-CN" w:bidi="ar-SA"/>
              </w:rPr>
              <w:t>（</w:t>
            </w:r>
            <w:r>
              <w:rPr>
                <w:rFonts w:hint="eastAsia"/>
                <w:color w:val="auto"/>
                <w:sz w:val="21"/>
                <w:szCs w:val="21"/>
                <w:lang w:eastAsia="zh-CN" w:bidi="ar-SA"/>
              </w:rPr>
              <w:t>1</w:t>
            </w:r>
            <w:r>
              <w:rPr>
                <w:rFonts w:hint="eastAsia" w:ascii="宋体" w:hAnsi="宋体" w:eastAsia="宋体" w:cs="宋体"/>
                <w:color w:val="auto"/>
                <w:sz w:val="21"/>
                <w:szCs w:val="21"/>
                <w:lang w:eastAsia="zh-CN" w:bidi="ar-SA"/>
              </w:rPr>
              <w:t>）近年完成的类似项目情况的时间要求：见第一章</w:t>
            </w:r>
            <w:r>
              <w:rPr>
                <w:rFonts w:hint="eastAsia"/>
                <w:color w:val="auto"/>
                <w:sz w:val="21"/>
                <w:szCs w:val="21"/>
                <w:lang w:eastAsia="zh-CN" w:bidi="ar-SA"/>
              </w:rPr>
              <w:t xml:space="preserve"> </w:t>
            </w:r>
            <w:r>
              <w:rPr>
                <w:rFonts w:hint="eastAsia" w:ascii="宋体" w:hAnsi="宋体" w:eastAsia="宋体" w:cs="宋体"/>
                <w:color w:val="auto"/>
                <w:sz w:val="21"/>
                <w:szCs w:val="21"/>
                <w:lang w:eastAsia="zh-CN" w:bidi="ar-SA"/>
              </w:rPr>
              <w:t>招标公告附录</w:t>
            </w:r>
            <w:r>
              <w:rPr>
                <w:rFonts w:hint="eastAsia"/>
                <w:color w:val="auto"/>
                <w:sz w:val="21"/>
                <w:szCs w:val="21"/>
                <w:lang w:eastAsia="zh-CN" w:bidi="ar-SA"/>
              </w:rPr>
              <w:t>3</w:t>
            </w:r>
            <w:r>
              <w:rPr>
                <w:rFonts w:hint="eastAsia" w:ascii="宋体" w:hAnsi="宋体" w:eastAsia="宋体" w:cs="宋体"/>
                <w:color w:val="auto"/>
                <w:sz w:val="21"/>
                <w:szCs w:val="21"/>
                <w:lang w:eastAsia="zh-CN" w:bidi="ar-SA"/>
              </w:rPr>
              <w:t>时间要求。</w:t>
            </w:r>
          </w:p>
          <w:p w14:paraId="0C6C22DA">
            <w:pPr>
              <w:widowControl/>
              <w:spacing w:line="300" w:lineRule="exact"/>
              <w:rPr>
                <w:color w:val="auto"/>
                <w:sz w:val="21"/>
                <w:szCs w:val="21"/>
                <w:lang w:eastAsia="zh-CN" w:bidi="ar-SA"/>
              </w:rPr>
            </w:pPr>
          </w:p>
        </w:tc>
      </w:tr>
      <w:tr w14:paraId="475BA4D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jc w:val="center"/>
        </w:trPr>
        <w:tc>
          <w:tcPr>
            <w:tcW w:w="1048" w:type="dxa"/>
            <w:tcBorders>
              <w:top w:val="single" w:color="auto" w:sz="4" w:space="0"/>
              <w:left w:val="single" w:color="auto" w:sz="4" w:space="0"/>
              <w:bottom w:val="single" w:color="auto" w:sz="4" w:space="0"/>
              <w:right w:val="single" w:color="auto" w:sz="4" w:space="0"/>
              <w:tl2br w:val="nil"/>
              <w:tr2bl w:val="nil"/>
            </w:tcBorders>
            <w:vAlign w:val="center"/>
          </w:tcPr>
          <w:p w14:paraId="2AFDEB81">
            <w:pPr>
              <w:jc w:val="cente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3</w:t>
            </w:r>
            <w:r>
              <w:rPr>
                <w:rFonts w:ascii="宋体" w:hAnsi="宋体" w:eastAsia="宋体"/>
                <w:color w:val="auto"/>
                <w:sz w:val="21"/>
                <w:szCs w:val="21"/>
                <w:lang w:eastAsia="zh-CN" w:bidi="ar-SA"/>
              </w:rPr>
              <w:t>.5</w:t>
            </w:r>
            <w:r>
              <w:rPr>
                <w:rFonts w:hint="eastAsia" w:ascii="宋体" w:hAnsi="宋体" w:eastAsia="宋体"/>
                <w:color w:val="auto"/>
                <w:sz w:val="21"/>
                <w:szCs w:val="21"/>
                <w:lang w:eastAsia="zh-CN" w:bidi="ar-SA"/>
              </w:rPr>
              <w:t>.</w:t>
            </w:r>
            <w:r>
              <w:rPr>
                <w:rFonts w:ascii="宋体" w:hAnsi="宋体" w:eastAsia="宋体"/>
                <w:color w:val="auto"/>
                <w:sz w:val="21"/>
                <w:szCs w:val="21"/>
                <w:lang w:eastAsia="zh-CN" w:bidi="ar-SA"/>
              </w:rPr>
              <w:t>5</w:t>
            </w:r>
          </w:p>
        </w:tc>
        <w:tc>
          <w:tcPr>
            <w:tcW w:w="2835" w:type="dxa"/>
            <w:tcBorders>
              <w:top w:val="single" w:color="auto" w:sz="4" w:space="0"/>
              <w:left w:val="single" w:color="auto" w:sz="4" w:space="0"/>
              <w:bottom w:val="single" w:color="auto" w:sz="4" w:space="0"/>
              <w:right w:val="single" w:color="auto" w:sz="4" w:space="0"/>
              <w:tl2br w:val="nil"/>
              <w:tr2bl w:val="nil"/>
            </w:tcBorders>
            <w:vAlign w:val="center"/>
          </w:tcPr>
          <w:p w14:paraId="6A406BFB">
            <w:pPr>
              <w:jc w:val="cente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投标人的信誉情况表</w:t>
            </w:r>
          </w:p>
        </w:tc>
        <w:tc>
          <w:tcPr>
            <w:tcW w:w="5355" w:type="dxa"/>
            <w:tcBorders>
              <w:top w:val="single" w:color="auto" w:sz="4" w:space="0"/>
              <w:left w:val="single" w:color="auto" w:sz="4" w:space="0"/>
              <w:bottom w:val="single" w:color="auto" w:sz="4" w:space="0"/>
              <w:right w:val="single" w:color="auto" w:sz="4" w:space="0"/>
              <w:tl2br w:val="nil"/>
              <w:tr2bl w:val="nil"/>
            </w:tcBorders>
            <w:vAlign w:val="center"/>
          </w:tcPr>
          <w:p w14:paraId="447B7E42">
            <w:pPr>
              <w:spacing w:line="276" w:lineRule="auto"/>
              <w:rPr>
                <w:rFonts w:ascii="宋体" w:hAnsi="宋体" w:cs="宋体"/>
                <w:color w:val="auto"/>
                <w:sz w:val="21"/>
                <w:szCs w:val="21"/>
                <w:lang w:eastAsia="zh-CN"/>
              </w:rPr>
            </w:pPr>
            <w:r>
              <w:rPr>
                <w:rFonts w:hint="eastAsia" w:ascii="宋体" w:hAnsi="宋体" w:cs="宋体"/>
                <w:color w:val="auto"/>
                <w:sz w:val="21"/>
                <w:szCs w:val="21"/>
                <w:lang w:eastAsia="zh-CN"/>
              </w:rPr>
              <w:t>需提供资料：</w:t>
            </w:r>
          </w:p>
          <w:p w14:paraId="50A79067">
            <w:pPr>
              <w:spacing w:line="276" w:lineRule="auto"/>
              <w:rPr>
                <w:rFonts w:hint="eastAsia" w:ascii="宋体" w:hAnsi="宋体" w:eastAsia="宋体"/>
                <w:color w:val="auto"/>
                <w:sz w:val="21"/>
                <w:szCs w:val="21"/>
                <w:lang w:eastAsia="zh-CN" w:bidi="ar-SA"/>
              </w:rPr>
            </w:pPr>
            <w:r>
              <w:rPr>
                <w:rFonts w:hint="eastAsia" w:cs="Arial Unicode MS"/>
                <w:color w:val="auto"/>
                <w:sz w:val="21"/>
                <w:szCs w:val="21"/>
                <w:lang w:eastAsia="zh-CN"/>
              </w:rPr>
              <w:t>应附投标人在国家企业信用信息公示系统中未被列入严重违法失信名单、在“信用中国”网站中未被列入失信被执行人名单的网页截图</w:t>
            </w:r>
            <w:r>
              <w:rPr>
                <w:rFonts w:hint="eastAsia" w:ascii="宋体" w:hAnsi="宋体" w:eastAsia="宋体" w:cs="宋体"/>
                <w:color w:val="auto"/>
                <w:sz w:val="21"/>
                <w:szCs w:val="21"/>
                <w:lang w:eastAsia="zh-CN"/>
              </w:rPr>
              <w:t>，以及由投标人自行出具的无行贿犯罪行为承诺函彩色扫描件或在“投标人的信誉情况表”中填写进行承诺</w:t>
            </w:r>
            <w:r>
              <w:rPr>
                <w:rFonts w:hint="eastAsia" w:cs="Arial Unicode MS"/>
                <w:color w:val="auto"/>
                <w:sz w:val="21"/>
                <w:szCs w:val="21"/>
                <w:lang w:eastAsia="zh-CN"/>
              </w:rPr>
              <w:t>。</w:t>
            </w:r>
          </w:p>
        </w:tc>
      </w:tr>
      <w:tr w14:paraId="58422797">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jc w:val="center"/>
        </w:trPr>
        <w:tc>
          <w:tcPr>
            <w:tcW w:w="1048" w:type="dxa"/>
            <w:tcBorders>
              <w:top w:val="single" w:color="auto" w:sz="4" w:space="0"/>
              <w:left w:val="single" w:color="auto" w:sz="4" w:space="0"/>
              <w:bottom w:val="single" w:color="auto" w:sz="4" w:space="0"/>
              <w:right w:val="single" w:color="auto" w:sz="4" w:space="0"/>
              <w:tl2br w:val="nil"/>
              <w:tr2bl w:val="nil"/>
            </w:tcBorders>
            <w:vAlign w:val="center"/>
          </w:tcPr>
          <w:p w14:paraId="21D0D69B">
            <w:pPr>
              <w:jc w:val="cente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3</w:t>
            </w:r>
            <w:r>
              <w:rPr>
                <w:rFonts w:ascii="宋体" w:hAnsi="宋体" w:eastAsia="宋体"/>
                <w:color w:val="auto"/>
                <w:sz w:val="21"/>
                <w:szCs w:val="21"/>
                <w:lang w:eastAsia="zh-CN" w:bidi="ar-SA"/>
              </w:rPr>
              <w:t>.5.6</w:t>
            </w:r>
          </w:p>
        </w:tc>
        <w:tc>
          <w:tcPr>
            <w:tcW w:w="2835" w:type="dxa"/>
            <w:tcBorders>
              <w:top w:val="single" w:color="auto" w:sz="4" w:space="0"/>
              <w:left w:val="single" w:color="auto" w:sz="4" w:space="0"/>
              <w:bottom w:val="single" w:color="auto" w:sz="4" w:space="0"/>
              <w:right w:val="single" w:color="auto" w:sz="4" w:space="0"/>
              <w:tl2br w:val="nil"/>
              <w:tr2bl w:val="nil"/>
            </w:tcBorders>
            <w:vAlign w:val="center"/>
          </w:tcPr>
          <w:p w14:paraId="63C5B8BF">
            <w:pPr>
              <w:jc w:val="center"/>
              <w:rPr>
                <w:rFonts w:hint="eastAsia" w:ascii="宋体" w:hAnsi="宋体" w:eastAsia="宋体"/>
                <w:color w:val="auto"/>
                <w:sz w:val="21"/>
                <w:szCs w:val="21"/>
                <w:lang w:eastAsia="zh-CN" w:bidi="ar-SA"/>
              </w:rPr>
            </w:pPr>
            <w:bookmarkStart w:id="47" w:name="_Hlk63150483"/>
            <w:r>
              <w:rPr>
                <w:rFonts w:hint="eastAsia" w:ascii="宋体" w:hAnsi="宋体" w:eastAsia="宋体"/>
                <w:color w:val="auto"/>
                <w:sz w:val="21"/>
                <w:szCs w:val="21"/>
                <w:lang w:eastAsia="zh-CN" w:bidi="ar-SA"/>
              </w:rPr>
              <w:t>主要人员情况表</w:t>
            </w:r>
            <w:bookmarkEnd w:id="47"/>
          </w:p>
        </w:tc>
        <w:tc>
          <w:tcPr>
            <w:tcW w:w="5355" w:type="dxa"/>
            <w:tcBorders>
              <w:top w:val="single" w:color="auto" w:sz="4" w:space="0"/>
              <w:left w:val="single" w:color="auto" w:sz="4" w:space="0"/>
              <w:bottom w:val="single" w:color="auto" w:sz="4" w:space="0"/>
              <w:right w:val="single" w:color="auto" w:sz="4" w:space="0"/>
              <w:tl2br w:val="nil"/>
              <w:tr2bl w:val="nil"/>
            </w:tcBorders>
            <w:vAlign w:val="center"/>
          </w:tcPr>
          <w:p w14:paraId="334D5952">
            <w:pPr>
              <w:spacing w:line="320" w:lineRule="exact"/>
              <w:rPr>
                <w:rFonts w:ascii="宋体" w:hAnsi="宋体" w:cs="宋体"/>
                <w:color w:val="auto"/>
                <w:sz w:val="21"/>
                <w:szCs w:val="21"/>
                <w:lang w:eastAsia="zh-CN"/>
              </w:rPr>
            </w:pPr>
            <w:r>
              <w:rPr>
                <w:rFonts w:hint="eastAsia" w:ascii="宋体" w:hAnsi="宋体" w:cs="宋体"/>
                <w:color w:val="auto"/>
                <w:sz w:val="21"/>
                <w:szCs w:val="21"/>
                <w:lang w:eastAsia="zh-CN"/>
              </w:rPr>
              <w:t>需提供资料：</w:t>
            </w:r>
          </w:p>
          <w:p w14:paraId="396861C7">
            <w:pPr>
              <w:widowControl/>
              <w:autoSpaceDE w:val="0"/>
              <w:autoSpaceDN w:val="0"/>
              <w:spacing w:line="320" w:lineRule="exact"/>
              <w:ind w:firstLine="420" w:firstLineChars="200"/>
              <w:textAlignment w:val="bottom"/>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（1）</w:t>
            </w:r>
            <w:r>
              <w:rPr>
                <w:rFonts w:ascii="宋体" w:hAnsi="宋体" w:eastAsia="宋体" w:cs="宋体"/>
                <w:color w:val="auto"/>
                <w:sz w:val="21"/>
                <w:szCs w:val="21"/>
                <w:lang w:eastAsia="zh-CN"/>
              </w:rPr>
              <w:t>附身份证、职称证</w:t>
            </w:r>
            <w:r>
              <w:rPr>
                <w:rFonts w:hint="eastAsia" w:ascii="宋体" w:hAnsi="宋体" w:eastAsia="宋体" w:cs="宋体"/>
                <w:color w:val="auto"/>
                <w:sz w:val="21"/>
                <w:szCs w:val="21"/>
                <w:lang w:eastAsia="zh-CN"/>
              </w:rPr>
              <w:t>、执业资格证书</w:t>
            </w:r>
            <w:r>
              <w:rPr>
                <w:rFonts w:ascii="宋体" w:hAnsi="宋体" w:eastAsia="宋体" w:cs="宋体"/>
                <w:color w:val="auto"/>
                <w:sz w:val="21"/>
                <w:szCs w:val="21"/>
                <w:lang w:eastAsia="zh-CN"/>
              </w:rPr>
              <w:t>、培训证书（或岗位证书）</w:t>
            </w:r>
            <w:r>
              <w:rPr>
                <w:rFonts w:hint="eastAsia" w:ascii="宋体" w:hAnsi="宋体" w:eastAsia="宋体" w:cs="宋体"/>
                <w:color w:val="auto"/>
                <w:sz w:val="21"/>
                <w:szCs w:val="21"/>
                <w:lang w:eastAsia="zh-CN"/>
              </w:rPr>
              <w:t>等与评审要求有关</w:t>
            </w:r>
            <w:r>
              <w:rPr>
                <w:rFonts w:ascii="宋体" w:hAnsi="宋体" w:eastAsia="宋体" w:cs="宋体"/>
                <w:color w:val="auto"/>
                <w:sz w:val="21"/>
                <w:szCs w:val="21"/>
                <w:lang w:eastAsia="zh-CN"/>
              </w:rPr>
              <w:t>证件证书材料的</w:t>
            </w:r>
            <w:r>
              <w:rPr>
                <w:rFonts w:hint="eastAsia" w:ascii="宋体" w:hAnsi="宋体" w:eastAsia="宋体" w:cs="宋体"/>
                <w:color w:val="auto"/>
                <w:sz w:val="21"/>
                <w:szCs w:val="21"/>
                <w:lang w:eastAsia="zh-CN"/>
              </w:rPr>
              <w:t>彩色扫描件。</w:t>
            </w:r>
          </w:p>
          <w:p w14:paraId="747BD19A">
            <w:pPr>
              <w:widowControl/>
              <w:autoSpaceDE w:val="0"/>
              <w:autoSpaceDN w:val="0"/>
              <w:spacing w:line="320" w:lineRule="exact"/>
              <w:ind w:firstLine="420" w:firstLineChars="200"/>
              <w:textAlignment w:val="bottom"/>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w:t>
            </w:r>
            <w:r>
              <w:rPr>
                <w:rFonts w:ascii="宋体" w:hAnsi="宋体" w:eastAsia="宋体" w:cs="宋体"/>
                <w:color w:val="auto"/>
                <w:sz w:val="21"/>
                <w:szCs w:val="21"/>
                <w:lang w:eastAsia="zh-CN"/>
              </w:rPr>
              <w:t>2</w:t>
            </w:r>
            <w:r>
              <w:rPr>
                <w:rFonts w:hint="eastAsia" w:ascii="宋体" w:hAnsi="宋体" w:eastAsia="宋体" w:cs="宋体"/>
                <w:color w:val="auto"/>
                <w:sz w:val="21"/>
                <w:szCs w:val="21"/>
                <w:lang w:eastAsia="zh-CN"/>
              </w:rPr>
              <w:t>）相关人员如要求业绩评审的，则应附</w:t>
            </w:r>
            <w:r>
              <w:rPr>
                <w:rFonts w:hint="eastAsia" w:ascii="宋体" w:hAnsi="宋体" w:eastAsia="宋体" w:cs="宋体"/>
                <w:b/>
                <w:bCs/>
                <w:color w:val="auto"/>
                <w:sz w:val="21"/>
                <w:szCs w:val="21"/>
                <w:lang w:eastAsia="zh-CN"/>
              </w:rPr>
              <w:t>合同协议书</w:t>
            </w:r>
            <w:r>
              <w:rPr>
                <w:rFonts w:hint="eastAsia" w:ascii="宋体" w:hAnsi="宋体" w:eastAsia="宋体" w:cs="宋体"/>
                <w:color w:val="auto"/>
                <w:sz w:val="21"/>
                <w:szCs w:val="21"/>
                <w:lang w:eastAsia="zh-CN"/>
              </w:rPr>
              <w:t>的彩色扫描件等材料佐证。</w:t>
            </w:r>
          </w:p>
          <w:p w14:paraId="4D24F7A2">
            <w:pPr>
              <w:widowControl/>
              <w:autoSpaceDE w:val="0"/>
              <w:autoSpaceDN w:val="0"/>
              <w:spacing w:line="320" w:lineRule="exact"/>
              <w:ind w:firstLine="420" w:firstLineChars="200"/>
              <w:textAlignment w:val="bottom"/>
              <w:rPr>
                <w:color w:val="auto"/>
                <w:sz w:val="21"/>
                <w:szCs w:val="21"/>
                <w:lang w:eastAsia="zh-CN"/>
              </w:rPr>
            </w:pPr>
            <w:r>
              <w:rPr>
                <w:rFonts w:hint="eastAsia" w:ascii="宋体" w:hAnsi="宋体" w:eastAsia="宋体" w:cs="宋体"/>
                <w:color w:val="auto"/>
                <w:sz w:val="21"/>
                <w:szCs w:val="21"/>
                <w:lang w:eastAsia="zh-CN"/>
              </w:rPr>
              <w:t>（3）附在社保系统打印的本单位人员缴费明细的彩色扫描件（已退休人员则需提供其资格证书注册（登记）工作单位为投标单位的证明材料）；如果投标人属事业法人单位，则由投标人的上级主管部门出具书面证明材料。</w:t>
            </w:r>
            <w:r>
              <w:rPr>
                <w:rFonts w:hint="eastAsia"/>
                <w:color w:val="auto"/>
                <w:sz w:val="21"/>
                <w:szCs w:val="21"/>
                <w:lang w:eastAsia="zh-CN"/>
              </w:rPr>
              <w:t xml:space="preserve"> </w:t>
            </w:r>
          </w:p>
          <w:p w14:paraId="1E3CD0E7">
            <w:pPr>
              <w:widowControl/>
              <w:autoSpaceDE w:val="0"/>
              <w:autoSpaceDN w:val="0"/>
              <w:spacing w:line="320" w:lineRule="exact"/>
              <w:ind w:firstLine="420" w:firstLineChars="200"/>
              <w:textAlignment w:val="bottom"/>
              <w:rPr>
                <w:color w:val="auto"/>
                <w:sz w:val="21"/>
                <w:szCs w:val="21"/>
                <w:lang w:eastAsia="zh-CN"/>
              </w:rPr>
            </w:pPr>
            <w:r>
              <w:rPr>
                <w:rFonts w:hint="eastAsia" w:ascii="宋体" w:hAnsi="宋体" w:eastAsia="宋体" w:cs="宋体"/>
                <w:color w:val="auto"/>
                <w:sz w:val="21"/>
                <w:szCs w:val="21"/>
                <w:lang w:eastAsia="zh-CN"/>
              </w:rPr>
              <w:t>如在投标期间，投标人发生改制、重组、分设等情形，其投标人员个人社保缴纳单位未能及时更换至与投标人名称一致的，须提供社保缴纳单位与投标人的关联证明材料。</w:t>
            </w:r>
          </w:p>
          <w:p w14:paraId="1E26F999">
            <w:pPr>
              <w:spacing w:line="276" w:lineRule="auto"/>
              <w:rPr>
                <w:rFonts w:hint="eastAsia" w:ascii="宋体" w:hAnsi="宋体" w:eastAsia="宋体" w:cs="宋体"/>
                <w:color w:val="auto"/>
                <w:sz w:val="21"/>
                <w:szCs w:val="21"/>
                <w:lang w:eastAsia="zh-CN"/>
              </w:rPr>
            </w:pPr>
            <w:r>
              <w:rPr>
                <w:rFonts w:hint="eastAsia"/>
                <w:color w:val="auto"/>
                <w:sz w:val="21"/>
                <w:szCs w:val="21"/>
                <w:lang w:eastAsia="zh-CN"/>
              </w:rPr>
              <w:t>（</w:t>
            </w:r>
            <w:r>
              <w:rPr>
                <w:color w:val="auto"/>
                <w:sz w:val="21"/>
                <w:szCs w:val="21"/>
                <w:lang w:eastAsia="zh-CN"/>
              </w:rPr>
              <w:t>4</w:t>
            </w:r>
            <w:r>
              <w:rPr>
                <w:rFonts w:hint="eastAsia"/>
                <w:color w:val="auto"/>
                <w:sz w:val="21"/>
                <w:szCs w:val="21"/>
                <w:lang w:eastAsia="zh-CN"/>
              </w:rPr>
              <w:t>）如投标人提供的上述材料不全或所提供材料不能体现出“投标人须知前附表”第1.4.1项人员资格的要求，则该人员此项资格、资历或业绩不予认可。</w:t>
            </w:r>
          </w:p>
        </w:tc>
      </w:tr>
      <w:tr w14:paraId="0590163D">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288" w:hRule="exact"/>
          <w:jc w:val="center"/>
        </w:trPr>
        <w:tc>
          <w:tcPr>
            <w:tcW w:w="1048" w:type="dxa"/>
            <w:tcBorders>
              <w:top w:val="single" w:color="auto" w:sz="4" w:space="0"/>
              <w:left w:val="single" w:color="auto" w:sz="4" w:space="0"/>
              <w:bottom w:val="single" w:color="auto" w:sz="4" w:space="0"/>
              <w:right w:val="single" w:color="auto" w:sz="4" w:space="0"/>
              <w:tl2br w:val="nil"/>
              <w:tr2bl w:val="nil"/>
            </w:tcBorders>
            <w:vAlign w:val="center"/>
          </w:tcPr>
          <w:p w14:paraId="7CF5B0DB">
            <w:pPr>
              <w:jc w:val="cente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3</w:t>
            </w:r>
            <w:r>
              <w:rPr>
                <w:rFonts w:ascii="宋体" w:hAnsi="宋体" w:eastAsia="宋体"/>
                <w:color w:val="auto"/>
                <w:sz w:val="21"/>
                <w:szCs w:val="21"/>
                <w:lang w:eastAsia="zh-CN" w:bidi="ar-SA"/>
              </w:rPr>
              <w:t>.5.9</w:t>
            </w:r>
          </w:p>
        </w:tc>
        <w:tc>
          <w:tcPr>
            <w:tcW w:w="2835" w:type="dxa"/>
            <w:tcBorders>
              <w:top w:val="single" w:color="auto" w:sz="4" w:space="0"/>
              <w:left w:val="single" w:color="auto" w:sz="4" w:space="0"/>
              <w:bottom w:val="single" w:color="auto" w:sz="4" w:space="0"/>
              <w:right w:val="single" w:color="auto" w:sz="4" w:space="0"/>
              <w:tl2br w:val="nil"/>
              <w:tr2bl w:val="nil"/>
            </w:tcBorders>
            <w:vAlign w:val="center"/>
          </w:tcPr>
          <w:p w14:paraId="788EBC10">
            <w:pPr>
              <w:jc w:val="cente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虚假资料核查</w:t>
            </w:r>
          </w:p>
        </w:tc>
        <w:tc>
          <w:tcPr>
            <w:tcW w:w="5355" w:type="dxa"/>
            <w:tcBorders>
              <w:top w:val="single" w:color="auto" w:sz="4" w:space="0"/>
              <w:left w:val="single" w:color="auto" w:sz="4" w:space="0"/>
              <w:bottom w:val="single" w:color="auto" w:sz="4" w:space="0"/>
              <w:right w:val="single" w:color="auto" w:sz="4" w:space="0"/>
              <w:tl2br w:val="nil"/>
              <w:tr2bl w:val="nil"/>
            </w:tcBorders>
            <w:vAlign w:val="center"/>
          </w:tcPr>
          <w:p w14:paraId="16D1B16B">
            <w:pPr>
              <w:spacing w:line="360" w:lineRule="exact"/>
              <w:rPr>
                <w:rFonts w:ascii="Segoe UI Emoji" w:hAnsi="Segoe UI Emoji" w:eastAsia="宋体" w:cs="Segoe UI Emoji"/>
                <w:color w:val="auto"/>
                <w:sz w:val="21"/>
                <w:szCs w:val="21"/>
                <w:lang w:eastAsia="zh-CN" w:bidi="ar-SA"/>
              </w:rPr>
            </w:pPr>
            <w:r>
              <w:rPr>
                <w:rFonts w:hint="eastAsia" w:ascii="Segoe UI Emoji" w:hAnsi="Segoe UI Emoji" w:eastAsia="宋体" w:cs="Segoe UI Emoji"/>
                <w:color w:val="auto"/>
                <w:sz w:val="21"/>
                <w:szCs w:val="21"/>
                <w:lang w:eastAsia="zh-CN" w:bidi="ar-SA"/>
              </w:rPr>
              <w:t>招标人有权核查投标人在投标文件中提供的资料，若在评标期间发现投标人提供了虚假资料，其投标将被否决；若在签订合同前发现作为中标人（中标候选人）的投标人提供了虚假资料，招标人有权取消其中标资格；若在合同实施期间发现投标人提供了虚假资料，招标人有权从工程支付款或履约保证金中扣除不超过</w:t>
            </w:r>
            <w:r>
              <w:rPr>
                <w:rFonts w:ascii="Segoe UI Emoji" w:hAnsi="Segoe UI Emoji" w:eastAsia="宋体" w:cs="Segoe UI Emoji"/>
                <w:color w:val="auto"/>
                <w:sz w:val="21"/>
                <w:szCs w:val="21"/>
                <w:lang w:eastAsia="zh-CN" w:bidi="ar-SA"/>
              </w:rPr>
              <w:t>10%</w:t>
            </w:r>
            <w:r>
              <w:rPr>
                <w:rFonts w:hint="eastAsia" w:ascii="Segoe UI Emoji" w:hAnsi="Segoe UI Emoji" w:eastAsia="宋体" w:cs="Segoe UI Emoji"/>
                <w:color w:val="auto"/>
                <w:sz w:val="21"/>
                <w:szCs w:val="21"/>
                <w:lang w:eastAsia="zh-CN" w:bidi="ar-SA"/>
              </w:rPr>
              <w:t>签约合同价的金额作为违约金。同时招标人将投标人上述弄虚作假行为上报省级交通运输主管部门，作为不良记录纳入水运建设市场信用信息管理系统。</w:t>
            </w:r>
          </w:p>
        </w:tc>
      </w:tr>
      <w:tr w14:paraId="62C4EC4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827" w:hRule="exact"/>
          <w:jc w:val="center"/>
        </w:trPr>
        <w:tc>
          <w:tcPr>
            <w:tcW w:w="1048" w:type="dxa"/>
            <w:tcBorders>
              <w:top w:val="single" w:color="auto" w:sz="4" w:space="0"/>
              <w:left w:val="single" w:color="auto" w:sz="4" w:space="0"/>
              <w:bottom w:val="single" w:color="auto" w:sz="4" w:space="0"/>
              <w:right w:val="single" w:color="auto" w:sz="4" w:space="0"/>
              <w:tl2br w:val="nil"/>
              <w:tr2bl w:val="nil"/>
            </w:tcBorders>
            <w:vAlign w:val="center"/>
          </w:tcPr>
          <w:p w14:paraId="03B1D6C4">
            <w:pPr>
              <w:jc w:val="cente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3</w:t>
            </w:r>
            <w:r>
              <w:rPr>
                <w:rFonts w:ascii="宋体" w:hAnsi="宋体" w:eastAsia="宋体"/>
                <w:color w:val="auto"/>
                <w:sz w:val="21"/>
                <w:szCs w:val="21"/>
                <w:lang w:eastAsia="zh-CN" w:bidi="ar-SA"/>
              </w:rPr>
              <w:t>.6.1</w:t>
            </w:r>
          </w:p>
        </w:tc>
        <w:tc>
          <w:tcPr>
            <w:tcW w:w="2835" w:type="dxa"/>
            <w:tcBorders>
              <w:top w:val="single" w:color="auto" w:sz="4" w:space="0"/>
              <w:left w:val="single" w:color="auto" w:sz="4" w:space="0"/>
              <w:bottom w:val="single" w:color="auto" w:sz="4" w:space="0"/>
              <w:right w:val="single" w:color="auto" w:sz="4" w:space="0"/>
              <w:tl2br w:val="nil"/>
              <w:tr2bl w:val="nil"/>
            </w:tcBorders>
            <w:vAlign w:val="center"/>
          </w:tcPr>
          <w:p w14:paraId="5888BDF2">
            <w:pPr>
              <w:jc w:val="cente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是否允许递交备选投标方案</w:t>
            </w:r>
          </w:p>
        </w:tc>
        <w:tc>
          <w:tcPr>
            <w:tcW w:w="5355" w:type="dxa"/>
            <w:tcBorders>
              <w:top w:val="single" w:color="auto" w:sz="4" w:space="0"/>
              <w:left w:val="single" w:color="auto" w:sz="4" w:space="0"/>
              <w:bottom w:val="single" w:color="auto" w:sz="4" w:space="0"/>
              <w:right w:val="single" w:color="auto" w:sz="4" w:space="0"/>
              <w:tl2br w:val="nil"/>
              <w:tr2bl w:val="nil"/>
            </w:tcBorders>
            <w:vAlign w:val="center"/>
          </w:tcPr>
          <w:p w14:paraId="10EBD538">
            <w:pPr>
              <w:spacing w:line="360" w:lineRule="auto"/>
              <w:rPr>
                <w:rFonts w:hint="eastAsia" w:ascii="宋体" w:hAnsi="宋体" w:eastAsia="宋体"/>
                <w:color w:val="auto"/>
                <w:sz w:val="21"/>
                <w:szCs w:val="21"/>
                <w:lang w:eastAsia="zh-CN" w:bidi="ar-SA"/>
              </w:rPr>
            </w:pPr>
            <w:r>
              <w:rPr>
                <w:rFonts w:hint="eastAsia" w:ascii="Segoe UI Emoji" w:hAnsi="Segoe UI Emoji" w:eastAsia="宋体" w:cs="Segoe UI Emoji"/>
                <w:color w:val="auto"/>
                <w:sz w:val="21"/>
                <w:szCs w:val="21"/>
                <w:lang w:eastAsia="zh-CN" w:bidi="ar-SA"/>
              </w:rPr>
              <w:sym w:font="Wingdings 2" w:char="F052"/>
            </w:r>
            <w:r>
              <w:rPr>
                <w:rFonts w:ascii="Segoe UI Emoji" w:hAnsi="Segoe UI Emoji" w:eastAsia="宋体" w:cs="Segoe UI Emoji"/>
                <w:color w:val="auto"/>
                <w:sz w:val="21"/>
                <w:szCs w:val="21"/>
                <w:lang w:eastAsia="zh-CN" w:bidi="ar-SA"/>
              </w:rPr>
              <w:t xml:space="preserve"> </w:t>
            </w:r>
            <w:r>
              <w:rPr>
                <w:rFonts w:hint="eastAsia" w:ascii="宋体" w:hAnsi="宋体" w:eastAsia="宋体"/>
                <w:color w:val="auto"/>
                <w:sz w:val="21"/>
                <w:szCs w:val="21"/>
                <w:lang w:eastAsia="zh-CN" w:bidi="ar-SA"/>
              </w:rPr>
              <w:t>不允许</w:t>
            </w:r>
          </w:p>
          <w:p w14:paraId="425F72D3">
            <w:pPr>
              <w:rPr>
                <w:rFonts w:hint="eastAsia" w:ascii="宋体" w:hAnsi="宋体" w:eastAsia="宋体"/>
                <w:color w:val="auto"/>
                <w:sz w:val="21"/>
                <w:szCs w:val="21"/>
              </w:rPr>
            </w:pPr>
            <w:r>
              <w:rPr>
                <w:rFonts w:hint="eastAsia" w:ascii="宋体" w:hAnsi="宋体" w:eastAsia="宋体"/>
                <w:color w:val="auto"/>
                <w:sz w:val="21"/>
                <w:szCs w:val="21"/>
              </w:rPr>
              <w:t>□允许</w:t>
            </w:r>
          </w:p>
        </w:tc>
      </w:tr>
      <w:tr w14:paraId="7BEEB7E8">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jc w:val="center"/>
        </w:trPr>
        <w:tc>
          <w:tcPr>
            <w:tcW w:w="1048" w:type="dxa"/>
            <w:tcBorders>
              <w:top w:val="single" w:color="auto" w:sz="4" w:space="0"/>
              <w:left w:val="single" w:color="auto" w:sz="4" w:space="0"/>
              <w:bottom w:val="single" w:color="auto" w:sz="4" w:space="0"/>
              <w:right w:val="single" w:color="auto" w:sz="4" w:space="0"/>
              <w:tl2br w:val="nil"/>
              <w:tr2bl w:val="nil"/>
            </w:tcBorders>
            <w:vAlign w:val="center"/>
          </w:tcPr>
          <w:p w14:paraId="37AA5C81">
            <w:pPr>
              <w:jc w:val="cente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3</w:t>
            </w:r>
            <w:r>
              <w:rPr>
                <w:rFonts w:ascii="宋体" w:hAnsi="宋体" w:eastAsia="宋体"/>
                <w:color w:val="auto"/>
                <w:sz w:val="21"/>
                <w:szCs w:val="21"/>
                <w:lang w:eastAsia="zh-CN" w:bidi="ar-SA"/>
              </w:rPr>
              <w:t>.7</w:t>
            </w:r>
          </w:p>
        </w:tc>
        <w:tc>
          <w:tcPr>
            <w:tcW w:w="2835" w:type="dxa"/>
            <w:tcBorders>
              <w:top w:val="single" w:color="auto" w:sz="4" w:space="0"/>
              <w:left w:val="single" w:color="auto" w:sz="4" w:space="0"/>
              <w:bottom w:val="single" w:color="auto" w:sz="4" w:space="0"/>
              <w:right w:val="single" w:color="auto" w:sz="4" w:space="0"/>
              <w:tl2br w:val="nil"/>
              <w:tr2bl w:val="nil"/>
            </w:tcBorders>
            <w:vAlign w:val="center"/>
          </w:tcPr>
          <w:p w14:paraId="1DAB977C">
            <w:pPr>
              <w:jc w:val="cente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投标文件的编制</w:t>
            </w:r>
          </w:p>
        </w:tc>
        <w:tc>
          <w:tcPr>
            <w:tcW w:w="5355" w:type="dxa"/>
            <w:tcBorders>
              <w:top w:val="single" w:color="auto" w:sz="4" w:space="0"/>
              <w:left w:val="single" w:color="auto" w:sz="4" w:space="0"/>
              <w:bottom w:val="single" w:color="auto" w:sz="4" w:space="0"/>
              <w:right w:val="single" w:color="auto" w:sz="4" w:space="0"/>
              <w:tl2br w:val="nil"/>
              <w:tr2bl w:val="nil"/>
            </w:tcBorders>
            <w:vAlign w:val="center"/>
          </w:tcPr>
          <w:p w14:paraId="5ADF229F">
            <w:pPr>
              <w:spacing w:line="360" w:lineRule="exact"/>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3.7.1</w:t>
            </w:r>
            <w:r>
              <w:rPr>
                <w:rFonts w:hint="eastAsia" w:ascii="宋体" w:hAnsi="宋体" w:eastAsia="宋体"/>
                <w:color w:val="auto"/>
                <w:sz w:val="21"/>
                <w:szCs w:val="21"/>
                <w:lang w:eastAsia="zh-CN" w:bidi="ar-SA"/>
              </w:rPr>
              <w:t>投标文件应采用交易系统提供的投标文件制作工具进行制作，格式符合第六章“投标文件格式”要求。</w:t>
            </w:r>
          </w:p>
          <w:p w14:paraId="3D401EE7">
            <w:pPr>
              <w:spacing w:line="360" w:lineRule="exact"/>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 xml:space="preserve">3.7.2 </w:t>
            </w:r>
            <w:r>
              <w:rPr>
                <w:rFonts w:hint="eastAsia" w:ascii="宋体" w:hAnsi="宋体" w:eastAsia="宋体"/>
                <w:color w:val="auto"/>
                <w:sz w:val="21"/>
                <w:szCs w:val="21"/>
                <w:lang w:eastAsia="zh-CN" w:bidi="ar-SA"/>
              </w:rPr>
              <w:t>投标文件应当对招标文件有关服务期限、投标有效期、质量要求、委托人要求、招标范围等实质性内容作出响应。</w:t>
            </w:r>
          </w:p>
          <w:p w14:paraId="5FEE6865">
            <w:pPr>
              <w:spacing w:line="360" w:lineRule="exact"/>
              <w:rPr>
                <w:rFonts w:hint="eastAsia" w:ascii="宋体" w:hAnsi="宋体" w:eastAsia="宋体"/>
                <w:color w:val="auto"/>
                <w:sz w:val="21"/>
                <w:szCs w:val="21"/>
                <w:lang w:eastAsia="zh-CN" w:bidi="ar-SA"/>
              </w:rPr>
            </w:pPr>
            <w:r>
              <w:rPr>
                <w:rFonts w:ascii="宋体" w:hAnsi="宋体" w:eastAsia="宋体"/>
                <w:b/>
                <w:bCs/>
                <w:color w:val="auto"/>
                <w:sz w:val="21"/>
                <w:szCs w:val="21"/>
                <w:lang w:eastAsia="zh-CN" w:bidi="ar-SA"/>
              </w:rPr>
              <w:t xml:space="preserve">3.7.3 </w:t>
            </w:r>
            <w:r>
              <w:rPr>
                <w:rFonts w:hint="eastAsia" w:ascii="宋体" w:hAnsi="宋体" w:eastAsia="宋体"/>
                <w:b/>
                <w:bCs/>
                <w:color w:val="auto"/>
                <w:sz w:val="21"/>
                <w:szCs w:val="21"/>
                <w:lang w:eastAsia="zh-CN" w:bidi="ar-SA"/>
              </w:rPr>
              <w:t>投标文件的制作应满足以下规定</w:t>
            </w:r>
            <w:r>
              <w:rPr>
                <w:rFonts w:hint="eastAsia" w:ascii="宋体" w:hAnsi="宋体" w:eastAsia="宋体"/>
                <w:color w:val="auto"/>
                <w:sz w:val="21"/>
                <w:szCs w:val="21"/>
                <w:lang w:eastAsia="zh-CN" w:bidi="ar-SA"/>
              </w:rPr>
              <w:t>：</w:t>
            </w:r>
          </w:p>
          <w:p w14:paraId="5827DAC8">
            <w:pPr>
              <w:spacing w:line="360" w:lineRule="exact"/>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w:t>
            </w:r>
            <w:r>
              <w:rPr>
                <w:rFonts w:ascii="宋体" w:hAnsi="宋体" w:eastAsia="宋体"/>
                <w:color w:val="auto"/>
                <w:sz w:val="21"/>
                <w:szCs w:val="21"/>
                <w:lang w:eastAsia="zh-CN" w:bidi="ar-SA"/>
              </w:rPr>
              <w:t>1</w:t>
            </w:r>
            <w:r>
              <w:rPr>
                <w:rFonts w:hint="eastAsia" w:ascii="宋体" w:hAnsi="宋体" w:eastAsia="宋体"/>
                <w:color w:val="auto"/>
                <w:sz w:val="21"/>
                <w:szCs w:val="21"/>
                <w:lang w:eastAsia="zh-CN" w:bidi="ar-SA"/>
              </w:rPr>
              <w:t>）投标人在编制投标文件时应按照“投标文件制作工具”中各模块的要求分别制作相关内容。</w:t>
            </w:r>
          </w:p>
          <w:p w14:paraId="0C0120AC">
            <w:pPr>
              <w:spacing w:line="360" w:lineRule="exact"/>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w:t>
            </w:r>
            <w:r>
              <w:rPr>
                <w:rFonts w:ascii="宋体" w:hAnsi="宋体" w:eastAsia="宋体"/>
                <w:color w:val="auto"/>
                <w:sz w:val="21"/>
                <w:szCs w:val="21"/>
                <w:lang w:eastAsia="zh-CN" w:bidi="ar-SA"/>
              </w:rPr>
              <w:t>2</w:t>
            </w:r>
            <w:r>
              <w:rPr>
                <w:rFonts w:hint="eastAsia" w:ascii="宋体" w:hAnsi="宋体" w:eastAsia="宋体"/>
                <w:color w:val="auto"/>
                <w:sz w:val="21"/>
                <w:szCs w:val="21"/>
                <w:lang w:eastAsia="zh-CN" w:bidi="ar-SA"/>
              </w:rPr>
              <w:t>）签字或盖章要求：第六章“投标文件格式”中明确要求投标人法定代表人签字之处，投标人必须加盖法定代表人电子签章；明确要求加盖单位章之处，投标人必须加盖投标人单位电子公章。</w:t>
            </w:r>
          </w:p>
          <w:p w14:paraId="224F1D2F">
            <w:pPr>
              <w:spacing w:line="360" w:lineRule="exact"/>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w:t>
            </w:r>
            <w:r>
              <w:rPr>
                <w:rFonts w:ascii="宋体" w:hAnsi="宋体" w:eastAsia="宋体"/>
                <w:color w:val="auto"/>
                <w:sz w:val="21"/>
                <w:szCs w:val="21"/>
                <w:lang w:eastAsia="zh-CN" w:bidi="ar-SA"/>
              </w:rPr>
              <w:t>3</w:t>
            </w:r>
            <w:r>
              <w:rPr>
                <w:rFonts w:hint="eastAsia" w:ascii="宋体" w:hAnsi="宋体" w:eastAsia="宋体"/>
                <w:color w:val="auto"/>
                <w:sz w:val="21"/>
                <w:szCs w:val="21"/>
                <w:lang w:eastAsia="zh-CN" w:bidi="ar-SA"/>
              </w:rPr>
              <w:t>）投标文件制作完成后，投标人应使用</w:t>
            </w:r>
            <w:r>
              <w:rPr>
                <w:rFonts w:ascii="宋体" w:hAnsi="宋体" w:eastAsia="宋体"/>
                <w:color w:val="auto"/>
                <w:sz w:val="21"/>
                <w:szCs w:val="21"/>
                <w:lang w:eastAsia="zh-CN" w:bidi="ar-SA"/>
              </w:rPr>
              <w:t>CA</w:t>
            </w:r>
            <w:r>
              <w:rPr>
                <w:rFonts w:hint="eastAsia" w:ascii="宋体" w:hAnsi="宋体" w:eastAsia="宋体"/>
                <w:color w:val="auto"/>
                <w:sz w:val="21"/>
                <w:szCs w:val="21"/>
                <w:lang w:eastAsia="zh-CN" w:bidi="ar-SA"/>
              </w:rPr>
              <w:t>数字证书对投标文件进行文件加密，形成加密的投标文件。</w:t>
            </w:r>
          </w:p>
          <w:p w14:paraId="501F5E7A">
            <w:pPr>
              <w:spacing w:line="360" w:lineRule="exact"/>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w:t>
            </w:r>
            <w:r>
              <w:rPr>
                <w:rFonts w:ascii="宋体" w:hAnsi="宋体" w:eastAsia="宋体"/>
                <w:color w:val="auto"/>
                <w:sz w:val="21"/>
                <w:szCs w:val="21"/>
                <w:lang w:eastAsia="zh-CN" w:bidi="ar-SA"/>
              </w:rPr>
              <w:t>4</w:t>
            </w:r>
            <w:r>
              <w:rPr>
                <w:rFonts w:hint="eastAsia" w:ascii="宋体" w:hAnsi="宋体" w:eastAsia="宋体"/>
                <w:color w:val="auto"/>
                <w:sz w:val="21"/>
                <w:szCs w:val="21"/>
                <w:lang w:eastAsia="zh-CN" w:bidi="ar-SA"/>
              </w:rPr>
              <w:t>）投标文件制作的具体方法详见“投标文件制作工具”中的帮助文档。</w:t>
            </w:r>
          </w:p>
          <w:p w14:paraId="5E785652">
            <w:pPr>
              <w:spacing w:line="360" w:lineRule="exact"/>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3.7.4</w:t>
            </w:r>
            <w:r>
              <w:rPr>
                <w:rFonts w:hint="eastAsia" w:ascii="宋体" w:hAnsi="宋体" w:eastAsia="宋体"/>
                <w:color w:val="auto"/>
                <w:sz w:val="21"/>
                <w:szCs w:val="21"/>
                <w:lang w:eastAsia="zh-CN" w:bidi="ar-SA"/>
              </w:rPr>
              <w:t>因投标人原因而导致投标文件无法导入交易系统电子开标、评标系统，该投标视为无效投标，投标人自行承担由此导致的全部责任。</w:t>
            </w:r>
          </w:p>
          <w:p w14:paraId="49946620">
            <w:pPr>
              <w:spacing w:line="360" w:lineRule="exact"/>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3.7.5</w:t>
            </w:r>
            <w:r>
              <w:rPr>
                <w:rFonts w:hint="eastAsia" w:ascii="宋体" w:hAnsi="宋体" w:eastAsia="宋体"/>
                <w:color w:val="auto"/>
                <w:sz w:val="21"/>
                <w:szCs w:val="21"/>
                <w:lang w:eastAsia="zh-CN" w:bidi="ar-SA"/>
              </w:rPr>
              <w:t>投标文件的制作份数要求：投标人在制作投标文件时，其所投的每个标段需分别制作生成第一个信封（商务及技术文件）和第二个信封（报价文件）。</w:t>
            </w:r>
          </w:p>
          <w:p w14:paraId="5D1EA766">
            <w:pPr>
              <w:spacing w:line="360" w:lineRule="exact"/>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3</w:t>
            </w:r>
            <w:r>
              <w:rPr>
                <w:rFonts w:ascii="宋体" w:hAnsi="宋体" w:eastAsia="宋体"/>
                <w:color w:val="auto"/>
                <w:sz w:val="21"/>
                <w:szCs w:val="21"/>
                <w:lang w:eastAsia="zh-CN" w:bidi="ar-SA"/>
              </w:rPr>
              <w:t>.7.6投标文件副本份数及</w:t>
            </w:r>
            <w:r>
              <w:rPr>
                <w:rFonts w:hint="eastAsia" w:ascii="宋体" w:hAnsi="宋体" w:eastAsia="宋体"/>
                <w:color w:val="auto"/>
                <w:sz w:val="21"/>
                <w:szCs w:val="21"/>
                <w:lang w:eastAsia="zh-CN" w:bidi="ar-SA"/>
              </w:rPr>
              <w:t>电子版格式</w:t>
            </w:r>
            <w:r>
              <w:rPr>
                <w:rFonts w:ascii="宋体" w:hAnsi="宋体" w:eastAsia="宋体"/>
                <w:color w:val="auto"/>
                <w:sz w:val="21"/>
                <w:szCs w:val="21"/>
                <w:lang w:eastAsia="zh-CN" w:bidi="ar-SA"/>
              </w:rPr>
              <w:t>要求</w:t>
            </w:r>
            <w:r>
              <w:rPr>
                <w:rFonts w:hint="eastAsia" w:ascii="宋体" w:hAnsi="宋体" w:eastAsia="宋体"/>
                <w:color w:val="auto"/>
                <w:sz w:val="21"/>
                <w:szCs w:val="21"/>
                <w:lang w:eastAsia="zh-CN" w:bidi="ar-SA"/>
              </w:rPr>
              <w:t>：投标阶段仅提交电子投标文件，如中标再提供纸质投标文件正本一份，副本4份；中标人提供的纸质投标文件需与投标时提供的电子投标文件保持一致，如有不一致，以电子投标文件为准。</w:t>
            </w:r>
          </w:p>
          <w:p w14:paraId="7C08E2B8">
            <w:pPr>
              <w:spacing w:line="360" w:lineRule="exact"/>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3.7.7装订的其他要求</w:t>
            </w:r>
            <w:r>
              <w:rPr>
                <w:rFonts w:hint="eastAsia" w:ascii="宋体" w:hAnsi="宋体" w:eastAsia="宋体"/>
                <w:color w:val="auto"/>
                <w:sz w:val="21"/>
                <w:szCs w:val="21"/>
                <w:lang w:eastAsia="zh-CN" w:bidi="ar-SA"/>
              </w:rPr>
              <w:t>：中标人递交的纸质投标文件应是电子投标文件的打印件，正本应逐页加盖投标人单位公章（鲜章），纸质投标文件应标注页码，且不得采用活页夹装订。</w:t>
            </w:r>
          </w:p>
        </w:tc>
      </w:tr>
      <w:tr w14:paraId="6A32482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2275" w:hRule="atLeast"/>
          <w:jc w:val="center"/>
        </w:trPr>
        <w:tc>
          <w:tcPr>
            <w:tcW w:w="1048" w:type="dxa"/>
            <w:tcBorders>
              <w:top w:val="single" w:color="auto" w:sz="4" w:space="0"/>
              <w:left w:val="single" w:color="auto" w:sz="4" w:space="0"/>
              <w:bottom w:val="single" w:color="auto" w:sz="4" w:space="0"/>
              <w:right w:val="single" w:color="auto" w:sz="4" w:space="0"/>
              <w:tl2br w:val="nil"/>
              <w:tr2bl w:val="nil"/>
            </w:tcBorders>
            <w:vAlign w:val="center"/>
          </w:tcPr>
          <w:p w14:paraId="10124448">
            <w:pPr>
              <w:jc w:val="cente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4.1</w:t>
            </w:r>
          </w:p>
          <w:p w14:paraId="27D24185">
            <w:pPr>
              <w:jc w:val="center"/>
              <w:rPr>
                <w:rFonts w:hint="eastAsia" w:ascii="宋体" w:hAnsi="宋体" w:eastAsia="宋体"/>
                <w:color w:val="auto"/>
                <w:sz w:val="21"/>
                <w:szCs w:val="21"/>
                <w:lang w:eastAsia="zh-CN" w:bidi="ar-SA"/>
              </w:rPr>
            </w:pPr>
          </w:p>
        </w:tc>
        <w:tc>
          <w:tcPr>
            <w:tcW w:w="2835" w:type="dxa"/>
            <w:tcBorders>
              <w:top w:val="single" w:color="auto" w:sz="4" w:space="0"/>
              <w:left w:val="single" w:color="auto" w:sz="4" w:space="0"/>
              <w:bottom w:val="single" w:color="auto" w:sz="4" w:space="0"/>
              <w:right w:val="single" w:color="auto" w:sz="4" w:space="0"/>
              <w:tl2br w:val="nil"/>
              <w:tr2bl w:val="nil"/>
            </w:tcBorders>
            <w:vAlign w:val="center"/>
          </w:tcPr>
          <w:p w14:paraId="48284A1B">
            <w:pPr>
              <w:jc w:val="cente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投标文件的</w:t>
            </w:r>
          </w:p>
          <w:p w14:paraId="4CAFCFE4">
            <w:pPr>
              <w:jc w:val="cente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密封和标识</w:t>
            </w:r>
          </w:p>
        </w:tc>
        <w:tc>
          <w:tcPr>
            <w:tcW w:w="5355" w:type="dxa"/>
            <w:tcBorders>
              <w:top w:val="single" w:color="auto" w:sz="4" w:space="0"/>
              <w:left w:val="single" w:color="auto" w:sz="4" w:space="0"/>
              <w:bottom w:val="single" w:color="auto" w:sz="4" w:space="0"/>
              <w:right w:val="single" w:color="auto" w:sz="4" w:space="0"/>
              <w:tl2br w:val="nil"/>
              <w:tr2bl w:val="nil"/>
            </w:tcBorders>
            <w:vAlign w:val="center"/>
          </w:tcPr>
          <w:p w14:paraId="0FC72EC1">
            <w:pPr>
              <w:spacing w:line="276" w:lineRule="auto"/>
              <w:ind w:firstLine="420" w:firstLineChars="200"/>
              <w:rPr>
                <w:rFonts w:hint="eastAsia" w:ascii="宋体" w:hAnsi="宋体" w:eastAsia="宋体"/>
                <w:color w:val="auto"/>
                <w:kern w:val="2"/>
                <w:sz w:val="21"/>
                <w:szCs w:val="21"/>
                <w:lang w:eastAsia="zh-CN" w:bidi="ar-SA"/>
              </w:rPr>
            </w:pPr>
            <w:r>
              <w:rPr>
                <w:rFonts w:hint="eastAsia" w:ascii="宋体" w:hAnsi="宋体" w:eastAsia="宋体"/>
                <w:color w:val="auto"/>
                <w:kern w:val="2"/>
                <w:sz w:val="21"/>
                <w:szCs w:val="21"/>
                <w:lang w:eastAsia="zh-CN" w:bidi="ar-SA"/>
              </w:rPr>
              <w:t>4.1.1投标人必须按本章第3.</w:t>
            </w:r>
            <w:r>
              <w:rPr>
                <w:rFonts w:ascii="宋体" w:hAnsi="宋体" w:eastAsia="宋体"/>
                <w:color w:val="auto"/>
                <w:kern w:val="2"/>
                <w:sz w:val="21"/>
                <w:szCs w:val="21"/>
                <w:lang w:eastAsia="zh-CN" w:bidi="ar-SA"/>
              </w:rPr>
              <w:t>7</w:t>
            </w:r>
            <w:r>
              <w:rPr>
                <w:rFonts w:hint="eastAsia" w:ascii="宋体" w:hAnsi="宋体" w:eastAsia="宋体"/>
                <w:color w:val="auto"/>
                <w:kern w:val="2"/>
                <w:sz w:val="21"/>
                <w:szCs w:val="21"/>
                <w:lang w:eastAsia="zh-CN" w:bidi="ar-SA"/>
              </w:rPr>
              <w:t>款的要求制作投标文件，并按交易系统的要求进行加密，上传投标文件，未按要求加密的投标文件，交易系统将拒绝接收 ；</w:t>
            </w:r>
          </w:p>
          <w:p w14:paraId="67595C2E">
            <w:pPr>
              <w:spacing w:line="276" w:lineRule="auto"/>
              <w:ind w:firstLine="420" w:firstLineChars="200"/>
              <w:rPr>
                <w:rFonts w:eastAsiaTheme="minorEastAsia"/>
                <w:color w:val="auto"/>
                <w:kern w:val="2"/>
                <w:sz w:val="21"/>
                <w:szCs w:val="21"/>
                <w:u w:val="single"/>
                <w:lang w:eastAsia="zh-CN" w:bidi="ar-SA"/>
              </w:rPr>
            </w:pPr>
            <w:r>
              <w:rPr>
                <w:rFonts w:hint="eastAsia" w:ascii="宋体" w:hAnsi="宋体" w:eastAsia="宋体"/>
                <w:color w:val="auto"/>
                <w:kern w:val="2"/>
                <w:sz w:val="21"/>
                <w:szCs w:val="21"/>
                <w:lang w:eastAsia="zh-CN" w:bidi="ar-SA"/>
              </w:rPr>
              <w:t>4.1.2未按第4.1.1项要求制作的投标文件，交易系统将无法识别，视为无效投标。</w:t>
            </w:r>
          </w:p>
        </w:tc>
      </w:tr>
      <w:tr w14:paraId="00DA113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jc w:val="center"/>
        </w:trPr>
        <w:tc>
          <w:tcPr>
            <w:tcW w:w="1048" w:type="dxa"/>
            <w:tcBorders>
              <w:top w:val="single" w:color="auto" w:sz="4" w:space="0"/>
              <w:left w:val="single" w:color="auto" w:sz="4" w:space="0"/>
              <w:bottom w:val="single" w:color="auto" w:sz="4" w:space="0"/>
              <w:right w:val="single" w:color="auto" w:sz="4" w:space="0"/>
              <w:tl2br w:val="nil"/>
              <w:tr2bl w:val="nil"/>
            </w:tcBorders>
            <w:vAlign w:val="center"/>
          </w:tcPr>
          <w:p w14:paraId="2606A1D0">
            <w:pPr>
              <w:jc w:val="center"/>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4.2</w:t>
            </w:r>
          </w:p>
        </w:tc>
        <w:tc>
          <w:tcPr>
            <w:tcW w:w="2835" w:type="dxa"/>
            <w:tcBorders>
              <w:top w:val="single" w:color="auto" w:sz="4" w:space="0"/>
              <w:left w:val="single" w:color="auto" w:sz="4" w:space="0"/>
              <w:bottom w:val="single" w:color="auto" w:sz="4" w:space="0"/>
              <w:right w:val="single" w:color="auto" w:sz="4" w:space="0"/>
              <w:tl2br w:val="nil"/>
              <w:tr2bl w:val="nil"/>
            </w:tcBorders>
            <w:vAlign w:val="center"/>
          </w:tcPr>
          <w:p w14:paraId="677A7164">
            <w:pPr>
              <w:jc w:val="cente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投标文件递交</w:t>
            </w:r>
          </w:p>
        </w:tc>
        <w:tc>
          <w:tcPr>
            <w:tcW w:w="5355" w:type="dxa"/>
            <w:tcBorders>
              <w:top w:val="single" w:color="auto" w:sz="4" w:space="0"/>
              <w:left w:val="single" w:color="auto" w:sz="4" w:space="0"/>
              <w:bottom w:val="single" w:color="auto" w:sz="4" w:space="0"/>
              <w:right w:val="single" w:color="auto" w:sz="4" w:space="0"/>
              <w:tl2br w:val="nil"/>
              <w:tr2bl w:val="nil"/>
            </w:tcBorders>
            <w:vAlign w:val="center"/>
          </w:tcPr>
          <w:p w14:paraId="5F5CF872">
            <w:pPr>
              <w:spacing w:line="360" w:lineRule="auto"/>
              <w:ind w:firstLine="420" w:firstLineChars="200"/>
              <w:rPr>
                <w:rFonts w:hint="eastAsia" w:ascii="宋体" w:hAnsi="宋体" w:eastAsia="宋体"/>
                <w:color w:val="auto"/>
                <w:kern w:val="2"/>
                <w:sz w:val="21"/>
                <w:szCs w:val="21"/>
                <w:lang w:eastAsia="zh-CN" w:bidi="ar-SA"/>
              </w:rPr>
            </w:pPr>
            <w:r>
              <w:rPr>
                <w:rFonts w:hint="eastAsia" w:ascii="宋体" w:hAnsi="宋体" w:eastAsia="宋体"/>
                <w:color w:val="auto"/>
                <w:kern w:val="2"/>
                <w:sz w:val="21"/>
                <w:szCs w:val="21"/>
                <w:lang w:eastAsia="zh-CN" w:bidi="ar-SA"/>
              </w:rPr>
              <w:t>4.2.1 投标人应在第一章“招标公告”规定的投标截止时间前，通过互联网使用CA数字证书登录交易系统，将加密的投标文件上传递交，并保存递交成功后系统自动生成的电子签收凭证，递交成功时间即为电子签收凭证时间。投标人应充分考虑上传文件时的不可预见因素，未在投标截止时间前完成上传的，视为逾期送达，交易系统将拒绝接收。</w:t>
            </w:r>
          </w:p>
          <w:p w14:paraId="0CB41591">
            <w:pPr>
              <w:spacing w:line="360" w:lineRule="auto"/>
              <w:ind w:firstLine="422" w:firstLineChars="200"/>
              <w:rPr>
                <w:rFonts w:hint="eastAsia" w:ascii="宋体" w:hAnsi="宋体" w:eastAsia="宋体"/>
                <w:b/>
                <w:color w:val="auto"/>
                <w:kern w:val="2"/>
                <w:sz w:val="21"/>
                <w:szCs w:val="21"/>
                <w:lang w:eastAsia="zh-CN" w:bidi="ar-SA"/>
              </w:rPr>
            </w:pPr>
            <w:r>
              <w:rPr>
                <w:rFonts w:hint="eastAsia" w:ascii="宋体" w:hAnsi="宋体" w:eastAsia="宋体"/>
                <w:b/>
                <w:color w:val="auto"/>
                <w:kern w:val="2"/>
                <w:sz w:val="21"/>
                <w:szCs w:val="21"/>
                <w:lang w:eastAsia="zh-CN" w:bidi="ar-SA"/>
              </w:rPr>
              <w:t>因交易系统故障导致投标人无法正常上传加密的投标文件，投标人应立即通知交易系统软件服务商，同时告知招标人，以便及时采取处理措施。</w:t>
            </w:r>
          </w:p>
          <w:p w14:paraId="73AC2195">
            <w:pPr>
              <w:spacing w:line="360" w:lineRule="auto"/>
              <w:ind w:firstLine="420" w:firstLineChars="200"/>
              <w:rPr>
                <w:rFonts w:hint="eastAsia" w:ascii="宋体" w:hAnsi="宋体" w:eastAsia="宋体"/>
                <w:color w:val="auto"/>
                <w:kern w:val="2"/>
                <w:sz w:val="21"/>
                <w:szCs w:val="21"/>
                <w:lang w:eastAsia="zh-CN" w:bidi="ar-SA"/>
              </w:rPr>
            </w:pPr>
            <w:r>
              <w:rPr>
                <w:rFonts w:hint="eastAsia" w:ascii="宋体" w:hAnsi="宋体" w:eastAsia="宋体"/>
                <w:color w:val="auto"/>
                <w:kern w:val="2"/>
                <w:sz w:val="21"/>
                <w:szCs w:val="21"/>
                <w:lang w:eastAsia="zh-CN" w:bidi="ar-SA"/>
              </w:rPr>
              <w:t>4.2.2根据本章第4.1款的规定，投标人递交的投标文件，只要出现投标文件应当拒收的情形，其投标文件将予以拒收。</w:t>
            </w:r>
          </w:p>
          <w:p w14:paraId="2D913D07">
            <w:pPr>
              <w:spacing w:line="360" w:lineRule="auto"/>
              <w:ind w:firstLine="420" w:firstLineChars="200"/>
              <w:rPr>
                <w:rFonts w:hint="eastAsia" w:ascii="宋体" w:hAnsi="宋体" w:eastAsia="宋体"/>
                <w:color w:val="auto"/>
                <w:kern w:val="2"/>
                <w:sz w:val="21"/>
                <w:szCs w:val="21"/>
                <w:lang w:eastAsia="zh-CN" w:bidi="ar-SA"/>
              </w:rPr>
            </w:pPr>
            <w:r>
              <w:rPr>
                <w:rFonts w:hint="eastAsia" w:ascii="宋体" w:hAnsi="宋体" w:eastAsia="宋体"/>
                <w:color w:val="auto"/>
                <w:kern w:val="2"/>
                <w:sz w:val="21"/>
                <w:szCs w:val="21"/>
                <w:lang w:eastAsia="zh-CN" w:bidi="ar-SA"/>
              </w:rPr>
              <w:t>4.2.3投标人所递交的电子投标文件不予退还。</w:t>
            </w:r>
          </w:p>
          <w:p w14:paraId="37DEFE99">
            <w:pPr>
              <w:spacing w:line="360" w:lineRule="auto"/>
              <w:ind w:right="113" w:firstLine="420" w:firstLineChars="200"/>
              <w:rPr>
                <w:rFonts w:hint="eastAsia" w:ascii="宋体" w:hAnsi="宋体" w:eastAsia="宋体"/>
                <w:color w:val="auto"/>
                <w:sz w:val="21"/>
                <w:szCs w:val="21"/>
                <w:lang w:eastAsia="zh-CN" w:bidi="ar-SA"/>
              </w:rPr>
            </w:pPr>
          </w:p>
        </w:tc>
      </w:tr>
      <w:tr w14:paraId="72E32E90">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407" w:hRule="exact"/>
          <w:jc w:val="center"/>
        </w:trPr>
        <w:tc>
          <w:tcPr>
            <w:tcW w:w="1048" w:type="dxa"/>
            <w:tcBorders>
              <w:top w:val="single" w:color="auto" w:sz="4" w:space="0"/>
              <w:left w:val="single" w:color="auto" w:sz="4" w:space="0"/>
              <w:bottom w:val="single" w:color="auto" w:sz="4" w:space="0"/>
              <w:right w:val="single" w:color="auto" w:sz="4" w:space="0"/>
              <w:tl2br w:val="nil"/>
              <w:tr2bl w:val="nil"/>
            </w:tcBorders>
            <w:vAlign w:val="center"/>
          </w:tcPr>
          <w:p w14:paraId="48D4534F">
            <w:pPr>
              <w:jc w:val="center"/>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4.3</w:t>
            </w:r>
          </w:p>
        </w:tc>
        <w:tc>
          <w:tcPr>
            <w:tcW w:w="2835" w:type="dxa"/>
            <w:tcBorders>
              <w:top w:val="single" w:color="auto" w:sz="4" w:space="0"/>
              <w:left w:val="single" w:color="auto" w:sz="4" w:space="0"/>
              <w:bottom w:val="single" w:color="auto" w:sz="4" w:space="0"/>
              <w:right w:val="single" w:color="auto" w:sz="4" w:space="0"/>
              <w:tl2br w:val="nil"/>
              <w:tr2bl w:val="nil"/>
            </w:tcBorders>
            <w:vAlign w:val="center"/>
          </w:tcPr>
          <w:p w14:paraId="148CEB19">
            <w:pPr>
              <w:jc w:val="cente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投标文件的修改与撤回</w:t>
            </w:r>
          </w:p>
        </w:tc>
        <w:tc>
          <w:tcPr>
            <w:tcW w:w="5355" w:type="dxa"/>
            <w:tcBorders>
              <w:top w:val="single" w:color="auto" w:sz="4" w:space="0"/>
              <w:left w:val="single" w:color="auto" w:sz="4" w:space="0"/>
              <w:bottom w:val="single" w:color="auto" w:sz="4" w:space="0"/>
              <w:right w:val="single" w:color="auto" w:sz="4" w:space="0"/>
              <w:tl2br w:val="nil"/>
              <w:tr2bl w:val="nil"/>
            </w:tcBorders>
            <w:vAlign w:val="center"/>
          </w:tcPr>
          <w:p w14:paraId="7D23E483">
            <w:pPr>
              <w:spacing w:line="360" w:lineRule="auto"/>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 xml:space="preserve">4.3.1 </w:t>
            </w:r>
            <w:r>
              <w:rPr>
                <w:rFonts w:hint="eastAsia" w:ascii="宋体" w:hAnsi="宋体" w:eastAsia="宋体"/>
                <w:color w:val="auto"/>
                <w:sz w:val="21"/>
                <w:szCs w:val="21"/>
                <w:lang w:eastAsia="zh-CN" w:bidi="ar-SA"/>
              </w:rPr>
              <w:t>在第一章“招标公告”规定的投标截止时间前，投标人可以在交易系统中撤回已递交的投标文件。投标人撤回投标文件进行修改的，应按照本章第</w:t>
            </w:r>
            <w:r>
              <w:rPr>
                <w:rFonts w:ascii="宋体" w:hAnsi="宋体" w:eastAsia="宋体"/>
                <w:color w:val="auto"/>
                <w:sz w:val="21"/>
                <w:szCs w:val="21"/>
                <w:lang w:eastAsia="zh-CN" w:bidi="ar-SA"/>
              </w:rPr>
              <w:t>3</w:t>
            </w:r>
            <w:r>
              <w:rPr>
                <w:rFonts w:hint="eastAsia" w:ascii="宋体" w:hAnsi="宋体" w:eastAsia="宋体"/>
                <w:color w:val="auto"/>
                <w:sz w:val="21"/>
                <w:szCs w:val="21"/>
                <w:lang w:eastAsia="zh-CN" w:bidi="ar-SA"/>
              </w:rPr>
              <w:t>条、第</w:t>
            </w:r>
            <w:r>
              <w:rPr>
                <w:rFonts w:ascii="宋体" w:hAnsi="宋体" w:eastAsia="宋体"/>
                <w:color w:val="auto"/>
                <w:sz w:val="21"/>
                <w:szCs w:val="21"/>
                <w:lang w:eastAsia="zh-CN" w:bidi="ar-SA"/>
              </w:rPr>
              <w:t>4</w:t>
            </w:r>
            <w:r>
              <w:rPr>
                <w:rFonts w:hint="eastAsia" w:ascii="宋体" w:hAnsi="宋体" w:eastAsia="宋体"/>
                <w:color w:val="auto"/>
                <w:sz w:val="21"/>
                <w:szCs w:val="21"/>
                <w:lang w:eastAsia="zh-CN" w:bidi="ar-SA"/>
              </w:rPr>
              <w:t>条的规定重新编制和递交。</w:t>
            </w:r>
          </w:p>
          <w:p w14:paraId="65026BE6">
            <w:pPr>
              <w:spacing w:line="360" w:lineRule="auto"/>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4.3.2</w:t>
            </w:r>
            <w:r>
              <w:rPr>
                <w:rFonts w:hint="eastAsia" w:ascii="宋体" w:hAnsi="宋体" w:eastAsia="宋体"/>
                <w:color w:val="auto"/>
                <w:sz w:val="21"/>
                <w:szCs w:val="21"/>
                <w:lang w:eastAsia="zh-CN" w:bidi="ar-SA"/>
              </w:rPr>
              <w:t>交易系统将以投标截止时间前最后递交成功的投标文件为准。</w:t>
            </w:r>
          </w:p>
          <w:p w14:paraId="28F24F91">
            <w:pPr>
              <w:spacing w:line="360" w:lineRule="auto"/>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4.3.3</w:t>
            </w:r>
            <w:r>
              <w:rPr>
                <w:rFonts w:hint="eastAsia" w:ascii="宋体" w:hAnsi="宋体" w:eastAsia="宋体"/>
                <w:color w:val="auto"/>
                <w:sz w:val="21"/>
                <w:szCs w:val="21"/>
                <w:lang w:eastAsia="zh-CN" w:bidi="ar-SA"/>
              </w:rPr>
              <w:t>投标人撤回投标文件的，其递交的投标保证金将按本章第</w:t>
            </w:r>
            <w:r>
              <w:rPr>
                <w:rFonts w:ascii="宋体" w:hAnsi="宋体" w:eastAsia="宋体"/>
                <w:color w:val="auto"/>
                <w:sz w:val="21"/>
                <w:szCs w:val="21"/>
                <w:lang w:eastAsia="zh-CN" w:bidi="ar-SA"/>
              </w:rPr>
              <w:t>3.4.3</w:t>
            </w:r>
            <w:r>
              <w:rPr>
                <w:rFonts w:hint="eastAsia" w:ascii="宋体" w:hAnsi="宋体" w:eastAsia="宋体"/>
                <w:color w:val="auto"/>
                <w:sz w:val="21"/>
                <w:szCs w:val="21"/>
                <w:lang w:eastAsia="zh-CN" w:bidi="ar-SA"/>
              </w:rPr>
              <w:t>项的规定退回。</w:t>
            </w:r>
          </w:p>
        </w:tc>
      </w:tr>
      <w:tr w14:paraId="6E164DA2">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jc w:val="center"/>
        </w:trPr>
        <w:tc>
          <w:tcPr>
            <w:tcW w:w="1048" w:type="dxa"/>
            <w:tcBorders>
              <w:top w:val="single" w:color="auto" w:sz="4" w:space="0"/>
              <w:left w:val="single" w:color="auto" w:sz="4" w:space="0"/>
              <w:bottom w:val="single" w:color="auto" w:sz="4" w:space="0"/>
              <w:right w:val="single" w:color="auto" w:sz="4" w:space="0"/>
              <w:tl2br w:val="nil"/>
              <w:tr2bl w:val="nil"/>
            </w:tcBorders>
            <w:vAlign w:val="center"/>
          </w:tcPr>
          <w:p w14:paraId="107E2FB2">
            <w:pPr>
              <w:jc w:val="center"/>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5.1</w:t>
            </w:r>
          </w:p>
        </w:tc>
        <w:tc>
          <w:tcPr>
            <w:tcW w:w="2835" w:type="dxa"/>
            <w:tcBorders>
              <w:top w:val="single" w:color="auto" w:sz="4" w:space="0"/>
              <w:left w:val="single" w:color="auto" w:sz="4" w:space="0"/>
              <w:bottom w:val="single" w:color="auto" w:sz="4" w:space="0"/>
              <w:right w:val="single" w:color="auto" w:sz="4" w:space="0"/>
              <w:tl2br w:val="nil"/>
              <w:tr2bl w:val="nil"/>
            </w:tcBorders>
            <w:vAlign w:val="center"/>
          </w:tcPr>
          <w:p w14:paraId="53F869FF">
            <w:pPr>
              <w:jc w:val="center"/>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开标时间和地点</w:t>
            </w:r>
          </w:p>
        </w:tc>
        <w:tc>
          <w:tcPr>
            <w:tcW w:w="5355" w:type="dxa"/>
            <w:tcBorders>
              <w:top w:val="single" w:color="auto" w:sz="4" w:space="0"/>
              <w:left w:val="single" w:color="auto" w:sz="4" w:space="0"/>
              <w:bottom w:val="single" w:color="auto" w:sz="4" w:space="0"/>
              <w:right w:val="single" w:color="auto" w:sz="4" w:space="0"/>
              <w:tl2br w:val="nil"/>
              <w:tr2bl w:val="nil"/>
            </w:tcBorders>
            <w:vAlign w:val="center"/>
          </w:tcPr>
          <w:p w14:paraId="7C074D86">
            <w:pPr>
              <w:spacing w:line="320" w:lineRule="exact"/>
              <w:ind w:firstLine="420" w:firstLineChars="200"/>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招标人在第一章“招标公告”规定的投标截止时间（开标时间）和本款规定的地点对收到的投标文件第一个信封（商务及技术文件）公开开标，所有投标人的投标人代表需准时于线上参加。</w:t>
            </w:r>
          </w:p>
          <w:p w14:paraId="3F36117B">
            <w:pPr>
              <w:spacing w:line="320" w:lineRule="exact"/>
              <w:ind w:firstLine="420" w:firstLineChars="200"/>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招标人在本款规定的时间和地点对投标文件第二个信封（报价文件）进行开标，所有投标人的投标人代表需准时于线上参加。</w:t>
            </w:r>
          </w:p>
          <w:p w14:paraId="184962A5">
            <w:pPr>
              <w:spacing w:line="320" w:lineRule="exact"/>
              <w:ind w:firstLine="420" w:firstLineChars="200"/>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第一次开标时，所有投标人通过不见面开标系统进行投标文件开标及解密，无需到达开标现场。</w:t>
            </w:r>
          </w:p>
          <w:p w14:paraId="525A07F1">
            <w:pPr>
              <w:spacing w:line="320" w:lineRule="exact"/>
              <w:ind w:firstLine="420" w:firstLineChars="200"/>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第二次开标时，所有投标人应由投标人代表持</w:t>
            </w:r>
            <w:r>
              <w:rPr>
                <w:rFonts w:ascii="宋体" w:hAnsi="宋体" w:eastAsia="宋体"/>
                <w:color w:val="auto"/>
                <w:sz w:val="21"/>
                <w:szCs w:val="21"/>
                <w:lang w:eastAsia="zh-CN" w:bidi="ar-SA"/>
              </w:rPr>
              <w:t>CA</w:t>
            </w:r>
            <w:r>
              <w:rPr>
                <w:rFonts w:hint="eastAsia" w:ascii="宋体" w:hAnsi="宋体" w:eastAsia="宋体"/>
                <w:color w:val="auto"/>
                <w:sz w:val="21"/>
                <w:szCs w:val="21"/>
                <w:lang w:eastAsia="zh-CN" w:bidi="ar-SA"/>
              </w:rPr>
              <w:t>数字证书通过不见面开标系统进行投标文件开标及解密，无需到达开标现场。</w:t>
            </w:r>
          </w:p>
          <w:p w14:paraId="62EF84A3">
            <w:pPr>
              <w:spacing w:line="360" w:lineRule="auto"/>
              <w:rPr>
                <w:rFonts w:hint="eastAsia" w:ascii="宋体" w:hAnsi="宋体" w:eastAsia="宋体"/>
                <w:color w:val="auto"/>
                <w:sz w:val="21"/>
                <w:szCs w:val="21"/>
                <w:u w:val="single"/>
                <w:lang w:eastAsia="zh-CN" w:bidi="ar-SA"/>
              </w:rPr>
            </w:pPr>
            <w:r>
              <w:rPr>
                <w:rFonts w:hint="eastAsia" w:ascii="宋体" w:hAnsi="宋体" w:eastAsia="宋体"/>
                <w:color w:val="auto"/>
                <w:sz w:val="21"/>
                <w:szCs w:val="21"/>
                <w:lang w:eastAsia="zh-CN" w:bidi="ar-SA"/>
              </w:rPr>
              <w:t>投标文件第一个信封（商务及技术文件）开标地点：</w:t>
            </w:r>
            <w:r>
              <w:rPr>
                <w:rFonts w:hint="eastAsia" w:ascii="宋体" w:hAnsi="宋体" w:eastAsia="宋体"/>
                <w:b/>
                <w:bCs/>
                <w:color w:val="auto"/>
                <w:sz w:val="21"/>
                <w:szCs w:val="21"/>
                <w:u w:val="single"/>
                <w:lang w:eastAsia="zh-CN" w:bidi="ar-SA"/>
              </w:rPr>
              <w:t>新余市公共资源交易中心</w:t>
            </w:r>
          </w:p>
          <w:p w14:paraId="19C0441F">
            <w:pPr>
              <w:spacing w:line="360" w:lineRule="auto"/>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投标文件第二个信封（报价文件）开标时间：</w:t>
            </w:r>
            <w:r>
              <w:rPr>
                <w:rFonts w:hint="eastAsia" w:ascii="宋体" w:hAnsi="宋体" w:eastAsia="宋体"/>
                <w:b/>
                <w:bCs/>
                <w:color w:val="auto"/>
                <w:sz w:val="21"/>
                <w:szCs w:val="21"/>
                <w:u w:val="single"/>
                <w:lang w:eastAsia="zh-CN" w:bidi="ar-SA"/>
              </w:rPr>
              <w:t>第一个信封（商务及技术文件）不见面开标系统交流窗口通知</w:t>
            </w:r>
          </w:p>
          <w:p w14:paraId="00022A1D">
            <w:pPr>
              <w:spacing w:line="360" w:lineRule="auto"/>
              <w:rPr>
                <w:rFonts w:hint="eastAsia" w:ascii="MS Gothic" w:hAnsi="MS Gothic" w:eastAsia="MS Gothic" w:cs="MS Gothic"/>
                <w:color w:val="auto"/>
                <w:lang w:eastAsia="zh-CN" w:bidi="ar-SA"/>
              </w:rPr>
            </w:pPr>
            <w:r>
              <w:rPr>
                <w:rFonts w:hint="eastAsia" w:ascii="宋体" w:hAnsi="宋体" w:eastAsia="宋体"/>
                <w:color w:val="auto"/>
                <w:sz w:val="21"/>
                <w:szCs w:val="21"/>
                <w:lang w:eastAsia="zh-CN" w:bidi="ar-SA"/>
              </w:rPr>
              <w:t>投标文件第二个信封（报价文件）开标地点：</w:t>
            </w:r>
            <w:r>
              <w:rPr>
                <w:rFonts w:hint="eastAsia" w:ascii="宋体" w:hAnsi="宋体" w:eastAsia="宋体"/>
                <w:b/>
                <w:bCs/>
                <w:color w:val="auto"/>
                <w:sz w:val="21"/>
                <w:szCs w:val="21"/>
                <w:u w:val="single"/>
                <w:lang w:eastAsia="zh-CN" w:bidi="ar-SA"/>
              </w:rPr>
              <w:t>新余市公共资源交易中心</w:t>
            </w:r>
          </w:p>
        </w:tc>
      </w:tr>
      <w:tr w14:paraId="3D30572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jc w:val="center"/>
        </w:trPr>
        <w:tc>
          <w:tcPr>
            <w:tcW w:w="1048" w:type="dxa"/>
            <w:tcBorders>
              <w:top w:val="single" w:color="auto" w:sz="4" w:space="0"/>
              <w:left w:val="single" w:color="auto" w:sz="4" w:space="0"/>
              <w:bottom w:val="single" w:color="auto" w:sz="4" w:space="0"/>
              <w:right w:val="single" w:color="auto" w:sz="4" w:space="0"/>
              <w:tl2br w:val="nil"/>
              <w:tr2bl w:val="nil"/>
            </w:tcBorders>
            <w:vAlign w:val="center"/>
          </w:tcPr>
          <w:p w14:paraId="68AD3B68">
            <w:pPr>
              <w:jc w:val="cente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5.2</w:t>
            </w:r>
          </w:p>
        </w:tc>
        <w:tc>
          <w:tcPr>
            <w:tcW w:w="2835" w:type="dxa"/>
            <w:tcBorders>
              <w:top w:val="single" w:color="auto" w:sz="4" w:space="0"/>
              <w:left w:val="single" w:color="auto" w:sz="4" w:space="0"/>
              <w:bottom w:val="single" w:color="auto" w:sz="4" w:space="0"/>
              <w:right w:val="single" w:color="auto" w:sz="4" w:space="0"/>
              <w:tl2br w:val="nil"/>
              <w:tr2bl w:val="nil"/>
            </w:tcBorders>
            <w:vAlign w:val="center"/>
          </w:tcPr>
          <w:p w14:paraId="58CD00A3">
            <w:pPr>
              <w:jc w:val="cente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开标程序</w:t>
            </w:r>
          </w:p>
        </w:tc>
        <w:tc>
          <w:tcPr>
            <w:tcW w:w="5355" w:type="dxa"/>
            <w:tcBorders>
              <w:top w:val="single" w:color="auto" w:sz="4" w:space="0"/>
              <w:left w:val="single" w:color="auto" w:sz="4" w:space="0"/>
              <w:bottom w:val="single" w:color="auto" w:sz="4" w:space="0"/>
              <w:right w:val="single" w:color="auto" w:sz="4" w:space="0"/>
              <w:tl2br w:val="nil"/>
              <w:tr2bl w:val="nil"/>
            </w:tcBorders>
            <w:vAlign w:val="center"/>
          </w:tcPr>
          <w:p w14:paraId="4B9E50B8">
            <w:pPr>
              <w:spacing w:line="360" w:lineRule="auto"/>
              <w:ind w:firstLine="420" w:firstLineChars="200"/>
              <w:jc w:val="both"/>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 xml:space="preserve">5.2.1 </w:t>
            </w:r>
            <w:r>
              <w:rPr>
                <w:rFonts w:hint="eastAsia" w:ascii="宋体" w:hAnsi="宋体" w:eastAsia="宋体"/>
                <w:color w:val="auto"/>
                <w:sz w:val="21"/>
                <w:szCs w:val="21"/>
                <w:lang w:eastAsia="zh-CN" w:bidi="ar-SA"/>
              </w:rPr>
              <w:t>招标人将按照本章第</w:t>
            </w:r>
            <w:r>
              <w:rPr>
                <w:rFonts w:ascii="宋体" w:hAnsi="宋体" w:eastAsia="宋体"/>
                <w:color w:val="auto"/>
                <w:sz w:val="21"/>
                <w:szCs w:val="21"/>
                <w:lang w:eastAsia="zh-CN" w:bidi="ar-SA"/>
              </w:rPr>
              <w:t>5.1</w:t>
            </w:r>
            <w:r>
              <w:rPr>
                <w:rFonts w:hint="eastAsia" w:ascii="宋体" w:hAnsi="宋体" w:eastAsia="宋体"/>
                <w:color w:val="auto"/>
                <w:sz w:val="21"/>
                <w:szCs w:val="21"/>
                <w:lang w:eastAsia="zh-CN" w:bidi="ar-SA"/>
              </w:rPr>
              <w:t>款规定的时间和地点对投标文件第一个信封（商务及技术文件）按下列程序进行开标。</w:t>
            </w:r>
          </w:p>
          <w:p w14:paraId="138B8514">
            <w:pPr>
              <w:spacing w:line="360" w:lineRule="auto"/>
              <w:jc w:val="both"/>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w:t>
            </w:r>
            <w:r>
              <w:rPr>
                <w:rFonts w:ascii="宋体" w:hAnsi="宋体" w:eastAsia="宋体"/>
                <w:color w:val="auto"/>
                <w:sz w:val="21"/>
                <w:szCs w:val="21"/>
                <w:lang w:eastAsia="zh-CN" w:bidi="ar-SA"/>
              </w:rPr>
              <w:t>1</w:t>
            </w:r>
            <w:r>
              <w:rPr>
                <w:rFonts w:hint="eastAsia" w:ascii="宋体" w:hAnsi="宋体" w:eastAsia="宋体"/>
                <w:color w:val="auto"/>
                <w:sz w:val="21"/>
                <w:szCs w:val="21"/>
                <w:lang w:eastAsia="zh-CN" w:bidi="ar-SA"/>
              </w:rPr>
              <w:t>）招标人、招标代理、监督部门进入开标现场；</w:t>
            </w:r>
          </w:p>
          <w:p w14:paraId="6A7D08C2">
            <w:pPr>
              <w:spacing w:line="360" w:lineRule="auto"/>
              <w:jc w:val="both"/>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w:t>
            </w:r>
            <w:r>
              <w:rPr>
                <w:rFonts w:ascii="宋体" w:hAnsi="宋体" w:eastAsia="宋体"/>
                <w:color w:val="auto"/>
                <w:sz w:val="21"/>
                <w:szCs w:val="21"/>
                <w:lang w:eastAsia="zh-CN" w:bidi="ar-SA"/>
              </w:rPr>
              <w:t>2</w:t>
            </w:r>
            <w:r>
              <w:rPr>
                <w:rFonts w:hint="eastAsia" w:ascii="宋体" w:hAnsi="宋体" w:eastAsia="宋体"/>
                <w:color w:val="auto"/>
                <w:sz w:val="21"/>
                <w:szCs w:val="21"/>
                <w:lang w:eastAsia="zh-CN" w:bidi="ar-SA"/>
              </w:rPr>
              <w:t>）宣布开标纪律；</w:t>
            </w:r>
          </w:p>
          <w:p w14:paraId="59C5F907">
            <w:pPr>
              <w:spacing w:line="360" w:lineRule="auto"/>
              <w:jc w:val="both"/>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w:t>
            </w:r>
            <w:r>
              <w:rPr>
                <w:rFonts w:ascii="宋体" w:hAnsi="宋体" w:eastAsia="宋体"/>
                <w:color w:val="auto"/>
                <w:sz w:val="21"/>
                <w:szCs w:val="21"/>
                <w:lang w:eastAsia="zh-CN" w:bidi="ar-SA"/>
              </w:rPr>
              <w:t>3</w:t>
            </w:r>
            <w:r>
              <w:rPr>
                <w:rFonts w:hint="eastAsia" w:ascii="宋体" w:hAnsi="宋体" w:eastAsia="宋体"/>
                <w:color w:val="auto"/>
                <w:sz w:val="21"/>
                <w:szCs w:val="21"/>
                <w:lang w:eastAsia="zh-CN" w:bidi="ar-SA"/>
              </w:rPr>
              <w:t>）宣布招标人代表、监督人、公证人（如有）等有关工作人员姓名；</w:t>
            </w:r>
          </w:p>
          <w:p w14:paraId="1AEF79BB">
            <w:pPr>
              <w:spacing w:line="360" w:lineRule="auto"/>
              <w:jc w:val="both"/>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w:t>
            </w:r>
            <w:r>
              <w:rPr>
                <w:rFonts w:ascii="宋体" w:hAnsi="宋体" w:eastAsia="宋体"/>
                <w:color w:val="auto"/>
                <w:sz w:val="21"/>
                <w:szCs w:val="21"/>
                <w:lang w:eastAsia="zh-CN" w:bidi="ar-SA"/>
              </w:rPr>
              <w:t>4</w:t>
            </w:r>
            <w:r>
              <w:rPr>
                <w:rFonts w:hint="eastAsia" w:ascii="宋体" w:hAnsi="宋体" w:eastAsia="宋体"/>
                <w:color w:val="auto"/>
                <w:sz w:val="21"/>
                <w:szCs w:val="21"/>
                <w:lang w:eastAsia="zh-CN" w:bidi="ar-SA"/>
              </w:rPr>
              <w:t>）宣布开标顺序；</w:t>
            </w:r>
          </w:p>
          <w:p w14:paraId="701DBBE5">
            <w:pPr>
              <w:spacing w:line="360" w:lineRule="auto"/>
              <w:jc w:val="both"/>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w:t>
            </w:r>
            <w:r>
              <w:rPr>
                <w:rFonts w:ascii="宋体" w:hAnsi="宋体" w:eastAsia="宋体"/>
                <w:color w:val="auto"/>
                <w:sz w:val="21"/>
                <w:szCs w:val="21"/>
                <w:lang w:eastAsia="zh-CN" w:bidi="ar-SA"/>
              </w:rPr>
              <w:t>5</w:t>
            </w:r>
            <w:r>
              <w:rPr>
                <w:rFonts w:hint="eastAsia" w:ascii="宋体" w:hAnsi="宋体" w:eastAsia="宋体"/>
                <w:color w:val="auto"/>
                <w:sz w:val="21"/>
                <w:szCs w:val="21"/>
                <w:lang w:eastAsia="zh-CN" w:bidi="ar-SA"/>
              </w:rPr>
              <w:t>）检查投标文件递交到达情况。若某标段投标文件到达总份数不能满足投标人至少三个的规定，则该标段不予开标；</w:t>
            </w:r>
          </w:p>
          <w:p w14:paraId="3FBE2C8A">
            <w:pPr>
              <w:spacing w:line="360" w:lineRule="auto"/>
              <w:jc w:val="both"/>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w:t>
            </w:r>
            <w:r>
              <w:rPr>
                <w:rFonts w:ascii="宋体" w:hAnsi="宋体" w:eastAsia="宋体"/>
                <w:color w:val="auto"/>
                <w:sz w:val="21"/>
                <w:szCs w:val="21"/>
                <w:lang w:eastAsia="zh-CN" w:bidi="ar-SA"/>
              </w:rPr>
              <w:t>6</w:t>
            </w:r>
            <w:r>
              <w:rPr>
                <w:rFonts w:hint="eastAsia" w:ascii="宋体" w:hAnsi="宋体" w:eastAsia="宋体"/>
                <w:color w:val="auto"/>
                <w:sz w:val="21"/>
                <w:szCs w:val="21"/>
                <w:lang w:eastAsia="zh-CN" w:bidi="ar-SA"/>
              </w:rPr>
              <w:t>）按网上开标系统进行开标；</w:t>
            </w:r>
          </w:p>
          <w:p w14:paraId="7DBF76C8">
            <w:pPr>
              <w:spacing w:line="360" w:lineRule="auto"/>
              <w:jc w:val="both"/>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7）投标人解密。招标人应在第一个信封（商务及技术文件）开标现场宣布解密的开始时间，投标人应在开标现场宣布的解密时长内对所递交的第一个信封（商务及技术文件）进行解密，未在规定的时间内进行解密的视为无效投标（因交易中心网络或解密机故障除外）；</w:t>
            </w:r>
          </w:p>
          <w:p w14:paraId="353CCFE4">
            <w:pPr>
              <w:spacing w:line="360" w:lineRule="auto"/>
              <w:jc w:val="both"/>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（8）招标人解密。招标人按标段顺序对第一个信封（商务及技术文件）解密；</w:t>
            </w:r>
          </w:p>
          <w:p w14:paraId="790033C5">
            <w:pPr>
              <w:spacing w:line="360" w:lineRule="auto"/>
              <w:jc w:val="both"/>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 xml:space="preserve">（9）公布投标人名称、投标保证金递交情况、解密情况及其他内容，并记录在案； </w:t>
            </w:r>
          </w:p>
          <w:p w14:paraId="17CEF385">
            <w:pPr>
              <w:spacing w:line="360" w:lineRule="auto"/>
              <w:jc w:val="both"/>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（10）投标人代表、招标人、监督人、公证人（如有）等有关人员在开标记录上签字确认，投标人代表未签字确认的视为默认开标结果；</w:t>
            </w:r>
          </w:p>
          <w:p w14:paraId="7960FEF8">
            <w:pPr>
              <w:spacing w:line="360" w:lineRule="auto"/>
              <w:jc w:val="both"/>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（11）开标结束。</w:t>
            </w:r>
          </w:p>
          <w:p w14:paraId="19225F24">
            <w:pPr>
              <w:spacing w:line="360" w:lineRule="auto"/>
              <w:ind w:firstLine="420" w:firstLineChars="200"/>
              <w:jc w:val="both"/>
              <w:rPr>
                <w:rFonts w:hint="eastAsia" w:ascii="宋体" w:hAnsi="宋体" w:eastAsia="宋体"/>
                <w:color w:val="auto"/>
                <w:sz w:val="18"/>
                <w:szCs w:val="18"/>
                <w:lang w:eastAsia="zh-CN" w:bidi="ar-SA"/>
              </w:rPr>
            </w:pPr>
            <w:r>
              <w:rPr>
                <w:rFonts w:hint="eastAsia" w:ascii="宋体" w:hAnsi="宋体" w:eastAsia="宋体"/>
                <w:color w:val="auto"/>
                <w:sz w:val="21"/>
                <w:szCs w:val="21"/>
                <w:lang w:eastAsia="zh-CN" w:bidi="ar-SA"/>
              </w:rPr>
              <w:t>5.2.2 投标文件第二个信封（报价文件）在投标文件第一个信封（商务及技术文件）完成评审前，交易系统的开标评标系统将不进行读取。</w:t>
            </w:r>
          </w:p>
          <w:p w14:paraId="56A8A30C">
            <w:pPr>
              <w:spacing w:line="360" w:lineRule="auto"/>
              <w:ind w:firstLine="420" w:firstLineChars="200"/>
              <w:jc w:val="both"/>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5.2.3 招标人将按照本章第5.1款规定的时间和地点对投标文件第二个信封（报价文件）按下列程序进行开标。</w:t>
            </w:r>
          </w:p>
          <w:p w14:paraId="1E83DB54">
            <w:pPr>
              <w:spacing w:line="360" w:lineRule="auto"/>
              <w:jc w:val="both"/>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w:t>
            </w:r>
            <w:r>
              <w:rPr>
                <w:rFonts w:ascii="宋体" w:hAnsi="宋体" w:eastAsia="宋体"/>
                <w:color w:val="auto"/>
                <w:sz w:val="21"/>
                <w:szCs w:val="21"/>
                <w:lang w:eastAsia="zh-CN" w:bidi="ar-SA"/>
              </w:rPr>
              <w:t>1</w:t>
            </w:r>
            <w:r>
              <w:rPr>
                <w:rFonts w:hint="eastAsia" w:ascii="宋体" w:hAnsi="宋体" w:eastAsia="宋体"/>
                <w:color w:val="auto"/>
                <w:sz w:val="21"/>
                <w:szCs w:val="21"/>
                <w:lang w:eastAsia="zh-CN" w:bidi="ar-SA"/>
              </w:rPr>
              <w:t>）招标人、招标代理、监督部门进入开标现场；</w:t>
            </w:r>
          </w:p>
          <w:p w14:paraId="4381E26F">
            <w:pPr>
              <w:spacing w:line="360" w:lineRule="auto"/>
              <w:jc w:val="both"/>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w:t>
            </w:r>
            <w:r>
              <w:rPr>
                <w:rFonts w:ascii="宋体" w:hAnsi="宋体" w:eastAsia="宋体"/>
                <w:color w:val="auto"/>
                <w:sz w:val="21"/>
                <w:szCs w:val="21"/>
                <w:lang w:eastAsia="zh-CN" w:bidi="ar-SA"/>
              </w:rPr>
              <w:t>2</w:t>
            </w:r>
            <w:r>
              <w:rPr>
                <w:rFonts w:hint="eastAsia" w:ascii="宋体" w:hAnsi="宋体" w:eastAsia="宋体"/>
                <w:color w:val="auto"/>
                <w:sz w:val="21"/>
                <w:szCs w:val="21"/>
                <w:lang w:eastAsia="zh-CN" w:bidi="ar-SA"/>
              </w:rPr>
              <w:t>）宣布开标纪律；</w:t>
            </w:r>
          </w:p>
          <w:p w14:paraId="68D889A6">
            <w:pPr>
              <w:spacing w:line="360" w:lineRule="auto"/>
              <w:jc w:val="both"/>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w:t>
            </w:r>
            <w:r>
              <w:rPr>
                <w:rFonts w:ascii="宋体" w:hAnsi="宋体" w:eastAsia="宋体"/>
                <w:color w:val="auto"/>
                <w:sz w:val="21"/>
                <w:szCs w:val="21"/>
                <w:lang w:eastAsia="zh-CN" w:bidi="ar-SA"/>
              </w:rPr>
              <w:t>3</w:t>
            </w:r>
            <w:r>
              <w:rPr>
                <w:rFonts w:hint="eastAsia" w:ascii="宋体" w:hAnsi="宋体" w:eastAsia="宋体"/>
                <w:color w:val="auto"/>
                <w:sz w:val="21"/>
                <w:szCs w:val="21"/>
                <w:lang w:eastAsia="zh-CN" w:bidi="ar-SA"/>
              </w:rPr>
              <w:t>）招标人宣布第一个信封（商务及技术文件）评审结</w:t>
            </w:r>
          </w:p>
          <w:p w14:paraId="56259087">
            <w:pPr>
              <w:spacing w:line="360" w:lineRule="auto"/>
              <w:jc w:val="both"/>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果。投标人未通过第一个信封（商务及技术文件）评审的第二个信封（报价文件）不予开标；</w:t>
            </w:r>
          </w:p>
          <w:p w14:paraId="7A26621B">
            <w:pPr>
              <w:spacing w:line="360" w:lineRule="auto"/>
              <w:jc w:val="both"/>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w:t>
            </w:r>
            <w:r>
              <w:rPr>
                <w:rFonts w:ascii="宋体" w:hAnsi="宋体" w:eastAsia="宋体"/>
                <w:color w:val="auto"/>
                <w:sz w:val="21"/>
                <w:szCs w:val="21"/>
                <w:lang w:eastAsia="zh-CN" w:bidi="ar-SA"/>
              </w:rPr>
              <w:t>4</w:t>
            </w:r>
            <w:r>
              <w:rPr>
                <w:rFonts w:hint="eastAsia" w:ascii="宋体" w:hAnsi="宋体" w:eastAsia="宋体"/>
                <w:color w:val="auto"/>
                <w:sz w:val="21"/>
                <w:szCs w:val="21"/>
                <w:lang w:eastAsia="zh-CN" w:bidi="ar-SA"/>
              </w:rPr>
              <w:t>）宣布招标人代表、监督人、公证人（如有）等有关工作人员</w:t>
            </w:r>
          </w:p>
          <w:p w14:paraId="2D8EA88F">
            <w:pPr>
              <w:spacing w:line="360" w:lineRule="auto"/>
              <w:jc w:val="both"/>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姓名；</w:t>
            </w:r>
          </w:p>
          <w:p w14:paraId="54E54E70">
            <w:pPr>
              <w:spacing w:line="360" w:lineRule="auto"/>
              <w:jc w:val="both"/>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w:t>
            </w:r>
            <w:r>
              <w:rPr>
                <w:rFonts w:ascii="宋体" w:hAnsi="宋体" w:eastAsia="宋体"/>
                <w:color w:val="auto"/>
                <w:sz w:val="21"/>
                <w:szCs w:val="21"/>
                <w:lang w:eastAsia="zh-CN" w:bidi="ar-SA"/>
              </w:rPr>
              <w:t>5</w:t>
            </w:r>
            <w:r>
              <w:rPr>
                <w:rFonts w:hint="eastAsia" w:ascii="宋体" w:hAnsi="宋体" w:eastAsia="宋体"/>
                <w:color w:val="auto"/>
                <w:sz w:val="21"/>
                <w:szCs w:val="21"/>
                <w:lang w:eastAsia="zh-CN" w:bidi="ar-SA"/>
              </w:rPr>
              <w:t>）宣布开标顺序。</w:t>
            </w:r>
          </w:p>
          <w:p w14:paraId="7BFF0C61">
            <w:pPr>
              <w:spacing w:line="360" w:lineRule="auto"/>
              <w:jc w:val="both"/>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w:t>
            </w:r>
            <w:r>
              <w:rPr>
                <w:rFonts w:ascii="宋体" w:hAnsi="宋体" w:eastAsia="宋体"/>
                <w:color w:val="auto"/>
                <w:sz w:val="21"/>
                <w:szCs w:val="21"/>
                <w:lang w:eastAsia="zh-CN" w:bidi="ar-SA"/>
              </w:rPr>
              <w:t>6</w:t>
            </w:r>
            <w:r>
              <w:rPr>
                <w:rFonts w:hint="eastAsia" w:ascii="宋体" w:hAnsi="宋体" w:eastAsia="宋体"/>
                <w:color w:val="auto"/>
                <w:sz w:val="21"/>
                <w:szCs w:val="21"/>
                <w:lang w:eastAsia="zh-CN" w:bidi="ar-SA"/>
              </w:rPr>
              <w:t>）投标人解密。</w:t>
            </w:r>
          </w:p>
          <w:p w14:paraId="028AE273">
            <w:pPr>
              <w:spacing w:line="360" w:lineRule="auto"/>
              <w:ind w:firstLine="420" w:firstLineChars="200"/>
              <w:jc w:val="both"/>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招标人应在第二个信封（报价文件）不见面开标系统交流窗口宣布解密的开始时间，投标人应在开标现场宣布的解密时长内对其通过第一个信封（商务及技术文件）评审的所有标段的第二个信封（报价文件）进行解密，未在规定时间内进行解密的，视为投标人在投标有效期内撤销投标文件（因交易中心网络或解密机故障除外）；</w:t>
            </w:r>
          </w:p>
          <w:p w14:paraId="251DF6F9">
            <w:pPr>
              <w:spacing w:line="360" w:lineRule="auto"/>
              <w:jc w:val="both"/>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w:t>
            </w:r>
            <w:r>
              <w:rPr>
                <w:rFonts w:ascii="宋体" w:hAnsi="宋体" w:eastAsia="宋体"/>
                <w:color w:val="auto"/>
                <w:sz w:val="21"/>
                <w:szCs w:val="21"/>
                <w:lang w:eastAsia="zh-CN" w:bidi="ar-SA"/>
              </w:rPr>
              <w:t>7</w:t>
            </w:r>
            <w:r>
              <w:rPr>
                <w:rFonts w:hint="eastAsia" w:ascii="宋体" w:hAnsi="宋体" w:eastAsia="宋体"/>
                <w:color w:val="auto"/>
                <w:sz w:val="21"/>
                <w:szCs w:val="21"/>
                <w:lang w:eastAsia="zh-CN" w:bidi="ar-SA"/>
              </w:rPr>
              <w:t>）招标人解密。招标人按标段顺序当众解密第二个信封（报价文件），公布投标人名称、投标报价、是否超出最高投标限价、解密情况及其他内容，并记录在案；</w:t>
            </w:r>
          </w:p>
          <w:p w14:paraId="099873D9">
            <w:pPr>
              <w:spacing w:line="360" w:lineRule="auto"/>
              <w:jc w:val="both"/>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w:t>
            </w:r>
            <w:r>
              <w:rPr>
                <w:rFonts w:ascii="宋体" w:hAnsi="宋体" w:eastAsia="宋体"/>
                <w:color w:val="auto"/>
                <w:sz w:val="21"/>
                <w:szCs w:val="21"/>
                <w:lang w:eastAsia="zh-CN" w:bidi="ar-SA"/>
              </w:rPr>
              <w:t>8</w:t>
            </w:r>
            <w:r>
              <w:rPr>
                <w:rFonts w:hint="eastAsia" w:ascii="宋体" w:hAnsi="宋体" w:eastAsia="宋体"/>
                <w:color w:val="auto"/>
                <w:sz w:val="21"/>
                <w:szCs w:val="21"/>
                <w:lang w:eastAsia="zh-CN" w:bidi="ar-SA"/>
              </w:rPr>
              <w:t>）计算并宣布评标基准价；</w:t>
            </w:r>
          </w:p>
          <w:p w14:paraId="38A0F797">
            <w:pPr>
              <w:spacing w:line="360" w:lineRule="auto"/>
              <w:jc w:val="both"/>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w:t>
            </w:r>
            <w:r>
              <w:rPr>
                <w:rFonts w:ascii="宋体" w:hAnsi="宋体" w:eastAsia="宋体"/>
                <w:color w:val="auto"/>
                <w:sz w:val="21"/>
                <w:szCs w:val="21"/>
                <w:lang w:eastAsia="zh-CN" w:bidi="ar-SA"/>
              </w:rPr>
              <w:t>9</w:t>
            </w:r>
            <w:r>
              <w:rPr>
                <w:rFonts w:hint="eastAsia" w:ascii="宋体" w:hAnsi="宋体" w:eastAsia="宋体"/>
                <w:color w:val="auto"/>
                <w:sz w:val="21"/>
                <w:szCs w:val="21"/>
                <w:lang w:eastAsia="zh-CN" w:bidi="ar-SA"/>
              </w:rPr>
              <w:t>）投标人代表、招标人、监督人、公证人（如有）等有关人员在开标记录上签字确认，投标人代表未签字确认的视为默认开标结果；</w:t>
            </w:r>
          </w:p>
          <w:p w14:paraId="124738B2">
            <w:pPr>
              <w:spacing w:line="360" w:lineRule="auto"/>
              <w:jc w:val="both"/>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w:t>
            </w:r>
            <w:r>
              <w:rPr>
                <w:rFonts w:ascii="宋体" w:hAnsi="宋体" w:eastAsia="宋体"/>
                <w:color w:val="auto"/>
                <w:sz w:val="21"/>
                <w:szCs w:val="21"/>
                <w:lang w:eastAsia="zh-CN" w:bidi="ar-SA"/>
              </w:rPr>
              <w:t>10</w:t>
            </w:r>
            <w:r>
              <w:rPr>
                <w:rFonts w:hint="eastAsia" w:ascii="宋体" w:hAnsi="宋体" w:eastAsia="宋体"/>
                <w:color w:val="auto"/>
                <w:sz w:val="21"/>
                <w:szCs w:val="21"/>
                <w:lang w:eastAsia="zh-CN" w:bidi="ar-SA"/>
              </w:rPr>
              <w:t>）开标结束。</w:t>
            </w:r>
          </w:p>
          <w:p w14:paraId="5156BA2A">
            <w:pPr>
              <w:spacing w:line="360" w:lineRule="auto"/>
              <w:ind w:firstLine="420" w:firstLineChars="200"/>
              <w:jc w:val="both"/>
              <w:rPr>
                <w:rFonts w:hint="eastAsia" w:ascii="宋体" w:hAnsi="宋体" w:eastAsia="宋体"/>
                <w:color w:val="auto"/>
                <w:sz w:val="18"/>
                <w:szCs w:val="18"/>
                <w:lang w:eastAsia="zh-CN" w:bidi="ar-SA"/>
              </w:rPr>
            </w:pPr>
            <w:r>
              <w:rPr>
                <w:rFonts w:hint="eastAsia" w:ascii="宋体" w:hAnsi="宋体" w:eastAsia="宋体"/>
                <w:color w:val="auto"/>
                <w:sz w:val="21"/>
                <w:szCs w:val="21"/>
                <w:lang w:eastAsia="zh-CN" w:bidi="ar-SA"/>
              </w:rPr>
              <w:t>5.2.4在投标文件第二个信封（报价文件）开标现场，招标人将按第三章“评标办法”规定的原则计算并宣布评标基准价。若招标人发现投标文件出现以下任一情况，其投标报价将不再参加评标基准价的计算：</w:t>
            </w:r>
          </w:p>
          <w:p w14:paraId="0730AB43">
            <w:pPr>
              <w:spacing w:line="360" w:lineRule="auto"/>
              <w:ind w:firstLine="420" w:firstLineChars="200"/>
              <w:jc w:val="both"/>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（1）无投标函或未在投标函上填写投标总价；</w:t>
            </w:r>
          </w:p>
          <w:p w14:paraId="7126E02F">
            <w:pPr>
              <w:spacing w:line="360" w:lineRule="auto"/>
              <w:ind w:firstLine="420" w:firstLineChars="200"/>
              <w:jc w:val="both"/>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 xml:space="preserve">（2）投标报价超出招标人公布的最高投标限价（如有）。 </w:t>
            </w:r>
          </w:p>
          <w:p w14:paraId="7B7369C6">
            <w:pPr>
              <w:spacing w:line="360" w:lineRule="auto"/>
              <w:ind w:firstLine="420" w:firstLineChars="200"/>
              <w:jc w:val="both"/>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w:t>
            </w:r>
            <w:r>
              <w:rPr>
                <w:rFonts w:ascii="宋体" w:hAnsi="宋体" w:eastAsia="宋体"/>
                <w:color w:val="auto"/>
                <w:sz w:val="21"/>
                <w:szCs w:val="21"/>
                <w:lang w:eastAsia="zh-CN" w:bidi="ar-SA"/>
              </w:rPr>
              <w:t>3</w:t>
            </w:r>
            <w:r>
              <w:rPr>
                <w:rFonts w:hint="eastAsia" w:ascii="宋体" w:hAnsi="宋体" w:eastAsia="宋体"/>
                <w:color w:val="auto"/>
                <w:sz w:val="21"/>
                <w:szCs w:val="21"/>
                <w:lang w:eastAsia="zh-CN" w:bidi="ar-SA"/>
              </w:rPr>
              <w:t>）投标报价的大写金额无法确定具体数值；</w:t>
            </w:r>
          </w:p>
          <w:p w14:paraId="15ADD721">
            <w:pPr>
              <w:spacing w:line="360" w:lineRule="auto"/>
              <w:ind w:firstLine="420" w:firstLineChars="200"/>
              <w:jc w:val="both"/>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w:t>
            </w:r>
            <w:r>
              <w:rPr>
                <w:rFonts w:ascii="宋体" w:hAnsi="宋体" w:eastAsia="宋体"/>
                <w:color w:val="auto"/>
                <w:sz w:val="21"/>
                <w:szCs w:val="21"/>
                <w:lang w:eastAsia="zh-CN" w:bidi="ar-SA"/>
              </w:rPr>
              <w:t>4</w:t>
            </w:r>
            <w:r>
              <w:rPr>
                <w:rFonts w:hint="eastAsia" w:ascii="宋体" w:hAnsi="宋体" w:eastAsia="宋体"/>
                <w:color w:val="auto"/>
                <w:sz w:val="21"/>
                <w:szCs w:val="21"/>
                <w:lang w:eastAsia="zh-CN" w:bidi="ar-SA"/>
              </w:rPr>
              <w:t>）投标函上填写的标段号与投标文件标记的标段号不一致；</w:t>
            </w:r>
          </w:p>
          <w:p w14:paraId="4922CCC1">
            <w:pPr>
              <w:spacing w:line="360" w:lineRule="auto"/>
              <w:ind w:firstLine="420" w:firstLineChars="200"/>
              <w:jc w:val="both"/>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（5）未在开标一览表上填写投标总价。</w:t>
            </w:r>
          </w:p>
          <w:p w14:paraId="5715D1B1">
            <w:pPr>
              <w:spacing w:line="360" w:lineRule="auto"/>
              <w:ind w:firstLine="420" w:firstLineChars="200"/>
              <w:jc w:val="both"/>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如果投标人认为某一标段的评标基准价计算有误，有权在开标现场提出，经招标人当场核实确认之后 ，可重新宣布评标基准价。开标现场宣布的评标基准价除计算有误经评标委员会修正外，在整个评标期间保持不变，不随任何因素发生变化。</w:t>
            </w:r>
          </w:p>
          <w:p w14:paraId="7B1A5B5F">
            <w:pPr>
              <w:spacing w:line="360" w:lineRule="auto"/>
              <w:ind w:firstLine="420" w:firstLineChars="200"/>
              <w:jc w:val="both"/>
              <w:rPr>
                <w:rFonts w:hint="eastAsia" w:ascii="宋体" w:hAnsi="宋体" w:eastAsia="宋体"/>
                <w:color w:val="auto"/>
                <w:sz w:val="18"/>
                <w:szCs w:val="18"/>
                <w:lang w:eastAsia="zh-CN" w:bidi="ar-SA"/>
              </w:rPr>
            </w:pPr>
            <w:r>
              <w:rPr>
                <w:rFonts w:hint="eastAsia" w:ascii="宋体" w:hAnsi="宋体" w:eastAsia="宋体"/>
                <w:color w:val="auto"/>
                <w:sz w:val="21"/>
                <w:szCs w:val="21"/>
                <w:lang w:eastAsia="zh-CN" w:bidi="ar-SA"/>
              </w:rPr>
              <w:t>5.2.5在投标文件第一个信封（商务及技术文件）或第二个信封（报价文件）开标过程中，若投标人认为招标人宣读的内容与投标文件不符，投标人有权在开标现场提出疑问，经招标人当场核查确认之后，可重新宣读其投标文件。若投标人现场未提出疑问，则认为投标人已确认招标人宣读的内容。</w:t>
            </w:r>
          </w:p>
        </w:tc>
      </w:tr>
      <w:tr w14:paraId="309EACF0">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148" w:hRule="exact"/>
          <w:jc w:val="center"/>
        </w:trPr>
        <w:tc>
          <w:tcPr>
            <w:tcW w:w="1048" w:type="dxa"/>
            <w:tcBorders>
              <w:top w:val="single" w:color="auto" w:sz="4" w:space="0"/>
              <w:left w:val="single" w:color="auto" w:sz="4" w:space="0"/>
              <w:bottom w:val="single" w:color="auto" w:sz="4" w:space="0"/>
              <w:right w:val="single" w:color="auto" w:sz="4" w:space="0"/>
              <w:tl2br w:val="nil"/>
              <w:tr2bl w:val="nil"/>
            </w:tcBorders>
            <w:vAlign w:val="center"/>
          </w:tcPr>
          <w:p w14:paraId="028D495F">
            <w:pPr>
              <w:jc w:val="center"/>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6.1.1</w:t>
            </w:r>
          </w:p>
        </w:tc>
        <w:tc>
          <w:tcPr>
            <w:tcW w:w="2835" w:type="dxa"/>
            <w:tcBorders>
              <w:top w:val="single" w:color="auto" w:sz="4" w:space="0"/>
              <w:left w:val="single" w:color="auto" w:sz="4" w:space="0"/>
              <w:bottom w:val="single" w:color="auto" w:sz="4" w:space="0"/>
              <w:right w:val="single" w:color="auto" w:sz="4" w:space="0"/>
              <w:tl2br w:val="nil"/>
              <w:tr2bl w:val="nil"/>
            </w:tcBorders>
            <w:vAlign w:val="center"/>
          </w:tcPr>
          <w:p w14:paraId="014463D5">
            <w:pPr>
              <w:jc w:val="center"/>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评标委员会的组建</w:t>
            </w:r>
          </w:p>
        </w:tc>
        <w:tc>
          <w:tcPr>
            <w:tcW w:w="5355" w:type="dxa"/>
            <w:tcBorders>
              <w:top w:val="single" w:color="auto" w:sz="4" w:space="0"/>
              <w:left w:val="single" w:color="auto" w:sz="4" w:space="0"/>
              <w:bottom w:val="single" w:color="auto" w:sz="4" w:space="0"/>
              <w:right w:val="single" w:color="auto" w:sz="4" w:space="0"/>
              <w:tl2br w:val="nil"/>
              <w:tr2bl w:val="nil"/>
            </w:tcBorders>
            <w:vAlign w:val="center"/>
          </w:tcPr>
          <w:p w14:paraId="37B69D33">
            <w:pPr>
              <w:ind w:firstLine="420" w:firstLineChars="200"/>
              <w:jc w:val="both"/>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评标委员会构成：</w:t>
            </w:r>
            <w:r>
              <w:rPr>
                <w:rFonts w:hint="eastAsia" w:ascii="宋体" w:hAnsi="宋体" w:eastAsia="宋体"/>
                <w:color w:val="auto"/>
                <w:sz w:val="21"/>
                <w:szCs w:val="21"/>
                <w:u w:val="single"/>
                <w:lang w:eastAsia="zh-CN" w:bidi="ar-SA"/>
              </w:rPr>
              <w:t>5</w:t>
            </w:r>
            <w:r>
              <w:rPr>
                <w:rFonts w:hint="eastAsia" w:ascii="宋体" w:hAnsi="宋体" w:eastAsia="宋体"/>
                <w:color w:val="auto"/>
                <w:sz w:val="21"/>
                <w:szCs w:val="21"/>
                <w:lang w:eastAsia="zh-CN" w:bidi="ar-SA"/>
              </w:rPr>
              <w:t>人</w:t>
            </w:r>
            <w:r>
              <w:rPr>
                <w:rFonts w:ascii="宋体" w:hAnsi="宋体" w:eastAsia="宋体"/>
                <w:color w:val="auto"/>
                <w:sz w:val="21"/>
                <w:szCs w:val="21"/>
                <w:lang w:eastAsia="zh-CN" w:bidi="ar-SA"/>
              </w:rPr>
              <w:t>，其中招标人代表</w:t>
            </w:r>
            <w:r>
              <w:rPr>
                <w:rFonts w:hint="eastAsia" w:ascii="宋体" w:hAnsi="宋体" w:eastAsia="宋体"/>
                <w:color w:val="auto"/>
                <w:sz w:val="21"/>
                <w:szCs w:val="21"/>
                <w:u w:val="single"/>
                <w:lang w:eastAsia="zh-CN" w:bidi="ar-SA"/>
              </w:rPr>
              <w:t>0</w:t>
            </w:r>
            <w:r>
              <w:rPr>
                <w:rFonts w:ascii="宋体" w:hAnsi="宋体" w:eastAsia="宋体"/>
                <w:color w:val="auto"/>
                <w:sz w:val="21"/>
                <w:szCs w:val="21"/>
                <w:lang w:eastAsia="zh-CN" w:bidi="ar-SA"/>
              </w:rPr>
              <w:t>人</w:t>
            </w:r>
            <w:r>
              <w:rPr>
                <w:rFonts w:hint="eastAsia" w:ascii="宋体" w:hAnsi="宋体" w:eastAsia="宋体"/>
                <w:color w:val="auto"/>
                <w:sz w:val="21"/>
                <w:szCs w:val="21"/>
                <w:lang w:eastAsia="zh-CN" w:bidi="ar-SA"/>
              </w:rPr>
              <w:t>，</w:t>
            </w:r>
            <w:r>
              <w:rPr>
                <w:rFonts w:ascii="宋体" w:hAnsi="宋体" w:eastAsia="宋体"/>
                <w:color w:val="auto"/>
                <w:sz w:val="21"/>
                <w:szCs w:val="21"/>
                <w:lang w:eastAsia="zh-CN" w:bidi="ar-SA"/>
              </w:rPr>
              <w:t>专家</w:t>
            </w:r>
            <w:r>
              <w:rPr>
                <w:rFonts w:hint="eastAsia" w:ascii="宋体" w:hAnsi="宋体" w:eastAsia="宋体"/>
                <w:color w:val="auto"/>
                <w:sz w:val="21"/>
                <w:szCs w:val="21"/>
                <w:u w:val="single"/>
                <w:lang w:eastAsia="zh-CN" w:bidi="ar-SA"/>
              </w:rPr>
              <w:t>5</w:t>
            </w:r>
            <w:r>
              <w:rPr>
                <w:rFonts w:ascii="宋体" w:hAnsi="宋体" w:eastAsia="宋体"/>
                <w:color w:val="auto"/>
                <w:sz w:val="21"/>
                <w:szCs w:val="21"/>
                <w:lang w:eastAsia="zh-CN" w:bidi="ar-SA"/>
              </w:rPr>
              <w:t>人；</w:t>
            </w:r>
          </w:p>
          <w:p w14:paraId="73B98E8D">
            <w:pPr>
              <w:ind w:firstLine="420" w:firstLineChars="200"/>
              <w:jc w:val="both"/>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评标专家确定方式</w:t>
            </w:r>
            <w:r>
              <w:rPr>
                <w:rFonts w:hint="eastAsia" w:ascii="宋体" w:hAnsi="宋体" w:eastAsia="宋体"/>
                <w:color w:val="auto"/>
                <w:sz w:val="21"/>
                <w:szCs w:val="21"/>
                <w:lang w:eastAsia="zh-CN" w:bidi="ar-SA"/>
              </w:rPr>
              <w:t>：</w:t>
            </w:r>
            <w:r>
              <w:rPr>
                <w:rFonts w:ascii="宋体" w:hAnsi="宋体" w:eastAsia="宋体"/>
                <w:color w:val="auto"/>
                <w:sz w:val="21"/>
                <w:szCs w:val="21"/>
                <w:lang w:eastAsia="zh-CN" w:bidi="ar-SA"/>
              </w:rPr>
              <w:t>依法从江西省综合评标专家库中随机抽取</w:t>
            </w:r>
          </w:p>
        </w:tc>
      </w:tr>
      <w:tr w14:paraId="6D2B723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9" w:hRule="exact"/>
          <w:jc w:val="center"/>
        </w:trPr>
        <w:tc>
          <w:tcPr>
            <w:tcW w:w="1048" w:type="dxa"/>
            <w:tcBorders>
              <w:top w:val="single" w:color="auto" w:sz="4" w:space="0"/>
              <w:left w:val="single" w:color="auto" w:sz="4" w:space="0"/>
              <w:bottom w:val="single" w:color="auto" w:sz="4" w:space="0"/>
              <w:right w:val="single" w:color="auto" w:sz="4" w:space="0"/>
              <w:tl2br w:val="nil"/>
              <w:tr2bl w:val="nil"/>
            </w:tcBorders>
            <w:vAlign w:val="center"/>
          </w:tcPr>
          <w:p w14:paraId="525D3473">
            <w:pPr>
              <w:jc w:val="cente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6</w:t>
            </w:r>
            <w:r>
              <w:rPr>
                <w:rFonts w:ascii="宋体" w:hAnsi="宋体" w:eastAsia="宋体"/>
                <w:color w:val="auto"/>
                <w:sz w:val="21"/>
                <w:szCs w:val="21"/>
                <w:lang w:eastAsia="zh-CN" w:bidi="ar-SA"/>
              </w:rPr>
              <w:t>.3.2</w:t>
            </w:r>
          </w:p>
        </w:tc>
        <w:tc>
          <w:tcPr>
            <w:tcW w:w="2835" w:type="dxa"/>
            <w:tcBorders>
              <w:top w:val="single" w:color="auto" w:sz="4" w:space="0"/>
              <w:left w:val="single" w:color="auto" w:sz="4" w:space="0"/>
              <w:bottom w:val="single" w:color="auto" w:sz="4" w:space="0"/>
              <w:right w:val="single" w:color="auto" w:sz="4" w:space="0"/>
              <w:tl2br w:val="nil"/>
              <w:tr2bl w:val="nil"/>
            </w:tcBorders>
            <w:vAlign w:val="center"/>
          </w:tcPr>
          <w:p w14:paraId="5CB201A2">
            <w:pPr>
              <w:jc w:val="cente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评标委员会推荐中标候选人的人数</w:t>
            </w:r>
          </w:p>
        </w:tc>
        <w:tc>
          <w:tcPr>
            <w:tcW w:w="5355" w:type="dxa"/>
            <w:tcBorders>
              <w:top w:val="single" w:color="auto" w:sz="4" w:space="0"/>
              <w:left w:val="single" w:color="auto" w:sz="4" w:space="0"/>
              <w:bottom w:val="single" w:color="auto" w:sz="4" w:space="0"/>
              <w:right w:val="single" w:color="auto" w:sz="4" w:space="0"/>
              <w:tl2br w:val="nil"/>
              <w:tr2bl w:val="nil"/>
            </w:tcBorders>
            <w:vAlign w:val="center"/>
          </w:tcPr>
          <w:p w14:paraId="33F5863C">
            <w:pPr>
              <w:rPr>
                <w:rFonts w:hint="eastAsia" w:ascii="宋体" w:hAnsi="宋体" w:eastAsia="宋体"/>
                <w:color w:val="auto"/>
                <w:sz w:val="21"/>
                <w:szCs w:val="21"/>
                <w:lang w:eastAsia="zh-CN"/>
              </w:rPr>
            </w:pPr>
            <w:r>
              <w:rPr>
                <w:rFonts w:hint="eastAsia" w:ascii="宋体" w:hAnsi="宋体" w:eastAsia="宋体"/>
                <w:color w:val="auto"/>
                <w:sz w:val="21"/>
                <w:szCs w:val="21"/>
                <w:lang w:eastAsia="zh-CN"/>
              </w:rPr>
              <w:t>推荐的中标候选人的人数为前</w:t>
            </w:r>
            <w:r>
              <w:rPr>
                <w:rFonts w:hint="eastAsia" w:ascii="宋体" w:hAnsi="宋体" w:eastAsia="宋体"/>
                <w:color w:val="auto"/>
                <w:sz w:val="21"/>
                <w:szCs w:val="21"/>
                <w:u w:val="single"/>
                <w:lang w:eastAsia="zh-CN"/>
              </w:rPr>
              <w:t xml:space="preserve"> 3</w:t>
            </w:r>
            <w:r>
              <w:rPr>
                <w:rFonts w:ascii="宋体" w:hAnsi="宋体" w:eastAsia="宋体"/>
                <w:color w:val="auto"/>
                <w:sz w:val="21"/>
                <w:szCs w:val="21"/>
                <w:u w:val="single"/>
                <w:lang w:eastAsia="zh-CN"/>
              </w:rPr>
              <w:t xml:space="preserve"> </w:t>
            </w:r>
            <w:r>
              <w:rPr>
                <w:rFonts w:hint="eastAsia" w:ascii="宋体" w:hAnsi="宋体" w:eastAsia="宋体"/>
                <w:color w:val="auto"/>
                <w:sz w:val="21"/>
                <w:szCs w:val="21"/>
                <w:lang w:eastAsia="zh-CN"/>
              </w:rPr>
              <w:t>名</w:t>
            </w:r>
          </w:p>
        </w:tc>
      </w:tr>
      <w:tr w14:paraId="10C028E4">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93" w:hRule="atLeast"/>
          <w:jc w:val="center"/>
        </w:trPr>
        <w:tc>
          <w:tcPr>
            <w:tcW w:w="1048" w:type="dxa"/>
            <w:tcBorders>
              <w:top w:val="single" w:color="auto" w:sz="4" w:space="0"/>
              <w:left w:val="single" w:color="auto" w:sz="4" w:space="0"/>
              <w:bottom w:val="single" w:color="auto" w:sz="4" w:space="0"/>
              <w:right w:val="single" w:color="auto" w:sz="4" w:space="0"/>
              <w:tl2br w:val="nil"/>
              <w:tr2bl w:val="nil"/>
            </w:tcBorders>
            <w:vAlign w:val="center"/>
          </w:tcPr>
          <w:p w14:paraId="36CA1162">
            <w:pPr>
              <w:jc w:val="center"/>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7.1</w:t>
            </w:r>
          </w:p>
        </w:tc>
        <w:tc>
          <w:tcPr>
            <w:tcW w:w="2835" w:type="dxa"/>
            <w:tcBorders>
              <w:top w:val="single" w:color="auto" w:sz="4" w:space="0"/>
              <w:left w:val="single" w:color="auto" w:sz="4" w:space="0"/>
              <w:bottom w:val="single" w:color="auto" w:sz="4" w:space="0"/>
              <w:right w:val="single" w:color="auto" w:sz="4" w:space="0"/>
              <w:tl2br w:val="nil"/>
              <w:tr2bl w:val="nil"/>
            </w:tcBorders>
            <w:vAlign w:val="center"/>
          </w:tcPr>
          <w:p w14:paraId="0109AF40">
            <w:pPr>
              <w:jc w:val="center"/>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中标候选人公示媒介及期限</w:t>
            </w:r>
          </w:p>
        </w:tc>
        <w:tc>
          <w:tcPr>
            <w:tcW w:w="5355" w:type="dxa"/>
            <w:tcBorders>
              <w:top w:val="single" w:color="auto" w:sz="4" w:space="0"/>
              <w:left w:val="single" w:color="auto" w:sz="4" w:space="0"/>
              <w:bottom w:val="single" w:color="auto" w:sz="4" w:space="0"/>
              <w:right w:val="single" w:color="auto" w:sz="4" w:space="0"/>
              <w:tl2br w:val="nil"/>
              <w:tr2bl w:val="nil"/>
            </w:tcBorders>
            <w:vAlign w:val="center"/>
          </w:tcPr>
          <w:p w14:paraId="6B94EB23">
            <w:pPr>
              <w:spacing w:line="276" w:lineRule="auto"/>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公示媒介：江西省公共资源交易平台（http://www.jxsggzy.cn）</w:t>
            </w:r>
          </w:p>
          <w:p w14:paraId="4B0D8318">
            <w:pPr>
              <w:jc w:val="both"/>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公示期限：3日</w:t>
            </w:r>
          </w:p>
          <w:p w14:paraId="606B0BF4">
            <w:pPr>
              <w:pStyle w:val="2"/>
              <w:spacing w:line="276" w:lineRule="auto"/>
              <w:ind w:left="0" w:firstLine="0" w:firstLineChars="0"/>
              <w:rPr>
                <w:rFonts w:hint="eastAsia"/>
                <w:color w:val="auto"/>
                <w:sz w:val="21"/>
                <w:szCs w:val="21"/>
              </w:rPr>
            </w:pPr>
            <w:r>
              <w:rPr>
                <w:rFonts w:hint="eastAsia"/>
                <w:color w:val="auto"/>
                <w:sz w:val="21"/>
                <w:szCs w:val="21"/>
              </w:rPr>
              <w:t>公示内容：</w:t>
            </w:r>
          </w:p>
          <w:p w14:paraId="05B6807D">
            <w:pPr>
              <w:pStyle w:val="2"/>
              <w:spacing w:line="276" w:lineRule="auto"/>
              <w:ind w:left="0" w:firstLine="0" w:firstLineChars="0"/>
              <w:rPr>
                <w:rFonts w:hint="eastAsia" w:cs="Times New Roman"/>
                <w:color w:val="auto"/>
                <w:sz w:val="21"/>
                <w:szCs w:val="21"/>
              </w:rPr>
            </w:pPr>
            <w:r>
              <w:rPr>
                <w:rFonts w:hint="eastAsia" w:cs="Times New Roman"/>
                <w:color w:val="auto"/>
                <w:sz w:val="21"/>
                <w:szCs w:val="21"/>
              </w:rPr>
              <w:t>（1）</w:t>
            </w:r>
            <w:r>
              <w:rPr>
                <w:rFonts w:cs="Times New Roman"/>
                <w:color w:val="auto"/>
                <w:sz w:val="21"/>
                <w:szCs w:val="21"/>
              </w:rPr>
              <w:t>中标候选人排序、名称、投标报价；</w:t>
            </w:r>
          </w:p>
          <w:p w14:paraId="456BDDA7">
            <w:pPr>
              <w:pStyle w:val="2"/>
              <w:spacing w:line="276" w:lineRule="auto"/>
              <w:ind w:left="0" w:firstLine="0" w:firstLineChars="0"/>
              <w:rPr>
                <w:rFonts w:hint="eastAsia" w:cs="Times New Roman"/>
                <w:color w:val="auto"/>
                <w:sz w:val="21"/>
                <w:szCs w:val="21"/>
              </w:rPr>
            </w:pPr>
            <w:bookmarkStart w:id="48" w:name="bookmark415"/>
            <w:bookmarkEnd w:id="48"/>
            <w:r>
              <w:rPr>
                <w:rFonts w:hint="eastAsia" w:cs="Times New Roman"/>
                <w:color w:val="auto"/>
                <w:sz w:val="21"/>
                <w:szCs w:val="21"/>
              </w:rPr>
              <w:t>（2）</w:t>
            </w:r>
            <w:r>
              <w:rPr>
                <w:rFonts w:cs="Times New Roman"/>
                <w:color w:val="auto"/>
                <w:sz w:val="21"/>
                <w:szCs w:val="21"/>
              </w:rPr>
              <w:t>中标候选人在投标文件中承诺的项目负责人姓名、个人业绩、相关证书名称和编号；</w:t>
            </w:r>
          </w:p>
          <w:p w14:paraId="562329E1">
            <w:pPr>
              <w:pStyle w:val="2"/>
              <w:spacing w:line="276" w:lineRule="auto"/>
              <w:ind w:left="0" w:firstLine="0" w:firstLineChars="0"/>
              <w:rPr>
                <w:rFonts w:hint="eastAsia" w:cs="Times New Roman"/>
                <w:color w:val="auto"/>
                <w:sz w:val="21"/>
                <w:szCs w:val="21"/>
              </w:rPr>
            </w:pPr>
            <w:bookmarkStart w:id="49" w:name="bookmark416"/>
            <w:bookmarkEnd w:id="49"/>
            <w:r>
              <w:rPr>
                <w:rFonts w:hint="eastAsia" w:cs="Times New Roman"/>
                <w:color w:val="auto"/>
                <w:sz w:val="21"/>
                <w:szCs w:val="21"/>
              </w:rPr>
              <w:t>（3）</w:t>
            </w:r>
            <w:r>
              <w:rPr>
                <w:rFonts w:cs="Times New Roman"/>
                <w:color w:val="auto"/>
                <w:sz w:val="21"/>
                <w:szCs w:val="21"/>
              </w:rPr>
              <w:t>中标候选人在投标文件中填报的项目业绩；</w:t>
            </w:r>
          </w:p>
          <w:p w14:paraId="1E0A9141">
            <w:pPr>
              <w:pStyle w:val="2"/>
              <w:spacing w:line="276" w:lineRule="auto"/>
              <w:ind w:left="0" w:firstLine="0" w:firstLineChars="0"/>
              <w:rPr>
                <w:rFonts w:hint="eastAsia" w:cs="Times New Roman"/>
                <w:color w:val="auto"/>
                <w:sz w:val="21"/>
                <w:szCs w:val="21"/>
              </w:rPr>
            </w:pPr>
            <w:bookmarkStart w:id="50" w:name="bookmark417"/>
            <w:bookmarkEnd w:id="50"/>
            <w:r>
              <w:rPr>
                <w:rFonts w:hint="eastAsia" w:cs="Times New Roman"/>
                <w:color w:val="auto"/>
                <w:sz w:val="21"/>
                <w:szCs w:val="21"/>
              </w:rPr>
              <w:t>（4）</w:t>
            </w:r>
            <w:r>
              <w:rPr>
                <w:rFonts w:cs="Times New Roman"/>
                <w:color w:val="auto"/>
                <w:sz w:val="21"/>
                <w:szCs w:val="21"/>
              </w:rPr>
              <w:t>被否决投标的投标人名称、否决依据和原因；</w:t>
            </w:r>
          </w:p>
          <w:p w14:paraId="16732F66">
            <w:pPr>
              <w:pStyle w:val="2"/>
              <w:spacing w:line="276" w:lineRule="auto"/>
              <w:ind w:left="0" w:firstLine="0" w:firstLineChars="0"/>
              <w:rPr>
                <w:rFonts w:hint="eastAsia" w:cs="Times New Roman"/>
                <w:color w:val="auto"/>
                <w:sz w:val="21"/>
                <w:szCs w:val="21"/>
              </w:rPr>
            </w:pPr>
            <w:bookmarkStart w:id="51" w:name="bookmark418"/>
            <w:r>
              <w:rPr>
                <w:rFonts w:cs="Times New Roman"/>
                <w:color w:val="auto"/>
                <w:sz w:val="21"/>
                <w:szCs w:val="21"/>
              </w:rPr>
              <w:t>（</w:t>
            </w:r>
            <w:bookmarkEnd w:id="51"/>
            <w:r>
              <w:rPr>
                <w:rFonts w:cs="Times New Roman"/>
                <w:color w:val="auto"/>
                <w:sz w:val="21"/>
                <w:szCs w:val="21"/>
              </w:rPr>
              <w:t>5）提出异议的渠道和方式；</w:t>
            </w:r>
          </w:p>
          <w:p w14:paraId="5BEE2C27">
            <w:pPr>
              <w:pStyle w:val="2"/>
              <w:spacing w:line="276" w:lineRule="auto"/>
              <w:ind w:left="0" w:firstLine="0" w:firstLineChars="0"/>
              <w:rPr>
                <w:rFonts w:hint="eastAsia" w:cs="Times New Roman"/>
                <w:color w:val="auto"/>
                <w:sz w:val="21"/>
                <w:szCs w:val="21"/>
              </w:rPr>
            </w:pPr>
            <w:bookmarkStart w:id="52" w:name="bookmark419"/>
            <w:r>
              <w:rPr>
                <w:rFonts w:cs="Times New Roman"/>
                <w:color w:val="auto"/>
                <w:sz w:val="21"/>
                <w:szCs w:val="21"/>
              </w:rPr>
              <w:t>（</w:t>
            </w:r>
            <w:bookmarkEnd w:id="52"/>
            <w:r>
              <w:rPr>
                <w:rFonts w:cs="Times New Roman"/>
                <w:color w:val="auto"/>
                <w:sz w:val="21"/>
                <w:szCs w:val="21"/>
              </w:rPr>
              <w:t>6）投标人须知前附表规定公示的其他内容。</w:t>
            </w:r>
          </w:p>
          <w:p w14:paraId="5B20B4AD">
            <w:pPr>
              <w:jc w:val="both"/>
              <w:rPr>
                <w:rFonts w:hint="eastAsia" w:ascii="宋体" w:hAnsi="宋体" w:eastAsia="宋体"/>
                <w:color w:val="auto"/>
                <w:sz w:val="21"/>
                <w:szCs w:val="21"/>
                <w:lang w:eastAsia="zh-CN" w:bidi="ar-SA"/>
              </w:rPr>
            </w:pPr>
          </w:p>
        </w:tc>
      </w:tr>
      <w:tr w14:paraId="68A67443">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852" w:hRule="exact"/>
          <w:jc w:val="center"/>
        </w:trPr>
        <w:tc>
          <w:tcPr>
            <w:tcW w:w="1048" w:type="dxa"/>
            <w:tcBorders>
              <w:top w:val="single" w:color="auto" w:sz="4" w:space="0"/>
              <w:left w:val="single" w:color="auto" w:sz="4" w:space="0"/>
              <w:bottom w:val="single" w:color="auto" w:sz="4" w:space="0"/>
              <w:right w:val="single" w:color="auto" w:sz="4" w:space="0"/>
              <w:tl2br w:val="nil"/>
              <w:tr2bl w:val="nil"/>
            </w:tcBorders>
            <w:vAlign w:val="center"/>
          </w:tcPr>
          <w:p w14:paraId="36ED76B7">
            <w:pPr>
              <w:jc w:val="cente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7</w:t>
            </w:r>
            <w:r>
              <w:rPr>
                <w:rFonts w:ascii="宋体" w:hAnsi="宋体" w:eastAsia="宋体"/>
                <w:color w:val="auto"/>
                <w:sz w:val="21"/>
                <w:szCs w:val="21"/>
                <w:lang w:eastAsia="zh-CN" w:bidi="ar-SA"/>
              </w:rPr>
              <w:t>.4</w:t>
            </w:r>
          </w:p>
        </w:tc>
        <w:tc>
          <w:tcPr>
            <w:tcW w:w="2835" w:type="dxa"/>
            <w:tcBorders>
              <w:top w:val="single" w:color="auto" w:sz="4" w:space="0"/>
              <w:left w:val="single" w:color="auto" w:sz="4" w:space="0"/>
              <w:bottom w:val="single" w:color="auto" w:sz="4" w:space="0"/>
              <w:right w:val="single" w:color="auto" w:sz="4" w:space="0"/>
              <w:tl2br w:val="nil"/>
              <w:tr2bl w:val="nil"/>
            </w:tcBorders>
            <w:vAlign w:val="center"/>
          </w:tcPr>
          <w:p w14:paraId="4EF013AF">
            <w:pPr>
              <w:jc w:val="cente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是否授权评标委员会确定中标人</w:t>
            </w:r>
          </w:p>
        </w:tc>
        <w:tc>
          <w:tcPr>
            <w:tcW w:w="5355" w:type="dxa"/>
            <w:tcBorders>
              <w:top w:val="single" w:color="auto" w:sz="4" w:space="0"/>
              <w:left w:val="single" w:color="auto" w:sz="4" w:space="0"/>
              <w:bottom w:val="single" w:color="auto" w:sz="4" w:space="0"/>
              <w:right w:val="single" w:color="auto" w:sz="4" w:space="0"/>
              <w:tl2br w:val="nil"/>
              <w:tr2bl w:val="nil"/>
            </w:tcBorders>
            <w:vAlign w:val="center"/>
          </w:tcPr>
          <w:p w14:paraId="6B300C2B">
            <w:pPr>
              <w:jc w:val="both"/>
              <w:rPr>
                <w:rFonts w:hint="eastAsia" w:ascii="宋体" w:hAnsi="宋体" w:eastAsia="宋体" w:cs="宋体"/>
                <w:color w:val="auto"/>
                <w:sz w:val="21"/>
                <w:szCs w:val="21"/>
                <w:lang w:eastAsia="zh-CN" w:bidi="ar-SA"/>
              </w:rPr>
            </w:pPr>
            <w:r>
              <w:rPr>
                <w:rFonts w:hint="eastAsia" w:ascii="宋体" w:hAnsi="宋体" w:eastAsia="宋体" w:cs="宋体"/>
                <w:color w:val="auto"/>
                <w:sz w:val="21"/>
                <w:szCs w:val="21"/>
                <w:lang w:eastAsia="zh-CN" w:bidi="ar-SA"/>
              </w:rPr>
              <w:t>□是</w:t>
            </w:r>
          </w:p>
          <w:p w14:paraId="2D4FC788">
            <w:pPr>
              <w:jc w:val="both"/>
              <w:rPr>
                <w:rFonts w:hint="eastAsia" w:ascii="宋体" w:hAnsi="宋体" w:eastAsia="宋体" w:cs="宋体"/>
                <w:color w:val="auto"/>
                <w:sz w:val="21"/>
                <w:szCs w:val="21"/>
                <w:lang w:eastAsia="zh-CN" w:bidi="ar-SA"/>
              </w:rPr>
            </w:pPr>
            <w:r>
              <w:rPr>
                <w:rFonts w:hint="eastAsia" w:ascii="宋体" w:hAnsi="宋体" w:eastAsia="宋体" w:cs="宋体"/>
                <w:color w:val="auto"/>
                <w:sz w:val="21"/>
                <w:szCs w:val="21"/>
                <w:lang w:eastAsia="zh-CN" w:bidi="ar-SA"/>
              </w:rPr>
              <w:sym w:font="Wingdings 2" w:char="F052"/>
            </w:r>
            <w:r>
              <w:rPr>
                <w:rFonts w:hint="eastAsia" w:ascii="宋体" w:hAnsi="宋体" w:eastAsia="宋体" w:cs="宋体"/>
                <w:color w:val="auto"/>
                <w:sz w:val="21"/>
                <w:szCs w:val="21"/>
                <w:lang w:eastAsia="zh-CN" w:bidi="ar-SA"/>
              </w:rPr>
              <w:t>否</w:t>
            </w:r>
          </w:p>
        </w:tc>
      </w:tr>
      <w:tr w14:paraId="2108F91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534" w:hRule="exact"/>
          <w:jc w:val="center"/>
        </w:trPr>
        <w:tc>
          <w:tcPr>
            <w:tcW w:w="1048" w:type="dxa"/>
            <w:tcBorders>
              <w:top w:val="single" w:color="auto" w:sz="4" w:space="0"/>
              <w:left w:val="single" w:color="auto" w:sz="4" w:space="0"/>
              <w:bottom w:val="single" w:color="auto" w:sz="4" w:space="0"/>
              <w:right w:val="single" w:color="auto" w:sz="4" w:space="0"/>
              <w:tl2br w:val="nil"/>
              <w:tr2bl w:val="nil"/>
            </w:tcBorders>
            <w:vAlign w:val="center"/>
          </w:tcPr>
          <w:p w14:paraId="54C70F99">
            <w:pPr>
              <w:jc w:val="center"/>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7.6.</w:t>
            </w:r>
            <w:r>
              <w:rPr>
                <w:rFonts w:hint="eastAsia" w:ascii="宋体" w:hAnsi="宋体" w:eastAsia="宋体"/>
                <w:color w:val="auto"/>
                <w:sz w:val="21"/>
                <w:szCs w:val="21"/>
                <w:lang w:eastAsia="zh-CN" w:bidi="ar-SA"/>
              </w:rPr>
              <w:t>1</w:t>
            </w:r>
          </w:p>
        </w:tc>
        <w:tc>
          <w:tcPr>
            <w:tcW w:w="2835" w:type="dxa"/>
            <w:tcBorders>
              <w:top w:val="single" w:color="auto" w:sz="4" w:space="0"/>
              <w:left w:val="single" w:color="auto" w:sz="4" w:space="0"/>
              <w:bottom w:val="single" w:color="auto" w:sz="4" w:space="0"/>
              <w:right w:val="single" w:color="auto" w:sz="4" w:space="0"/>
              <w:tl2br w:val="nil"/>
              <w:tr2bl w:val="nil"/>
            </w:tcBorders>
            <w:vAlign w:val="center"/>
          </w:tcPr>
          <w:p w14:paraId="73AE3194">
            <w:pPr>
              <w:jc w:val="center"/>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履约保证金</w:t>
            </w:r>
          </w:p>
        </w:tc>
        <w:tc>
          <w:tcPr>
            <w:tcW w:w="5355" w:type="dxa"/>
            <w:tcBorders>
              <w:top w:val="single" w:color="auto" w:sz="4" w:space="0"/>
              <w:left w:val="single" w:color="auto" w:sz="4" w:space="0"/>
              <w:bottom w:val="single" w:color="auto" w:sz="4" w:space="0"/>
              <w:right w:val="single" w:color="auto" w:sz="4" w:space="0"/>
              <w:tl2br w:val="nil"/>
              <w:tr2bl w:val="nil"/>
            </w:tcBorders>
            <w:vAlign w:val="center"/>
          </w:tcPr>
          <w:p w14:paraId="7CB0E22A">
            <w:pPr>
              <w:jc w:val="both"/>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是否要求中标人提交履约保证金：</w:t>
            </w:r>
          </w:p>
          <w:p w14:paraId="28E15893">
            <w:pPr>
              <w:jc w:val="both"/>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sym w:font="Wingdings 2" w:char="F052"/>
            </w:r>
            <w:r>
              <w:rPr>
                <w:rFonts w:hint="eastAsia" w:ascii="宋体" w:hAnsi="宋体" w:eastAsia="宋体"/>
                <w:color w:val="auto"/>
                <w:sz w:val="21"/>
                <w:szCs w:val="21"/>
                <w:lang w:eastAsia="zh-CN" w:bidi="ar-SA"/>
              </w:rPr>
              <w:t>要求，履约保证金的形式：保函或现金保证金。</w:t>
            </w:r>
          </w:p>
          <w:p w14:paraId="680FC7DB">
            <w:pPr>
              <w:jc w:val="both"/>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若采用银行保函，出具履约保证金的银行级别：中标人所在地的国有商业银行或股份制商业银行的支行及以上级别。</w:t>
            </w:r>
          </w:p>
          <w:p w14:paraId="40730F33">
            <w:pPr>
              <w:jc w:val="both"/>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若采用财务公司保函，财务公司应属于中国银行保险监管委员会批准的国有财务公司且经招标人认可。</w:t>
            </w:r>
          </w:p>
          <w:p w14:paraId="191AEDEC">
            <w:pPr>
              <w:jc w:val="both"/>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若采用现金，中标人应从其基本账户以转账或电汇形式一次性转入招标人指定的银行账户内（退还时不计利息）。</w:t>
            </w:r>
          </w:p>
          <w:p w14:paraId="39263AC5">
            <w:pPr>
              <w:jc w:val="both"/>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履约保证金的金额：签约合同价的</w:t>
            </w:r>
            <w:r>
              <w:rPr>
                <w:rFonts w:ascii="宋体" w:hAnsi="宋体" w:eastAsia="宋体"/>
                <w:color w:val="auto"/>
                <w:sz w:val="21"/>
                <w:szCs w:val="21"/>
                <w:lang w:eastAsia="zh-CN" w:bidi="ar-SA"/>
              </w:rPr>
              <w:t>10%</w:t>
            </w:r>
            <w:r>
              <w:rPr>
                <w:rFonts w:hint="eastAsia" w:ascii="宋体" w:hAnsi="宋体" w:eastAsia="宋体"/>
                <w:color w:val="auto"/>
                <w:sz w:val="21"/>
                <w:szCs w:val="21"/>
                <w:lang w:eastAsia="zh-CN" w:bidi="ar-SA"/>
              </w:rPr>
              <w:t>，中标通知书发出后14天内提交。</w:t>
            </w:r>
          </w:p>
          <w:p w14:paraId="0AA96EB6">
            <w:pPr>
              <w:jc w:val="both"/>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rPr>
              <w:t>□</w:t>
            </w:r>
            <w:r>
              <w:rPr>
                <w:rFonts w:hint="eastAsia" w:ascii="宋体" w:hAnsi="宋体" w:eastAsia="宋体"/>
                <w:color w:val="auto"/>
                <w:sz w:val="21"/>
                <w:szCs w:val="21"/>
                <w:lang w:eastAsia="zh-CN" w:bidi="ar-SA"/>
              </w:rPr>
              <w:t>不要求</w:t>
            </w:r>
          </w:p>
        </w:tc>
      </w:tr>
      <w:tr w14:paraId="409C527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364" w:hRule="exact"/>
          <w:jc w:val="center"/>
        </w:trPr>
        <w:tc>
          <w:tcPr>
            <w:tcW w:w="1048" w:type="dxa"/>
            <w:tcBorders>
              <w:top w:val="single" w:color="auto" w:sz="4" w:space="0"/>
              <w:left w:val="single" w:color="auto" w:sz="4" w:space="0"/>
              <w:bottom w:val="single" w:color="auto" w:sz="4" w:space="0"/>
              <w:right w:val="single" w:color="auto" w:sz="4" w:space="0"/>
              <w:tl2br w:val="nil"/>
              <w:tr2bl w:val="nil"/>
            </w:tcBorders>
            <w:vAlign w:val="center"/>
          </w:tcPr>
          <w:p w14:paraId="70497B77">
            <w:pPr>
              <w:jc w:val="center"/>
              <w:rPr>
                <w:rFonts w:hint="eastAsia" w:ascii="宋体" w:hAnsi="宋体" w:eastAsia="宋体"/>
                <w:color w:val="auto"/>
                <w:sz w:val="21"/>
                <w:szCs w:val="21"/>
                <w:lang w:eastAsia="zh-CN" w:bidi="ar-SA"/>
              </w:rPr>
            </w:pPr>
            <w:r>
              <w:rPr>
                <w:rFonts w:eastAsia="宋体"/>
                <w:color w:val="auto"/>
                <w:sz w:val="21"/>
                <w:szCs w:val="21"/>
                <w:lang w:eastAsia="zh-CN" w:bidi="ar-SA"/>
              </w:rPr>
              <w:t>8.5.1</w:t>
            </w:r>
          </w:p>
        </w:tc>
        <w:tc>
          <w:tcPr>
            <w:tcW w:w="2835" w:type="dxa"/>
            <w:tcBorders>
              <w:top w:val="single" w:color="auto" w:sz="4" w:space="0"/>
              <w:left w:val="single" w:color="auto" w:sz="4" w:space="0"/>
              <w:bottom w:val="single" w:color="auto" w:sz="4" w:space="0"/>
              <w:right w:val="single" w:color="auto" w:sz="4" w:space="0"/>
              <w:tl2br w:val="nil"/>
              <w:tr2bl w:val="nil"/>
            </w:tcBorders>
            <w:vAlign w:val="center"/>
          </w:tcPr>
          <w:p w14:paraId="4E126B55">
            <w:pPr>
              <w:jc w:val="center"/>
              <w:rPr>
                <w:rFonts w:hint="eastAsia" w:ascii="宋体" w:hAnsi="宋体" w:eastAsia="宋体"/>
                <w:color w:val="auto"/>
                <w:sz w:val="21"/>
                <w:szCs w:val="21"/>
                <w:lang w:eastAsia="zh-CN" w:bidi="ar-SA"/>
              </w:rPr>
            </w:pPr>
            <w:r>
              <w:rPr>
                <w:rFonts w:eastAsia="宋体"/>
                <w:color w:val="auto"/>
                <w:sz w:val="21"/>
                <w:szCs w:val="21"/>
                <w:lang w:eastAsia="zh-CN" w:bidi="ar-SA"/>
              </w:rPr>
              <w:t>监督部门</w:t>
            </w:r>
          </w:p>
        </w:tc>
        <w:tc>
          <w:tcPr>
            <w:tcW w:w="5355" w:type="dxa"/>
            <w:tcBorders>
              <w:top w:val="single" w:color="auto" w:sz="4" w:space="0"/>
              <w:left w:val="single" w:color="auto" w:sz="4" w:space="0"/>
              <w:bottom w:val="single" w:color="auto" w:sz="4" w:space="0"/>
              <w:right w:val="single" w:color="auto" w:sz="4" w:space="0"/>
              <w:tl2br w:val="nil"/>
              <w:tr2bl w:val="nil"/>
            </w:tcBorders>
            <w:vAlign w:val="center"/>
          </w:tcPr>
          <w:p w14:paraId="33AC7352">
            <w:pP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监督部门：新余市交通运输局</w:t>
            </w:r>
          </w:p>
          <w:p w14:paraId="79D0E9A7">
            <w:pP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地</w:t>
            </w:r>
            <w:r>
              <w:rPr>
                <w:rFonts w:ascii="宋体" w:hAnsi="宋体" w:eastAsia="宋体"/>
                <w:color w:val="auto"/>
                <w:sz w:val="21"/>
                <w:szCs w:val="21"/>
                <w:lang w:eastAsia="zh-CN" w:bidi="ar-SA"/>
              </w:rPr>
              <w:t xml:space="preserve">  </w:t>
            </w:r>
            <w:r>
              <w:rPr>
                <w:rFonts w:hint="eastAsia" w:ascii="宋体" w:hAnsi="宋体" w:eastAsia="宋体"/>
                <w:color w:val="auto"/>
                <w:sz w:val="21"/>
                <w:szCs w:val="21"/>
                <w:lang w:eastAsia="zh-CN" w:bidi="ar-SA"/>
              </w:rPr>
              <w:t>址：江西省新余市仰天岗大道69号</w:t>
            </w:r>
          </w:p>
          <w:p w14:paraId="5EA095D7">
            <w:pP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电话：</w:t>
            </w:r>
            <w:r>
              <w:rPr>
                <w:rFonts w:hint="eastAsia"/>
                <w:color w:val="auto"/>
                <w:sz w:val="21"/>
                <w:szCs w:val="21"/>
                <w:lang w:eastAsia="zh-CN" w:bidi="ar-SA"/>
              </w:rPr>
              <w:t>0790-6442346</w:t>
            </w:r>
          </w:p>
          <w:p w14:paraId="51A141C8">
            <w:pP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传真：</w:t>
            </w:r>
            <w:r>
              <w:rPr>
                <w:rFonts w:hint="eastAsia"/>
                <w:color w:val="auto"/>
                <w:sz w:val="21"/>
                <w:szCs w:val="21"/>
                <w:lang w:eastAsia="zh-CN" w:bidi="ar-SA"/>
              </w:rPr>
              <w:t>0790-6442346</w:t>
            </w:r>
          </w:p>
          <w:p w14:paraId="326565FB">
            <w:pPr>
              <w:rPr>
                <w:color w:val="auto"/>
                <w:sz w:val="21"/>
                <w:szCs w:val="21"/>
                <w:lang w:eastAsia="zh-CN" w:bidi="ar-SA"/>
              </w:rPr>
            </w:pPr>
            <w:r>
              <w:rPr>
                <w:rFonts w:hint="eastAsia" w:ascii="宋体" w:hAnsi="宋体" w:eastAsia="宋体"/>
                <w:color w:val="auto"/>
                <w:sz w:val="21"/>
                <w:szCs w:val="21"/>
                <w:lang w:eastAsia="zh-CN" w:bidi="ar-SA"/>
              </w:rPr>
              <w:t>邮编：</w:t>
            </w:r>
            <w:r>
              <w:rPr>
                <w:color w:val="auto"/>
                <w:sz w:val="21"/>
                <w:szCs w:val="21"/>
                <w:lang w:eastAsia="zh-CN" w:bidi="ar-SA"/>
              </w:rPr>
              <w:t>33</w:t>
            </w:r>
            <w:r>
              <w:rPr>
                <w:rFonts w:hint="eastAsia"/>
                <w:color w:val="auto"/>
                <w:sz w:val="21"/>
                <w:szCs w:val="21"/>
                <w:lang w:eastAsia="zh-CN" w:bidi="ar-SA"/>
              </w:rPr>
              <w:t>8000</w:t>
            </w:r>
          </w:p>
          <w:p w14:paraId="77061D3B">
            <w:pPr>
              <w:jc w:val="both"/>
              <w:rPr>
                <w:rFonts w:hint="eastAsia" w:ascii="宋体" w:hAnsi="宋体" w:eastAsia="宋体"/>
                <w:color w:val="auto"/>
                <w:sz w:val="21"/>
                <w:szCs w:val="21"/>
                <w:lang w:eastAsia="zh-CN" w:bidi="ar-SA"/>
              </w:rPr>
            </w:pPr>
          </w:p>
        </w:tc>
      </w:tr>
      <w:tr w14:paraId="30A56954">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918" w:hRule="exact"/>
          <w:jc w:val="center"/>
        </w:trPr>
        <w:tc>
          <w:tcPr>
            <w:tcW w:w="1048" w:type="dxa"/>
            <w:tcBorders>
              <w:top w:val="single" w:color="auto" w:sz="4" w:space="0"/>
              <w:left w:val="single" w:color="auto" w:sz="4" w:space="0"/>
              <w:bottom w:val="single" w:color="auto" w:sz="4" w:space="0"/>
              <w:right w:val="single" w:color="auto" w:sz="4" w:space="0"/>
              <w:tl2br w:val="nil"/>
              <w:tr2bl w:val="nil"/>
            </w:tcBorders>
            <w:vAlign w:val="center"/>
          </w:tcPr>
          <w:p w14:paraId="4814D77B">
            <w:pPr>
              <w:jc w:val="center"/>
              <w:rPr>
                <w:rFonts w:hint="eastAsia" w:ascii="宋体" w:hAnsi="宋体" w:eastAsiaTheme="minorEastAsia"/>
                <w:b/>
                <w:color w:val="auto"/>
                <w:lang w:eastAsia="zh-CN"/>
              </w:rPr>
            </w:pPr>
            <w:r>
              <w:rPr>
                <w:rFonts w:hint="eastAsia" w:eastAsia="宋体"/>
                <w:color w:val="auto"/>
                <w:sz w:val="21"/>
                <w:szCs w:val="21"/>
                <w:lang w:eastAsia="zh-CN" w:bidi="ar-SA"/>
              </w:rPr>
              <w:t>9</w:t>
            </w:r>
          </w:p>
        </w:tc>
        <w:tc>
          <w:tcPr>
            <w:tcW w:w="2835" w:type="dxa"/>
            <w:tcBorders>
              <w:top w:val="single" w:color="auto" w:sz="4" w:space="0"/>
              <w:left w:val="single" w:color="auto" w:sz="4" w:space="0"/>
              <w:bottom w:val="single" w:color="auto" w:sz="4" w:space="0"/>
              <w:right w:val="single" w:color="auto" w:sz="4" w:space="0"/>
              <w:tl2br w:val="nil"/>
              <w:tr2bl w:val="nil"/>
            </w:tcBorders>
            <w:vAlign w:val="center"/>
          </w:tcPr>
          <w:p w14:paraId="629B5642">
            <w:pPr>
              <w:spacing w:line="300" w:lineRule="exact"/>
              <w:rPr>
                <w:rFonts w:hint="eastAsia" w:ascii="宋体" w:hAnsi="宋体" w:eastAsia="宋体"/>
                <w:color w:val="auto"/>
                <w:kern w:val="2"/>
                <w:sz w:val="21"/>
                <w:szCs w:val="21"/>
                <w:lang w:eastAsia="zh-CN" w:bidi="ar-SA"/>
              </w:rPr>
            </w:pPr>
            <w:r>
              <w:rPr>
                <w:rFonts w:hint="eastAsia" w:ascii="宋体" w:hAnsi="宋体" w:eastAsia="宋体"/>
                <w:color w:val="auto"/>
                <w:kern w:val="2"/>
                <w:sz w:val="21"/>
                <w:szCs w:val="21"/>
                <w:lang w:eastAsia="zh-CN" w:bidi="ar-SA"/>
              </w:rPr>
              <w:t>是否采用电子招标投标</w:t>
            </w:r>
          </w:p>
        </w:tc>
        <w:tc>
          <w:tcPr>
            <w:tcW w:w="5355" w:type="dxa"/>
            <w:tcBorders>
              <w:top w:val="single" w:color="auto" w:sz="4" w:space="0"/>
              <w:left w:val="single" w:color="auto" w:sz="4" w:space="0"/>
              <w:bottom w:val="single" w:color="auto" w:sz="4" w:space="0"/>
              <w:right w:val="single" w:color="auto" w:sz="4" w:space="0"/>
              <w:tl2br w:val="nil"/>
              <w:tr2bl w:val="nil"/>
            </w:tcBorders>
            <w:vAlign w:val="center"/>
          </w:tcPr>
          <w:p w14:paraId="7C49143D">
            <w:pPr>
              <w:topLinePunct/>
              <w:spacing w:line="300" w:lineRule="exact"/>
              <w:rPr>
                <w:rFonts w:eastAsia="宋体"/>
                <w:color w:val="auto"/>
                <w:kern w:val="2"/>
                <w:sz w:val="21"/>
                <w:szCs w:val="21"/>
                <w:lang w:eastAsia="zh-CN" w:bidi="ar-SA"/>
              </w:rPr>
            </w:pPr>
            <w:r>
              <w:rPr>
                <w:rFonts w:hint="eastAsia" w:ascii="宋体" w:hAnsi="宋体" w:eastAsia="宋体"/>
                <w:color w:val="auto"/>
                <w:sz w:val="21"/>
                <w:szCs w:val="21"/>
                <w:lang w:eastAsia="zh-CN"/>
              </w:rPr>
              <w:t>□</w:t>
            </w:r>
            <w:r>
              <w:rPr>
                <w:rFonts w:eastAsia="宋体"/>
                <w:color w:val="auto"/>
                <w:kern w:val="2"/>
                <w:sz w:val="21"/>
                <w:szCs w:val="21"/>
                <w:lang w:eastAsia="zh-CN" w:bidi="ar-SA"/>
              </w:rPr>
              <w:t>否</w:t>
            </w:r>
          </w:p>
          <w:p w14:paraId="1A9A6871">
            <w:pPr>
              <w:rPr>
                <w:rFonts w:ascii="宋体" w:hAnsi="宋体"/>
                <w:b/>
                <w:color w:val="auto"/>
                <w:lang w:eastAsia="zh-CN"/>
              </w:rPr>
            </w:pPr>
            <w:r>
              <w:rPr>
                <w:rFonts w:hint="eastAsia" w:ascii="Segoe UI Symbol" w:hAnsi="Segoe UI Symbol" w:eastAsia="MS Mincho" w:cs="Segoe UI Symbol"/>
                <w:color w:val="auto"/>
                <w:kern w:val="2"/>
                <w:szCs w:val="20"/>
                <w:lang w:eastAsia="zh-CN" w:bidi="ar-SA"/>
              </w:rPr>
              <w:sym w:font="Wingdings 2" w:char="F052"/>
            </w:r>
            <w:r>
              <w:rPr>
                <w:rFonts w:eastAsia="宋体"/>
                <w:color w:val="auto"/>
                <w:kern w:val="2"/>
                <w:sz w:val="21"/>
                <w:lang w:eastAsia="zh-CN" w:bidi="ar-SA"/>
              </w:rPr>
              <w:t>是，</w:t>
            </w:r>
            <w:r>
              <w:rPr>
                <w:rFonts w:hint="eastAsia" w:eastAsia="宋体"/>
                <w:color w:val="auto"/>
                <w:kern w:val="2"/>
                <w:sz w:val="21"/>
                <w:lang w:eastAsia="zh-CN" w:bidi="ar-SA"/>
              </w:rPr>
              <w:t>具体要求</w:t>
            </w:r>
            <w:r>
              <w:rPr>
                <w:rFonts w:eastAsia="宋体"/>
                <w:color w:val="auto"/>
                <w:kern w:val="2"/>
                <w:sz w:val="21"/>
                <w:lang w:eastAsia="zh-CN" w:bidi="ar-SA"/>
              </w:rPr>
              <w:t>：</w:t>
            </w:r>
            <w:r>
              <w:rPr>
                <w:rFonts w:hint="eastAsia" w:eastAsia="宋体"/>
                <w:color w:val="auto"/>
                <w:kern w:val="2"/>
                <w:sz w:val="21"/>
                <w:lang w:eastAsia="zh-CN" w:bidi="ar-SA"/>
              </w:rPr>
              <w:t>见第一章“招标公告”第4、5条</w:t>
            </w:r>
          </w:p>
        </w:tc>
      </w:tr>
      <w:tr w14:paraId="60AD3D9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74" w:hRule="exact"/>
          <w:jc w:val="center"/>
        </w:trPr>
        <w:tc>
          <w:tcPr>
            <w:tcW w:w="9238" w:type="dxa"/>
            <w:gridSpan w:val="3"/>
            <w:tcBorders>
              <w:top w:val="single" w:color="auto" w:sz="4" w:space="0"/>
              <w:left w:val="single" w:color="auto" w:sz="4" w:space="0"/>
              <w:bottom w:val="single" w:color="auto" w:sz="4" w:space="0"/>
              <w:right w:val="single" w:color="auto" w:sz="4" w:space="0"/>
              <w:tl2br w:val="nil"/>
              <w:tr2bl w:val="nil"/>
            </w:tcBorders>
            <w:vAlign w:val="center"/>
          </w:tcPr>
          <w:p w14:paraId="54C690C8">
            <w:pPr>
              <w:rPr>
                <w:rFonts w:hint="eastAsia" w:ascii="宋体" w:hAnsi="宋体" w:eastAsia="宋体"/>
                <w:color w:val="auto"/>
                <w:sz w:val="21"/>
                <w:szCs w:val="21"/>
                <w:lang w:eastAsia="zh-CN" w:bidi="ar-SA"/>
              </w:rPr>
            </w:pPr>
            <w:r>
              <w:rPr>
                <w:rFonts w:ascii="宋体" w:hAnsi="宋体"/>
                <w:b/>
                <w:color w:val="auto"/>
              </w:rPr>
              <w:t>需要补充的其他内容</w:t>
            </w:r>
          </w:p>
        </w:tc>
      </w:tr>
      <w:tr w14:paraId="0D61FCD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844" w:hRule="exact"/>
          <w:jc w:val="center"/>
        </w:trPr>
        <w:tc>
          <w:tcPr>
            <w:tcW w:w="1048" w:type="dxa"/>
            <w:tcBorders>
              <w:top w:val="single" w:color="auto" w:sz="4" w:space="0"/>
              <w:left w:val="single" w:color="auto" w:sz="4" w:space="0"/>
              <w:bottom w:val="single" w:color="auto" w:sz="4" w:space="0"/>
              <w:right w:val="single" w:color="auto" w:sz="4" w:space="0"/>
              <w:tl2br w:val="nil"/>
              <w:tr2bl w:val="nil"/>
            </w:tcBorders>
            <w:vAlign w:val="center"/>
          </w:tcPr>
          <w:p w14:paraId="7121C4FD">
            <w:pPr>
              <w:jc w:val="center"/>
              <w:rPr>
                <w:rFonts w:eastAsia="宋体"/>
                <w:color w:val="auto"/>
                <w:sz w:val="21"/>
                <w:szCs w:val="21"/>
                <w:lang w:eastAsia="zh-CN" w:bidi="ar-SA"/>
              </w:rPr>
            </w:pPr>
            <w:r>
              <w:rPr>
                <w:rFonts w:hint="eastAsia" w:eastAsia="宋体"/>
                <w:color w:val="auto"/>
                <w:sz w:val="21"/>
                <w:szCs w:val="21"/>
                <w:lang w:eastAsia="zh-CN" w:bidi="ar-SA"/>
              </w:rPr>
              <w:t>10.1</w:t>
            </w:r>
          </w:p>
        </w:tc>
        <w:tc>
          <w:tcPr>
            <w:tcW w:w="2835" w:type="dxa"/>
            <w:tcBorders>
              <w:top w:val="single" w:color="auto" w:sz="4" w:space="0"/>
              <w:left w:val="single" w:color="auto" w:sz="4" w:space="0"/>
              <w:bottom w:val="single" w:color="auto" w:sz="4" w:space="0"/>
              <w:right w:val="single" w:color="auto" w:sz="4" w:space="0"/>
              <w:tl2br w:val="nil"/>
              <w:tr2bl w:val="nil"/>
            </w:tcBorders>
            <w:vAlign w:val="center"/>
          </w:tcPr>
          <w:p w14:paraId="378F2202">
            <w:pPr>
              <w:jc w:val="center"/>
              <w:rPr>
                <w:rFonts w:eastAsia="宋体"/>
                <w:color w:val="auto"/>
                <w:sz w:val="21"/>
                <w:szCs w:val="21"/>
                <w:lang w:eastAsia="zh-CN" w:bidi="ar-SA"/>
              </w:rPr>
            </w:pPr>
            <w:r>
              <w:rPr>
                <w:rFonts w:eastAsia="宋体"/>
                <w:color w:val="auto"/>
                <w:sz w:val="21"/>
                <w:szCs w:val="21"/>
                <w:lang w:eastAsia="zh-CN" w:bidi="ar-SA"/>
              </w:rPr>
              <w:t>联络</w:t>
            </w:r>
          </w:p>
        </w:tc>
        <w:tc>
          <w:tcPr>
            <w:tcW w:w="5355" w:type="dxa"/>
            <w:tcBorders>
              <w:top w:val="single" w:color="auto" w:sz="4" w:space="0"/>
              <w:left w:val="single" w:color="auto" w:sz="4" w:space="0"/>
              <w:bottom w:val="single" w:color="auto" w:sz="4" w:space="0"/>
              <w:right w:val="single" w:color="auto" w:sz="4" w:space="0"/>
              <w:tl2br w:val="nil"/>
              <w:tr2bl w:val="nil"/>
            </w:tcBorders>
            <w:vAlign w:val="center"/>
          </w:tcPr>
          <w:p w14:paraId="09188990">
            <w:pP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自获取招标文件之日起，投标人应随时关注</w:t>
            </w:r>
            <w:r>
              <w:rPr>
                <w:rFonts w:hint="eastAsia" w:ascii="宋体" w:hAnsi="宋体" w:eastAsia="宋体"/>
                <w:color w:val="auto"/>
                <w:sz w:val="21"/>
                <w:szCs w:val="21"/>
                <w:u w:val="single"/>
                <w:lang w:eastAsia="zh-CN" w:bidi="ar-SA"/>
              </w:rPr>
              <w:t>江西省公共资源交易平台</w:t>
            </w:r>
            <w:r>
              <w:rPr>
                <w:rFonts w:hint="eastAsia" w:ascii="宋体" w:hAnsi="宋体" w:eastAsia="宋体"/>
                <w:color w:val="auto"/>
                <w:sz w:val="21"/>
                <w:szCs w:val="21"/>
                <w:lang w:eastAsia="zh-CN" w:bidi="ar-SA"/>
              </w:rPr>
              <w:t>（</w:t>
            </w:r>
            <w:r>
              <w:rPr>
                <w:rFonts w:ascii="宋体" w:hAnsi="宋体" w:eastAsia="宋体"/>
                <w:color w:val="auto"/>
                <w:sz w:val="21"/>
                <w:szCs w:val="21"/>
                <w:lang w:eastAsia="zh-CN" w:bidi="ar-SA"/>
              </w:rPr>
              <w:t>http://www.jxsggzy.cn</w:t>
            </w:r>
            <w:r>
              <w:rPr>
                <w:rFonts w:hint="eastAsia" w:ascii="宋体" w:hAnsi="宋体" w:eastAsia="宋体"/>
                <w:color w:val="auto"/>
                <w:sz w:val="21"/>
                <w:szCs w:val="21"/>
                <w:lang w:eastAsia="zh-CN" w:bidi="ar-SA"/>
              </w:rPr>
              <w:t>）的招标信息更新，以保证能及时下载招标文件的澄清或修改等信息。特别需要说明的是，招标人的各项通知、文件均通过网络发布，即默认为已送达投标人</w:t>
            </w:r>
            <w:r>
              <w:rPr>
                <w:rFonts w:ascii="宋体" w:hAnsi="宋体" w:eastAsia="宋体"/>
                <w:color w:val="auto"/>
                <w:sz w:val="21"/>
                <w:szCs w:val="21"/>
                <w:lang w:eastAsia="zh-CN" w:bidi="ar-SA"/>
              </w:rPr>
              <w:t>,</w:t>
            </w:r>
            <w:r>
              <w:rPr>
                <w:rFonts w:hint="eastAsia" w:ascii="宋体" w:hAnsi="宋体" w:eastAsia="宋体"/>
                <w:color w:val="auto"/>
                <w:sz w:val="21"/>
                <w:szCs w:val="21"/>
                <w:lang w:eastAsia="zh-CN" w:bidi="ar-SA"/>
              </w:rPr>
              <w:t>若因投标人未及时上网查收等原因导致的不利后果由投标人自行承担。</w:t>
            </w:r>
          </w:p>
        </w:tc>
      </w:tr>
      <w:tr w14:paraId="6AF2EB04">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843" w:hRule="exact"/>
          <w:jc w:val="center"/>
        </w:trPr>
        <w:tc>
          <w:tcPr>
            <w:tcW w:w="1048" w:type="dxa"/>
            <w:tcBorders>
              <w:top w:val="single" w:color="auto" w:sz="4" w:space="0"/>
              <w:left w:val="single" w:color="auto" w:sz="4" w:space="0"/>
              <w:bottom w:val="single" w:color="auto" w:sz="4" w:space="0"/>
              <w:right w:val="single" w:color="auto" w:sz="4" w:space="0"/>
              <w:tl2br w:val="nil"/>
              <w:tr2bl w:val="nil"/>
            </w:tcBorders>
            <w:vAlign w:val="center"/>
          </w:tcPr>
          <w:p w14:paraId="032D2E9B">
            <w:pPr>
              <w:jc w:val="center"/>
              <w:rPr>
                <w:rFonts w:eastAsia="宋体"/>
                <w:color w:val="auto"/>
                <w:sz w:val="21"/>
                <w:szCs w:val="21"/>
                <w:lang w:eastAsia="zh-CN" w:bidi="ar-SA"/>
              </w:rPr>
            </w:pPr>
            <w:r>
              <w:rPr>
                <w:rFonts w:hint="eastAsia" w:eastAsia="宋体"/>
                <w:color w:val="auto"/>
                <w:sz w:val="21"/>
                <w:szCs w:val="21"/>
                <w:lang w:eastAsia="zh-CN" w:bidi="ar-SA"/>
              </w:rPr>
              <w:t>10.</w:t>
            </w:r>
            <w:r>
              <w:rPr>
                <w:rFonts w:eastAsia="宋体"/>
                <w:color w:val="auto"/>
                <w:sz w:val="21"/>
                <w:szCs w:val="21"/>
                <w:lang w:eastAsia="zh-CN" w:bidi="ar-SA"/>
              </w:rPr>
              <w:t>2</w:t>
            </w:r>
          </w:p>
        </w:tc>
        <w:tc>
          <w:tcPr>
            <w:tcW w:w="2835" w:type="dxa"/>
            <w:tcBorders>
              <w:top w:val="single" w:color="auto" w:sz="4" w:space="0"/>
              <w:left w:val="single" w:color="auto" w:sz="4" w:space="0"/>
              <w:bottom w:val="single" w:color="auto" w:sz="4" w:space="0"/>
              <w:right w:val="single" w:color="auto" w:sz="4" w:space="0"/>
              <w:tl2br w:val="nil"/>
              <w:tr2bl w:val="nil"/>
            </w:tcBorders>
            <w:vAlign w:val="center"/>
          </w:tcPr>
          <w:p w14:paraId="77619EC3">
            <w:pPr>
              <w:jc w:val="center"/>
              <w:rPr>
                <w:rFonts w:eastAsia="宋体"/>
                <w:color w:val="auto"/>
                <w:sz w:val="21"/>
                <w:szCs w:val="21"/>
                <w:lang w:eastAsia="zh-CN" w:bidi="ar-SA"/>
              </w:rPr>
            </w:pPr>
            <w:r>
              <w:rPr>
                <w:rFonts w:ascii="宋体" w:hAnsi="宋体" w:eastAsia="宋体"/>
                <w:color w:val="auto"/>
                <w:sz w:val="21"/>
                <w:szCs w:val="21"/>
                <w:lang w:eastAsia="zh-CN" w:bidi="ar-SA"/>
              </w:rPr>
              <w:t>中标通知书和中标结果通知发出的形式</w:t>
            </w:r>
          </w:p>
        </w:tc>
        <w:tc>
          <w:tcPr>
            <w:tcW w:w="5355" w:type="dxa"/>
            <w:tcBorders>
              <w:top w:val="single" w:color="auto" w:sz="4" w:space="0"/>
              <w:left w:val="single" w:color="auto" w:sz="4" w:space="0"/>
              <w:bottom w:val="single" w:color="auto" w:sz="4" w:space="0"/>
              <w:right w:val="single" w:color="auto" w:sz="4" w:space="0"/>
              <w:tl2br w:val="nil"/>
              <w:tr2bl w:val="nil"/>
            </w:tcBorders>
            <w:vAlign w:val="center"/>
          </w:tcPr>
          <w:p w14:paraId="7714905B">
            <w:pP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中标通知书以书面形式发出，中标结果通知以中标结果公告的形式发出。</w:t>
            </w:r>
          </w:p>
        </w:tc>
      </w:tr>
      <w:tr w14:paraId="782E846B">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990" w:hRule="exact"/>
          <w:jc w:val="center"/>
        </w:trPr>
        <w:tc>
          <w:tcPr>
            <w:tcW w:w="1048" w:type="dxa"/>
            <w:tcBorders>
              <w:top w:val="single" w:color="auto" w:sz="4" w:space="0"/>
              <w:left w:val="single" w:color="auto" w:sz="4" w:space="0"/>
              <w:bottom w:val="single" w:color="auto" w:sz="4" w:space="0"/>
              <w:right w:val="single" w:color="auto" w:sz="4" w:space="0"/>
              <w:tl2br w:val="nil"/>
              <w:tr2bl w:val="nil"/>
            </w:tcBorders>
            <w:vAlign w:val="center"/>
          </w:tcPr>
          <w:p w14:paraId="042EF151">
            <w:pPr>
              <w:jc w:val="center"/>
              <w:rPr>
                <w:rFonts w:eastAsia="宋体"/>
                <w:color w:val="auto"/>
                <w:sz w:val="21"/>
                <w:szCs w:val="21"/>
                <w:lang w:eastAsia="zh-CN" w:bidi="ar-SA"/>
              </w:rPr>
            </w:pPr>
            <w:r>
              <w:rPr>
                <w:rFonts w:hint="eastAsia" w:eastAsia="宋体"/>
                <w:color w:val="auto"/>
                <w:sz w:val="21"/>
                <w:szCs w:val="21"/>
                <w:lang w:eastAsia="zh-CN" w:bidi="ar-SA"/>
              </w:rPr>
              <w:t>10</w:t>
            </w:r>
            <w:r>
              <w:rPr>
                <w:rFonts w:eastAsia="宋体"/>
                <w:color w:val="auto"/>
                <w:sz w:val="21"/>
                <w:szCs w:val="21"/>
                <w:lang w:eastAsia="zh-CN" w:bidi="ar-SA"/>
              </w:rPr>
              <w:t>.3</w:t>
            </w:r>
          </w:p>
        </w:tc>
        <w:tc>
          <w:tcPr>
            <w:tcW w:w="2835" w:type="dxa"/>
            <w:tcBorders>
              <w:top w:val="single" w:color="auto" w:sz="4" w:space="0"/>
              <w:left w:val="single" w:color="auto" w:sz="4" w:space="0"/>
              <w:bottom w:val="single" w:color="auto" w:sz="4" w:space="0"/>
              <w:right w:val="single" w:color="auto" w:sz="4" w:space="0"/>
              <w:tl2br w:val="nil"/>
              <w:tr2bl w:val="nil"/>
            </w:tcBorders>
            <w:vAlign w:val="center"/>
          </w:tcPr>
          <w:p w14:paraId="17EC6374">
            <w:pPr>
              <w:jc w:val="center"/>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中标结果公告媒介及期限</w:t>
            </w:r>
          </w:p>
        </w:tc>
        <w:tc>
          <w:tcPr>
            <w:tcW w:w="5355" w:type="dxa"/>
            <w:tcBorders>
              <w:top w:val="single" w:color="auto" w:sz="4" w:space="0"/>
              <w:left w:val="single" w:color="auto" w:sz="4" w:space="0"/>
              <w:bottom w:val="single" w:color="auto" w:sz="4" w:space="0"/>
              <w:right w:val="single" w:color="auto" w:sz="4" w:space="0"/>
              <w:tl2br w:val="nil"/>
              <w:tr2bl w:val="nil"/>
            </w:tcBorders>
            <w:vAlign w:val="center"/>
          </w:tcPr>
          <w:p w14:paraId="62B0275D">
            <w:pP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公告媒介：</w:t>
            </w:r>
          </w:p>
          <w:p w14:paraId="1AE30CE7">
            <w:pP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江西省公共资源交易平台（</w:t>
            </w:r>
            <w:r>
              <w:fldChar w:fldCharType="begin"/>
            </w:r>
            <w:r>
              <w:instrText xml:space="preserve"> HYPERLINK "http://www.jxsggzy.cn" </w:instrText>
            </w:r>
            <w:r>
              <w:fldChar w:fldCharType="separate"/>
            </w:r>
            <w:r>
              <w:rPr>
                <w:rStyle w:val="55"/>
                <w:rFonts w:hint="eastAsia" w:ascii="宋体" w:hAnsi="宋体" w:eastAsia="宋体"/>
                <w:sz w:val="21"/>
                <w:szCs w:val="21"/>
                <w:lang w:eastAsia="zh-CN" w:bidi="ar-SA"/>
              </w:rPr>
              <w:t>http://www.jxsggzy.cn</w:t>
            </w:r>
            <w:r>
              <w:rPr>
                <w:rStyle w:val="55"/>
                <w:rFonts w:hint="eastAsia" w:ascii="宋体" w:hAnsi="宋体" w:eastAsia="宋体"/>
                <w:sz w:val="21"/>
                <w:szCs w:val="21"/>
                <w:lang w:eastAsia="zh-CN" w:bidi="ar-SA"/>
              </w:rPr>
              <w:fldChar w:fldCharType="end"/>
            </w:r>
            <w:r>
              <w:rPr>
                <w:rFonts w:hint="eastAsia" w:ascii="宋体" w:hAnsi="宋体" w:eastAsia="宋体"/>
                <w:color w:val="auto"/>
                <w:sz w:val="21"/>
                <w:szCs w:val="21"/>
                <w:lang w:eastAsia="zh-CN" w:bidi="ar-SA"/>
              </w:rPr>
              <w:t>）</w:t>
            </w:r>
          </w:p>
          <w:p w14:paraId="0E0FCDA8">
            <w:pP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公告期限：/</w:t>
            </w:r>
          </w:p>
          <w:p w14:paraId="351EC313">
            <w:pP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公告内容：中标人名称和中标价格等。</w:t>
            </w:r>
          </w:p>
        </w:tc>
      </w:tr>
      <w:tr w14:paraId="31F209D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660" w:hRule="exact"/>
          <w:jc w:val="center"/>
        </w:trPr>
        <w:tc>
          <w:tcPr>
            <w:tcW w:w="1048" w:type="dxa"/>
            <w:tcBorders>
              <w:top w:val="single" w:color="auto" w:sz="4" w:space="0"/>
              <w:left w:val="single" w:color="auto" w:sz="4" w:space="0"/>
              <w:bottom w:val="single" w:color="auto" w:sz="4" w:space="0"/>
              <w:right w:val="single" w:color="auto" w:sz="4" w:space="0"/>
              <w:tl2br w:val="nil"/>
              <w:tr2bl w:val="nil"/>
            </w:tcBorders>
            <w:vAlign w:val="center"/>
          </w:tcPr>
          <w:p w14:paraId="2B9AF8E1">
            <w:pPr>
              <w:jc w:val="center"/>
              <w:rPr>
                <w:rFonts w:eastAsia="宋体"/>
                <w:color w:val="auto"/>
                <w:sz w:val="21"/>
                <w:szCs w:val="21"/>
                <w:lang w:eastAsia="zh-CN" w:bidi="ar-SA"/>
              </w:rPr>
            </w:pPr>
            <w:r>
              <w:rPr>
                <w:rFonts w:hint="eastAsia" w:eastAsia="宋体"/>
                <w:color w:val="auto"/>
                <w:sz w:val="21"/>
                <w:szCs w:val="21"/>
                <w:lang w:eastAsia="zh-CN" w:bidi="ar-SA"/>
              </w:rPr>
              <w:t>1</w:t>
            </w:r>
            <w:r>
              <w:rPr>
                <w:rFonts w:eastAsia="宋体"/>
                <w:color w:val="auto"/>
                <w:sz w:val="21"/>
                <w:szCs w:val="21"/>
                <w:lang w:eastAsia="zh-CN" w:bidi="ar-SA"/>
              </w:rPr>
              <w:t>0.4</w:t>
            </w:r>
          </w:p>
        </w:tc>
        <w:tc>
          <w:tcPr>
            <w:tcW w:w="8190" w:type="dxa"/>
            <w:gridSpan w:val="2"/>
            <w:tcBorders>
              <w:top w:val="single" w:color="auto" w:sz="4" w:space="0"/>
              <w:left w:val="single" w:color="auto" w:sz="4" w:space="0"/>
              <w:bottom w:val="single" w:color="auto" w:sz="4" w:space="0"/>
              <w:right w:val="single" w:color="auto" w:sz="4" w:space="0"/>
              <w:tl2br w:val="nil"/>
              <w:tr2bl w:val="nil"/>
            </w:tcBorders>
            <w:vAlign w:val="center"/>
          </w:tcPr>
          <w:p w14:paraId="734A9AE3">
            <w:pPr>
              <w:spacing w:line="360" w:lineRule="auto"/>
              <w:ind w:firstLine="420"/>
              <w:rPr>
                <w:rFonts w:ascii="宋体" w:hAnsi="宋体"/>
                <w:color w:val="auto"/>
                <w:sz w:val="21"/>
                <w:szCs w:val="21"/>
                <w:lang w:eastAsia="zh-CN"/>
              </w:rPr>
            </w:pPr>
            <w:r>
              <w:rPr>
                <w:rFonts w:hint="eastAsia" w:ascii="宋体" w:hAnsi="宋体"/>
                <w:color w:val="auto"/>
                <w:sz w:val="21"/>
                <w:szCs w:val="21"/>
                <w:lang w:eastAsia="zh-CN"/>
              </w:rPr>
              <w:t>开标补救措施：</w:t>
            </w:r>
          </w:p>
          <w:p w14:paraId="1024FDCA">
            <w:pPr>
              <w:spacing w:line="360" w:lineRule="auto"/>
              <w:ind w:firstLine="420"/>
              <w:rPr>
                <w:rFonts w:ascii="宋体" w:hAnsi="宋体"/>
                <w:color w:val="auto"/>
                <w:sz w:val="21"/>
                <w:szCs w:val="21"/>
                <w:lang w:eastAsia="zh-CN"/>
              </w:rPr>
            </w:pPr>
            <w:r>
              <w:rPr>
                <w:rFonts w:ascii="宋体" w:hAnsi="宋体"/>
                <w:color w:val="auto"/>
                <w:sz w:val="21"/>
                <w:szCs w:val="21"/>
                <w:lang w:eastAsia="zh-CN"/>
              </w:rPr>
              <w:t>10</w:t>
            </w:r>
            <w:r>
              <w:rPr>
                <w:rFonts w:hint="eastAsia" w:ascii="宋体" w:hAnsi="宋体"/>
                <w:color w:val="auto"/>
                <w:sz w:val="21"/>
                <w:szCs w:val="21"/>
                <w:lang w:eastAsia="zh-CN"/>
              </w:rPr>
              <w:t>.</w:t>
            </w:r>
            <w:r>
              <w:rPr>
                <w:rFonts w:ascii="宋体" w:hAnsi="宋体"/>
                <w:color w:val="auto"/>
                <w:sz w:val="21"/>
                <w:szCs w:val="21"/>
                <w:lang w:eastAsia="zh-CN"/>
              </w:rPr>
              <w:t>4</w:t>
            </w:r>
            <w:r>
              <w:rPr>
                <w:rFonts w:hint="eastAsia" w:ascii="宋体" w:hAnsi="宋体"/>
                <w:color w:val="auto"/>
                <w:sz w:val="21"/>
                <w:szCs w:val="21"/>
                <w:lang w:eastAsia="zh-CN"/>
              </w:rPr>
              <w:t>.1开标过程中出现以下情况，导致系统无法正常运行时，将中止电子开标，并在恢复正常后按</w:t>
            </w:r>
            <w:r>
              <w:rPr>
                <w:rFonts w:hint="eastAsia" w:ascii="宋体" w:hAnsi="宋体"/>
                <w:color w:val="auto"/>
                <w:sz w:val="21"/>
                <w:szCs w:val="21"/>
                <w:u w:val="single"/>
                <w:lang w:eastAsia="zh-CN"/>
              </w:rPr>
              <w:t xml:space="preserve"> </w:t>
            </w:r>
            <w:r>
              <w:rPr>
                <w:rFonts w:hint="eastAsia" w:ascii="宋体" w:hAnsi="宋体" w:eastAsia="宋体" w:cs="宋体"/>
                <w:color w:val="auto"/>
                <w:sz w:val="21"/>
                <w:szCs w:val="21"/>
                <w:u w:val="single"/>
                <w:lang w:eastAsia="zh-CN"/>
              </w:rPr>
              <w:t>江西省公共资源交易平台</w:t>
            </w:r>
            <w:r>
              <w:rPr>
                <w:rFonts w:hint="eastAsia" w:ascii="宋体" w:hAnsi="宋体"/>
                <w:color w:val="auto"/>
                <w:sz w:val="21"/>
                <w:szCs w:val="21"/>
                <w:u w:val="single"/>
                <w:lang w:eastAsia="zh-CN"/>
              </w:rPr>
              <w:t xml:space="preserve">公告  </w:t>
            </w:r>
            <w:r>
              <w:rPr>
                <w:rFonts w:hint="eastAsia" w:ascii="宋体" w:hAnsi="宋体"/>
                <w:color w:val="auto"/>
                <w:sz w:val="21"/>
                <w:szCs w:val="21"/>
                <w:lang w:eastAsia="zh-CN"/>
              </w:rPr>
              <w:t>方式通知投标人，及时安排时间开标：</w:t>
            </w:r>
          </w:p>
          <w:p w14:paraId="7628E3A7">
            <w:pPr>
              <w:spacing w:line="360" w:lineRule="auto"/>
              <w:ind w:firstLine="420"/>
              <w:rPr>
                <w:rFonts w:ascii="宋体" w:hAnsi="宋体"/>
                <w:color w:val="auto"/>
                <w:sz w:val="21"/>
                <w:szCs w:val="21"/>
                <w:lang w:eastAsia="zh-CN"/>
              </w:rPr>
            </w:pPr>
            <w:r>
              <w:rPr>
                <w:rFonts w:hint="eastAsia" w:ascii="宋体" w:hAnsi="宋体"/>
                <w:color w:val="auto"/>
                <w:sz w:val="21"/>
                <w:szCs w:val="21"/>
                <w:lang w:eastAsia="zh-CN"/>
              </w:rPr>
              <w:t>（1）系统服务器发生故障，无法访问或无法使用系统；</w:t>
            </w:r>
          </w:p>
          <w:p w14:paraId="19B2837E">
            <w:pPr>
              <w:spacing w:line="360" w:lineRule="auto"/>
              <w:ind w:firstLine="420"/>
              <w:rPr>
                <w:rFonts w:ascii="宋体" w:hAnsi="宋体"/>
                <w:color w:val="auto"/>
                <w:sz w:val="21"/>
                <w:szCs w:val="21"/>
                <w:lang w:eastAsia="zh-CN"/>
              </w:rPr>
            </w:pPr>
            <w:r>
              <w:rPr>
                <w:rFonts w:hint="eastAsia" w:ascii="宋体" w:hAnsi="宋体"/>
                <w:color w:val="auto"/>
                <w:sz w:val="21"/>
                <w:szCs w:val="21"/>
                <w:lang w:eastAsia="zh-CN"/>
              </w:rPr>
              <w:t>（2）系统的软件或数据库出现错误，不能进行正常操作；</w:t>
            </w:r>
          </w:p>
          <w:p w14:paraId="706B3C22">
            <w:pPr>
              <w:spacing w:line="360" w:lineRule="auto"/>
              <w:ind w:firstLine="420"/>
              <w:rPr>
                <w:rFonts w:ascii="宋体" w:hAnsi="宋体"/>
                <w:color w:val="auto"/>
                <w:sz w:val="21"/>
                <w:szCs w:val="21"/>
                <w:lang w:eastAsia="zh-CN"/>
              </w:rPr>
            </w:pPr>
            <w:r>
              <w:rPr>
                <w:rFonts w:hint="eastAsia" w:ascii="宋体" w:hAnsi="宋体"/>
                <w:color w:val="auto"/>
                <w:sz w:val="21"/>
                <w:szCs w:val="21"/>
                <w:lang w:eastAsia="zh-CN"/>
              </w:rPr>
              <w:t>（3）系统发现有安全漏洞，有潜在的泄密危险；</w:t>
            </w:r>
          </w:p>
          <w:p w14:paraId="5CEEC981">
            <w:pPr>
              <w:spacing w:line="360" w:lineRule="auto"/>
              <w:ind w:firstLine="420"/>
              <w:rPr>
                <w:rFonts w:ascii="宋体" w:hAnsi="宋体"/>
                <w:color w:val="auto"/>
                <w:sz w:val="21"/>
                <w:szCs w:val="21"/>
                <w:lang w:eastAsia="zh-CN"/>
              </w:rPr>
            </w:pPr>
            <w:r>
              <w:rPr>
                <w:rFonts w:hint="eastAsia" w:ascii="宋体" w:hAnsi="宋体"/>
                <w:color w:val="auto"/>
                <w:sz w:val="21"/>
                <w:szCs w:val="21"/>
                <w:lang w:eastAsia="zh-CN"/>
              </w:rPr>
              <w:t>（4）出现断电事故且短时间内无法恢复供电的；</w:t>
            </w:r>
          </w:p>
          <w:p w14:paraId="4FB53C18">
            <w:pPr>
              <w:spacing w:line="360" w:lineRule="auto"/>
              <w:ind w:firstLine="420"/>
              <w:rPr>
                <w:rFonts w:ascii="宋体" w:hAnsi="宋体"/>
                <w:color w:val="auto"/>
                <w:sz w:val="21"/>
                <w:szCs w:val="21"/>
                <w:lang w:eastAsia="zh-CN"/>
              </w:rPr>
            </w:pPr>
            <w:r>
              <w:rPr>
                <w:rFonts w:hint="eastAsia" w:ascii="宋体" w:hAnsi="宋体"/>
                <w:color w:val="auto"/>
                <w:sz w:val="21"/>
                <w:szCs w:val="21"/>
                <w:lang w:eastAsia="zh-CN"/>
              </w:rPr>
              <w:t>（5）其他无法保证招投标过程正常进行的情形。</w:t>
            </w:r>
          </w:p>
          <w:p w14:paraId="76CF4393">
            <w:pPr>
              <w:spacing w:line="360" w:lineRule="auto"/>
              <w:ind w:firstLine="420" w:firstLineChars="200"/>
              <w:rPr>
                <w:rFonts w:ascii="宋体" w:hAnsi="宋体"/>
                <w:color w:val="auto"/>
                <w:sz w:val="21"/>
                <w:szCs w:val="21"/>
                <w:lang w:eastAsia="zh-CN"/>
              </w:rPr>
            </w:pPr>
            <w:r>
              <w:rPr>
                <w:rFonts w:ascii="宋体" w:hAnsi="宋体"/>
                <w:color w:val="auto"/>
                <w:sz w:val="21"/>
                <w:szCs w:val="21"/>
                <w:lang w:eastAsia="zh-CN"/>
              </w:rPr>
              <w:t>10</w:t>
            </w:r>
            <w:r>
              <w:rPr>
                <w:rFonts w:hint="eastAsia" w:ascii="宋体" w:hAnsi="宋体"/>
                <w:color w:val="auto"/>
                <w:sz w:val="21"/>
                <w:szCs w:val="21"/>
                <w:lang w:eastAsia="zh-CN"/>
              </w:rPr>
              <w:t>.</w:t>
            </w:r>
            <w:r>
              <w:rPr>
                <w:rFonts w:ascii="宋体" w:hAnsi="宋体"/>
                <w:color w:val="auto"/>
                <w:sz w:val="21"/>
                <w:szCs w:val="21"/>
                <w:lang w:eastAsia="zh-CN"/>
              </w:rPr>
              <w:t>4</w:t>
            </w:r>
            <w:r>
              <w:rPr>
                <w:rFonts w:hint="eastAsia" w:ascii="宋体" w:hAnsi="宋体"/>
                <w:color w:val="auto"/>
                <w:sz w:val="21"/>
                <w:szCs w:val="21"/>
                <w:lang w:eastAsia="zh-CN"/>
              </w:rPr>
              <w:t>.2采取补救措施时，必须对原有资料及信息作出妥善保密处理。</w:t>
            </w:r>
          </w:p>
          <w:p w14:paraId="08605CF6">
            <w:pPr>
              <w:spacing w:line="360" w:lineRule="auto"/>
              <w:ind w:firstLine="420" w:firstLineChars="200"/>
              <w:jc w:val="both"/>
              <w:rPr>
                <w:rFonts w:eastAsia="宋体"/>
                <w:color w:val="auto"/>
                <w:kern w:val="2"/>
                <w:sz w:val="21"/>
                <w:szCs w:val="21"/>
                <w:lang w:eastAsia="zh-CN" w:bidi="ar-SA"/>
              </w:rPr>
            </w:pPr>
            <w:r>
              <w:rPr>
                <w:rFonts w:hint="eastAsia" w:eastAsia="宋体"/>
                <w:color w:val="auto"/>
                <w:kern w:val="2"/>
                <w:sz w:val="21"/>
                <w:szCs w:val="21"/>
                <w:lang w:eastAsia="zh-CN" w:bidi="ar-SA"/>
              </w:rPr>
              <w:t>评标及补救措施：</w:t>
            </w:r>
          </w:p>
          <w:p w14:paraId="73DAF4E6">
            <w:pPr>
              <w:spacing w:line="360" w:lineRule="auto"/>
              <w:ind w:firstLine="420" w:firstLineChars="200"/>
              <w:rPr>
                <w:rFonts w:hint="eastAsia" w:ascii="宋体" w:hAnsi="宋体" w:eastAsia="宋体"/>
                <w:color w:val="auto"/>
                <w:sz w:val="21"/>
                <w:szCs w:val="21"/>
                <w:lang w:eastAsia="zh-CN" w:bidi="ar-SA"/>
              </w:rPr>
            </w:pPr>
            <w:r>
              <w:rPr>
                <w:rFonts w:hint="eastAsia" w:eastAsia="宋体"/>
                <w:color w:val="auto"/>
                <w:kern w:val="2"/>
                <w:sz w:val="21"/>
                <w:szCs w:val="21"/>
                <w:lang w:eastAsia="zh-CN" w:bidi="ar-SA"/>
              </w:rPr>
              <w:t>评标委员会按照本章第6.3.1项的规定在电子评标系统上开展评审工作。如果评标过程中出现异常情况，导致无法继续评审工作的，可暂停评标，对原有资料及信息作出妥善保密处理，待电子评标系统恢复正常之后，重新组织评审。</w:t>
            </w:r>
          </w:p>
        </w:tc>
      </w:tr>
      <w:tr w14:paraId="5A3E75ED">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273" w:hRule="exact"/>
          <w:jc w:val="center"/>
        </w:trPr>
        <w:tc>
          <w:tcPr>
            <w:tcW w:w="1048" w:type="dxa"/>
            <w:tcBorders>
              <w:top w:val="single" w:color="auto" w:sz="4" w:space="0"/>
              <w:left w:val="single" w:color="auto" w:sz="4" w:space="0"/>
              <w:bottom w:val="single" w:color="auto" w:sz="4" w:space="0"/>
              <w:right w:val="single" w:color="auto" w:sz="4" w:space="0"/>
              <w:tl2br w:val="nil"/>
              <w:tr2bl w:val="nil"/>
            </w:tcBorders>
            <w:vAlign w:val="center"/>
          </w:tcPr>
          <w:p w14:paraId="2D70B20F">
            <w:pPr>
              <w:jc w:val="center"/>
              <w:rPr>
                <w:rFonts w:eastAsia="宋体"/>
                <w:color w:val="auto"/>
                <w:sz w:val="21"/>
                <w:szCs w:val="21"/>
                <w:lang w:eastAsia="zh-CN" w:bidi="ar-SA"/>
              </w:rPr>
            </w:pPr>
            <w:r>
              <w:rPr>
                <w:rFonts w:hint="eastAsia" w:eastAsia="宋体"/>
                <w:color w:val="auto"/>
                <w:sz w:val="21"/>
                <w:szCs w:val="21"/>
                <w:lang w:eastAsia="zh-CN" w:bidi="ar-SA"/>
              </w:rPr>
              <w:t>10.5</w:t>
            </w:r>
          </w:p>
        </w:tc>
        <w:tc>
          <w:tcPr>
            <w:tcW w:w="8190" w:type="dxa"/>
            <w:gridSpan w:val="2"/>
            <w:tcBorders>
              <w:top w:val="single" w:color="auto" w:sz="4" w:space="0"/>
              <w:left w:val="single" w:color="auto" w:sz="4" w:space="0"/>
              <w:bottom w:val="single" w:color="auto" w:sz="4" w:space="0"/>
              <w:right w:val="single" w:color="auto" w:sz="4" w:space="0"/>
              <w:tl2br w:val="nil"/>
              <w:tr2bl w:val="nil"/>
            </w:tcBorders>
            <w:vAlign w:val="center"/>
          </w:tcPr>
          <w:p w14:paraId="576BB653">
            <w:pPr>
              <w:spacing w:line="360" w:lineRule="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付款方式：以18个月服务期为基数，按3个月/次进行支付(最后一个月的 20号为支付节点)，分6次等额支付至中标价的90%，剩余价款在工程结算后支付。</w:t>
            </w:r>
          </w:p>
        </w:tc>
      </w:tr>
      <w:tr w14:paraId="757F09E3">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4116" w:hRule="exact"/>
          <w:jc w:val="center"/>
        </w:trPr>
        <w:tc>
          <w:tcPr>
            <w:tcW w:w="1048" w:type="dxa"/>
            <w:tcBorders>
              <w:top w:val="single" w:color="auto" w:sz="4" w:space="0"/>
              <w:left w:val="single" w:color="auto" w:sz="4" w:space="0"/>
              <w:bottom w:val="single" w:color="auto" w:sz="4" w:space="0"/>
              <w:right w:val="single" w:color="auto" w:sz="4" w:space="0"/>
              <w:tl2br w:val="nil"/>
              <w:tr2bl w:val="nil"/>
            </w:tcBorders>
            <w:vAlign w:val="center"/>
          </w:tcPr>
          <w:p w14:paraId="293EF4E4">
            <w:pPr>
              <w:jc w:val="center"/>
              <w:rPr>
                <w:rFonts w:eastAsia="宋体"/>
                <w:color w:val="auto"/>
                <w:sz w:val="21"/>
                <w:szCs w:val="21"/>
                <w:lang w:eastAsia="zh-CN" w:bidi="ar-SA"/>
              </w:rPr>
            </w:pPr>
            <w:r>
              <w:rPr>
                <w:rFonts w:hint="eastAsia" w:eastAsia="宋体"/>
                <w:color w:val="auto"/>
                <w:sz w:val="21"/>
                <w:szCs w:val="21"/>
                <w:lang w:eastAsia="zh-CN" w:bidi="ar-SA"/>
              </w:rPr>
              <w:t>1</w:t>
            </w:r>
            <w:r>
              <w:rPr>
                <w:rFonts w:eastAsia="宋体"/>
                <w:color w:val="auto"/>
                <w:sz w:val="21"/>
                <w:szCs w:val="21"/>
                <w:lang w:eastAsia="zh-CN" w:bidi="ar-SA"/>
              </w:rPr>
              <w:t>0.</w:t>
            </w:r>
            <w:r>
              <w:rPr>
                <w:rFonts w:hint="eastAsia" w:eastAsia="宋体"/>
                <w:color w:val="auto"/>
                <w:sz w:val="21"/>
                <w:szCs w:val="21"/>
                <w:lang w:eastAsia="zh-CN" w:bidi="ar-SA"/>
              </w:rPr>
              <w:t>6</w:t>
            </w:r>
          </w:p>
        </w:tc>
        <w:tc>
          <w:tcPr>
            <w:tcW w:w="8190" w:type="dxa"/>
            <w:gridSpan w:val="2"/>
            <w:tcBorders>
              <w:top w:val="single" w:color="auto" w:sz="4" w:space="0"/>
              <w:left w:val="single" w:color="auto" w:sz="4" w:space="0"/>
              <w:bottom w:val="single" w:color="auto" w:sz="4" w:space="0"/>
              <w:right w:val="single" w:color="auto" w:sz="4" w:space="0"/>
              <w:tl2br w:val="nil"/>
              <w:tr2bl w:val="nil"/>
            </w:tcBorders>
            <w:vAlign w:val="center"/>
          </w:tcPr>
          <w:p w14:paraId="6F45A8F7">
            <w:pPr>
              <w:spacing w:line="360" w:lineRule="auto"/>
              <w:ind w:firstLine="420" w:firstLineChars="200"/>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投标人中标后，应在领取中标通知书时向招标人委托的招标代理单位支付招标代理费，该项费用已含入投标报价中，招标人不再单独支付。</w:t>
            </w:r>
          </w:p>
          <w:p w14:paraId="5E6FF946">
            <w:pPr>
              <w:spacing w:line="360" w:lineRule="auto"/>
              <w:ind w:firstLine="420" w:firstLineChars="200"/>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招标代理费以控制价为基数，采用差额定率累进法计算，按下表规定服务招标的相应费率计算后所得金额的75%即为招标代理费。</w:t>
            </w:r>
          </w:p>
          <w:tbl>
            <w:tblPr>
              <w:tblStyle w:val="47"/>
              <w:tblW w:w="7449" w:type="dxa"/>
              <w:jc w:val="center"/>
              <w:tblBorders>
                <w:top w:val="single" w:color="auto" w:sz="2" w:space="0"/>
                <w:left w:val="single" w:color="auto" w:sz="2" w:space="0"/>
                <w:bottom w:val="single" w:color="auto" w:sz="4"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2120"/>
              <w:gridCol w:w="1785"/>
              <w:gridCol w:w="1843"/>
              <w:gridCol w:w="1701"/>
            </w:tblGrid>
            <w:tr w14:paraId="0117204E">
              <w:tblPrEx>
                <w:tblBorders>
                  <w:top w:val="single" w:color="auto" w:sz="2" w:space="0"/>
                  <w:left w:val="single" w:color="auto" w:sz="2" w:space="0"/>
                  <w:bottom w:val="single" w:color="auto" w:sz="4"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tblHeader/>
                <w:jc w:val="center"/>
              </w:trPr>
              <w:tc>
                <w:tcPr>
                  <w:tcW w:w="2120" w:type="dxa"/>
                  <w:vAlign w:val="center"/>
                </w:tcPr>
                <w:p w14:paraId="08BAE1DA">
                  <w:pPr>
                    <w:jc w:val="center"/>
                    <w:rPr>
                      <w:rFonts w:hint="eastAsia" w:ascii="宋体" w:hAnsi="宋体" w:eastAsia="宋体" w:cs="宋体"/>
                      <w:color w:val="auto"/>
                      <w:sz w:val="21"/>
                      <w:szCs w:val="21"/>
                    </w:rPr>
                  </w:pPr>
                  <w:r>
                    <w:rPr>
                      <w:rFonts w:hint="eastAsia" w:ascii="宋体" w:hAnsi="宋体" w:eastAsia="宋体" w:cs="宋体"/>
                      <w:color w:val="auto"/>
                      <w:sz w:val="21"/>
                      <w:szCs w:val="21"/>
                    </w:rPr>
                    <w:t>金额（万元）</w:t>
                  </w:r>
                </w:p>
              </w:tc>
              <w:tc>
                <w:tcPr>
                  <w:tcW w:w="1785" w:type="dxa"/>
                  <w:vAlign w:val="center"/>
                </w:tcPr>
                <w:p w14:paraId="04771F7F">
                  <w:pPr>
                    <w:wordWrap w:val="0"/>
                    <w:jc w:val="center"/>
                    <w:rPr>
                      <w:rFonts w:hint="eastAsia" w:ascii="宋体" w:hAnsi="宋体" w:eastAsia="宋体" w:cs="宋体"/>
                      <w:color w:val="auto"/>
                      <w:sz w:val="21"/>
                      <w:szCs w:val="21"/>
                    </w:rPr>
                  </w:pPr>
                  <w:r>
                    <w:rPr>
                      <w:rFonts w:hint="eastAsia" w:ascii="宋体" w:hAnsi="宋体" w:eastAsia="宋体" w:cs="宋体"/>
                      <w:color w:val="auto"/>
                      <w:sz w:val="21"/>
                      <w:szCs w:val="21"/>
                    </w:rPr>
                    <w:t>货物招标费率</w:t>
                  </w:r>
                </w:p>
              </w:tc>
              <w:tc>
                <w:tcPr>
                  <w:tcW w:w="1843" w:type="dxa"/>
                  <w:vAlign w:val="center"/>
                </w:tcPr>
                <w:p w14:paraId="6900008F">
                  <w:pPr>
                    <w:wordWrap w:val="0"/>
                    <w:jc w:val="center"/>
                    <w:rPr>
                      <w:rFonts w:hint="eastAsia" w:ascii="宋体" w:hAnsi="宋体" w:eastAsia="宋体" w:cs="宋体"/>
                      <w:color w:val="auto"/>
                      <w:sz w:val="21"/>
                      <w:szCs w:val="21"/>
                    </w:rPr>
                  </w:pPr>
                  <w:r>
                    <w:rPr>
                      <w:rFonts w:hint="eastAsia" w:ascii="宋体" w:hAnsi="宋体" w:eastAsia="宋体" w:cs="宋体"/>
                      <w:color w:val="auto"/>
                      <w:sz w:val="21"/>
                      <w:szCs w:val="21"/>
                    </w:rPr>
                    <w:t>服务招标费率</w:t>
                  </w:r>
                </w:p>
              </w:tc>
              <w:tc>
                <w:tcPr>
                  <w:tcW w:w="1701" w:type="dxa"/>
                  <w:vAlign w:val="center"/>
                </w:tcPr>
                <w:p w14:paraId="40225B58">
                  <w:pPr>
                    <w:wordWrap w:val="0"/>
                    <w:jc w:val="center"/>
                    <w:rPr>
                      <w:rFonts w:hint="eastAsia" w:ascii="宋体" w:hAnsi="宋体" w:eastAsia="宋体" w:cs="宋体"/>
                      <w:color w:val="auto"/>
                      <w:sz w:val="21"/>
                      <w:szCs w:val="21"/>
                    </w:rPr>
                  </w:pPr>
                  <w:r>
                    <w:rPr>
                      <w:rFonts w:hint="eastAsia" w:ascii="宋体" w:hAnsi="宋体" w:eastAsia="宋体" w:cs="宋体"/>
                      <w:color w:val="auto"/>
                      <w:sz w:val="21"/>
                      <w:szCs w:val="21"/>
                    </w:rPr>
                    <w:t>工程招标费率</w:t>
                  </w:r>
                </w:p>
              </w:tc>
            </w:tr>
            <w:tr w14:paraId="4E3C3056">
              <w:tblPrEx>
                <w:tblBorders>
                  <w:top w:val="single" w:color="auto" w:sz="2" w:space="0"/>
                  <w:left w:val="single" w:color="auto" w:sz="2" w:space="0"/>
                  <w:bottom w:val="single" w:color="auto" w:sz="4"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tblHeader/>
                <w:jc w:val="center"/>
              </w:trPr>
              <w:tc>
                <w:tcPr>
                  <w:tcW w:w="2120" w:type="dxa"/>
                  <w:vAlign w:val="center"/>
                </w:tcPr>
                <w:p w14:paraId="6F3F01F0">
                  <w:pPr>
                    <w:wordWrap w:val="0"/>
                    <w:jc w:val="center"/>
                    <w:rPr>
                      <w:rFonts w:hint="eastAsia" w:ascii="宋体" w:hAnsi="宋体" w:eastAsia="宋体" w:cs="宋体"/>
                      <w:color w:val="auto"/>
                      <w:sz w:val="21"/>
                      <w:szCs w:val="21"/>
                    </w:rPr>
                  </w:pPr>
                  <w:r>
                    <w:rPr>
                      <w:rFonts w:hint="eastAsia" w:ascii="宋体" w:hAnsi="宋体" w:eastAsia="宋体" w:cs="宋体"/>
                      <w:color w:val="auto"/>
                      <w:sz w:val="21"/>
                      <w:szCs w:val="21"/>
                    </w:rPr>
                    <w:t>100以下</w:t>
                  </w:r>
                </w:p>
              </w:tc>
              <w:tc>
                <w:tcPr>
                  <w:tcW w:w="1785" w:type="dxa"/>
                  <w:vAlign w:val="center"/>
                </w:tcPr>
                <w:p w14:paraId="5F3A3778">
                  <w:pPr>
                    <w:wordWrap w:val="0"/>
                    <w:jc w:val="center"/>
                    <w:rPr>
                      <w:rFonts w:hint="eastAsia" w:ascii="宋体" w:hAnsi="宋体" w:eastAsia="宋体" w:cs="宋体"/>
                      <w:color w:val="auto"/>
                      <w:sz w:val="21"/>
                      <w:szCs w:val="21"/>
                    </w:rPr>
                  </w:pPr>
                  <w:r>
                    <w:rPr>
                      <w:rFonts w:hint="eastAsia" w:ascii="宋体" w:hAnsi="宋体" w:eastAsia="宋体" w:cs="宋体"/>
                      <w:color w:val="auto"/>
                      <w:sz w:val="21"/>
                      <w:szCs w:val="21"/>
                    </w:rPr>
                    <w:t>1</w:t>
                  </w:r>
                  <w:r>
                    <w:rPr>
                      <w:rFonts w:ascii="宋体" w:hAnsi="宋体" w:eastAsia="宋体" w:cs="宋体"/>
                      <w:color w:val="auto"/>
                      <w:sz w:val="21"/>
                      <w:szCs w:val="21"/>
                    </w:rPr>
                    <w:t>.5%</w:t>
                  </w:r>
                </w:p>
              </w:tc>
              <w:tc>
                <w:tcPr>
                  <w:tcW w:w="1843" w:type="dxa"/>
                  <w:vAlign w:val="center"/>
                </w:tcPr>
                <w:p w14:paraId="576ECF88">
                  <w:pPr>
                    <w:wordWrap w:val="0"/>
                    <w:jc w:val="center"/>
                    <w:rPr>
                      <w:rFonts w:hint="eastAsia" w:ascii="宋体" w:hAnsi="宋体" w:eastAsia="宋体" w:cs="宋体"/>
                      <w:color w:val="auto"/>
                      <w:sz w:val="21"/>
                      <w:szCs w:val="21"/>
                    </w:rPr>
                  </w:pPr>
                  <w:r>
                    <w:rPr>
                      <w:rFonts w:hint="eastAsia" w:ascii="宋体" w:hAnsi="宋体" w:eastAsia="宋体" w:cs="宋体"/>
                      <w:color w:val="auto"/>
                      <w:sz w:val="21"/>
                      <w:szCs w:val="21"/>
                    </w:rPr>
                    <w:t>1.5%</w:t>
                  </w:r>
                </w:p>
              </w:tc>
              <w:tc>
                <w:tcPr>
                  <w:tcW w:w="1701" w:type="dxa"/>
                  <w:vAlign w:val="center"/>
                </w:tcPr>
                <w:p w14:paraId="511C858C">
                  <w:pPr>
                    <w:wordWrap w:val="0"/>
                    <w:jc w:val="center"/>
                    <w:rPr>
                      <w:rFonts w:hint="eastAsia" w:ascii="宋体" w:hAnsi="宋体" w:eastAsia="宋体" w:cs="宋体"/>
                      <w:color w:val="auto"/>
                      <w:sz w:val="21"/>
                      <w:szCs w:val="21"/>
                    </w:rPr>
                  </w:pPr>
                  <w:r>
                    <w:rPr>
                      <w:rFonts w:hint="eastAsia" w:ascii="宋体" w:hAnsi="宋体" w:eastAsia="宋体" w:cs="宋体"/>
                      <w:color w:val="auto"/>
                      <w:sz w:val="21"/>
                      <w:szCs w:val="21"/>
                    </w:rPr>
                    <w:t>1</w:t>
                  </w:r>
                  <w:r>
                    <w:rPr>
                      <w:rFonts w:ascii="宋体" w:hAnsi="宋体" w:eastAsia="宋体" w:cs="宋体"/>
                      <w:color w:val="auto"/>
                      <w:sz w:val="21"/>
                      <w:szCs w:val="21"/>
                    </w:rPr>
                    <w:t>.0%</w:t>
                  </w:r>
                </w:p>
              </w:tc>
            </w:tr>
            <w:tr w14:paraId="7B5ACA42">
              <w:tblPrEx>
                <w:tblBorders>
                  <w:top w:val="single" w:color="auto" w:sz="2" w:space="0"/>
                  <w:left w:val="single" w:color="auto" w:sz="2" w:space="0"/>
                  <w:bottom w:val="single" w:color="auto" w:sz="4"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tblHeader/>
                <w:jc w:val="center"/>
              </w:trPr>
              <w:tc>
                <w:tcPr>
                  <w:tcW w:w="2120" w:type="dxa"/>
                  <w:vAlign w:val="center"/>
                </w:tcPr>
                <w:p w14:paraId="77AC37C6">
                  <w:pPr>
                    <w:wordWrap w:val="0"/>
                    <w:jc w:val="center"/>
                    <w:rPr>
                      <w:rFonts w:hint="eastAsia" w:ascii="宋体" w:hAnsi="宋体" w:eastAsia="宋体" w:cs="宋体"/>
                      <w:color w:val="auto"/>
                      <w:sz w:val="21"/>
                      <w:szCs w:val="21"/>
                    </w:rPr>
                  </w:pPr>
                  <w:r>
                    <w:rPr>
                      <w:rFonts w:hint="eastAsia" w:ascii="宋体" w:hAnsi="宋体" w:eastAsia="宋体" w:cs="宋体"/>
                      <w:color w:val="auto"/>
                      <w:sz w:val="21"/>
                      <w:szCs w:val="21"/>
                      <w:lang w:eastAsia="zh-CN"/>
                    </w:rPr>
                    <w:t>100-500</w:t>
                  </w:r>
                </w:p>
              </w:tc>
              <w:tc>
                <w:tcPr>
                  <w:tcW w:w="1785" w:type="dxa"/>
                  <w:vAlign w:val="center"/>
                </w:tcPr>
                <w:p w14:paraId="24E495C0">
                  <w:pPr>
                    <w:wordWrap w:val="0"/>
                    <w:jc w:val="center"/>
                    <w:rPr>
                      <w:rFonts w:hint="eastAsia" w:ascii="宋体" w:hAnsi="宋体" w:eastAsia="宋体" w:cs="宋体"/>
                      <w:color w:val="auto"/>
                      <w:sz w:val="21"/>
                      <w:szCs w:val="21"/>
                    </w:rPr>
                  </w:pPr>
                  <w:r>
                    <w:rPr>
                      <w:rFonts w:hint="eastAsia" w:ascii="宋体" w:hAnsi="宋体" w:eastAsia="宋体" w:cs="宋体"/>
                      <w:color w:val="auto"/>
                      <w:sz w:val="21"/>
                      <w:szCs w:val="21"/>
                      <w:lang w:eastAsia="zh-CN"/>
                    </w:rPr>
                    <w:t>1.1%</w:t>
                  </w:r>
                </w:p>
              </w:tc>
              <w:tc>
                <w:tcPr>
                  <w:tcW w:w="1843" w:type="dxa"/>
                  <w:vAlign w:val="center"/>
                </w:tcPr>
                <w:p w14:paraId="7051B319">
                  <w:pPr>
                    <w:wordWrap w:val="0"/>
                    <w:jc w:val="center"/>
                    <w:rPr>
                      <w:rFonts w:hint="eastAsia" w:ascii="宋体" w:hAnsi="宋体" w:eastAsia="宋体" w:cs="宋体"/>
                      <w:color w:val="auto"/>
                      <w:sz w:val="21"/>
                      <w:szCs w:val="21"/>
                    </w:rPr>
                  </w:pPr>
                  <w:r>
                    <w:rPr>
                      <w:rFonts w:hint="eastAsia" w:ascii="宋体" w:hAnsi="宋体" w:eastAsia="宋体" w:cs="宋体"/>
                      <w:color w:val="auto"/>
                      <w:sz w:val="21"/>
                      <w:szCs w:val="21"/>
                      <w:lang w:eastAsia="zh-CN"/>
                    </w:rPr>
                    <w:t>0.8%</w:t>
                  </w:r>
                </w:p>
              </w:tc>
              <w:tc>
                <w:tcPr>
                  <w:tcW w:w="1701" w:type="dxa"/>
                  <w:vAlign w:val="center"/>
                </w:tcPr>
                <w:p w14:paraId="0950C9CF">
                  <w:pPr>
                    <w:wordWrap w:val="0"/>
                    <w:jc w:val="center"/>
                    <w:rPr>
                      <w:rFonts w:hint="eastAsia" w:ascii="宋体" w:hAnsi="宋体" w:eastAsia="宋体" w:cs="宋体"/>
                      <w:color w:val="auto"/>
                      <w:sz w:val="21"/>
                      <w:szCs w:val="21"/>
                    </w:rPr>
                  </w:pPr>
                  <w:r>
                    <w:rPr>
                      <w:rFonts w:hint="eastAsia" w:ascii="宋体" w:hAnsi="宋体" w:eastAsia="宋体" w:cs="宋体"/>
                      <w:color w:val="auto"/>
                      <w:sz w:val="21"/>
                      <w:szCs w:val="21"/>
                      <w:lang w:eastAsia="zh-CN"/>
                    </w:rPr>
                    <w:t>0.7%</w:t>
                  </w:r>
                </w:p>
              </w:tc>
            </w:tr>
          </w:tbl>
          <w:p w14:paraId="76174355">
            <w:pPr>
              <w:spacing w:line="360" w:lineRule="auto"/>
              <w:ind w:firstLine="420" w:firstLineChars="200"/>
              <w:rPr>
                <w:rFonts w:hint="eastAsia" w:ascii="宋体" w:hAnsi="宋体" w:eastAsia="宋体" w:cs="宋体"/>
                <w:color w:val="auto"/>
                <w:sz w:val="21"/>
                <w:szCs w:val="21"/>
                <w:lang w:eastAsia="zh-CN"/>
              </w:rPr>
            </w:pPr>
          </w:p>
        </w:tc>
      </w:tr>
    </w:tbl>
    <w:p w14:paraId="25AB4CF7">
      <w:pPr>
        <w:widowControl/>
        <w:rPr>
          <w:rFonts w:eastAsia="宋体" w:cs="宋体"/>
          <w:color w:val="auto"/>
          <w:lang w:eastAsia="zh-CN" w:bidi="ar-SA"/>
        </w:rPr>
      </w:pPr>
    </w:p>
    <w:p w14:paraId="1AE63CE5">
      <w:pPr>
        <w:spacing w:line="360" w:lineRule="auto"/>
        <w:jc w:val="center"/>
        <w:rPr>
          <w:rFonts w:eastAsia="黑体" w:cs="宋体"/>
          <w:color w:val="auto"/>
          <w:sz w:val="28"/>
          <w:szCs w:val="28"/>
          <w:lang w:eastAsia="zh-CN" w:bidi="ar-SA"/>
        </w:rPr>
        <w:sectPr>
          <w:footnotePr>
            <w:numFmt w:val="decimalEnclosedCircleChinese"/>
            <w:numRestart w:val="eachPage"/>
          </w:footnotePr>
          <w:pgSz w:w="11906" w:h="16838"/>
          <w:pgMar w:top="1418" w:right="1588" w:bottom="1418" w:left="1588" w:header="680" w:footer="992" w:gutter="0"/>
          <w:cols w:space="720" w:num="1"/>
          <w:docGrid w:linePitch="326" w:charSpace="0"/>
        </w:sectPr>
      </w:pPr>
    </w:p>
    <w:p w14:paraId="2066B633">
      <w:pPr>
        <w:keepNext/>
        <w:keepLines/>
        <w:spacing w:before="260" w:after="260" w:line="412" w:lineRule="auto"/>
        <w:jc w:val="both"/>
        <w:outlineLvl w:val="1"/>
        <w:rPr>
          <w:rFonts w:eastAsia="黑体"/>
          <w:b/>
          <w:color w:val="auto"/>
          <w:kern w:val="2"/>
          <w:sz w:val="32"/>
          <w:szCs w:val="20"/>
          <w:lang w:eastAsia="zh-CN" w:bidi="ar-SA"/>
        </w:rPr>
      </w:pPr>
      <w:bookmarkStart w:id="53" w:name="_Toc11819"/>
      <w:bookmarkStart w:id="54" w:name="_Toc492300564"/>
      <w:bookmarkStart w:id="55" w:name="_Toc483561571"/>
      <w:bookmarkStart w:id="56" w:name="_Toc504633889"/>
      <w:bookmarkStart w:id="57" w:name="_Toc431650865"/>
      <w:bookmarkStart w:id="58" w:name="_Toc432172128"/>
      <w:r>
        <w:rPr>
          <w:rFonts w:eastAsia="黑体"/>
          <w:b/>
          <w:color w:val="auto"/>
          <w:kern w:val="2"/>
          <w:sz w:val="32"/>
          <w:szCs w:val="20"/>
          <w:lang w:eastAsia="zh-CN" w:bidi="ar-SA"/>
        </w:rPr>
        <w:t>1. 总则</w:t>
      </w:r>
      <w:bookmarkEnd w:id="53"/>
      <w:bookmarkEnd w:id="54"/>
    </w:p>
    <w:p w14:paraId="1F6876C1">
      <w:pPr>
        <w:keepNext/>
        <w:keepLines/>
        <w:spacing w:before="260" w:after="260"/>
        <w:ind w:firstLine="137" w:firstLineChars="49"/>
        <w:jc w:val="both"/>
        <w:outlineLvl w:val="2"/>
        <w:rPr>
          <w:rFonts w:eastAsia="黑体"/>
          <w:color w:val="auto"/>
          <w:kern w:val="2"/>
          <w:sz w:val="28"/>
          <w:szCs w:val="20"/>
          <w:lang w:eastAsia="zh-CN" w:bidi="ar-SA"/>
        </w:rPr>
      </w:pPr>
      <w:bookmarkStart w:id="59" w:name="_Toc18234"/>
      <w:bookmarkStart w:id="60" w:name="_Toc492300565"/>
      <w:r>
        <w:rPr>
          <w:rFonts w:eastAsia="黑体"/>
          <w:color w:val="auto"/>
          <w:kern w:val="2"/>
          <w:sz w:val="28"/>
          <w:szCs w:val="20"/>
          <w:lang w:eastAsia="zh-CN" w:bidi="ar-SA"/>
        </w:rPr>
        <w:t>1.1 招标项目概况</w:t>
      </w:r>
      <w:bookmarkEnd w:id="59"/>
      <w:bookmarkEnd w:id="60"/>
    </w:p>
    <w:p w14:paraId="05A094BF">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1.1.1根据《中华人民共和国招标投标法》、《中华人民共和国招标投标法实施条例》等有关法律、法规和规章的规定，本招标项目已具备招标条件，现对监理进行招标。</w:t>
      </w:r>
    </w:p>
    <w:p w14:paraId="7C771390">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1.1.2 招标人：见投标人须知前附表。</w:t>
      </w:r>
    </w:p>
    <w:p w14:paraId="7F3673A5">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1.1.3 招标代理机构：见投标人须知前附表。</w:t>
      </w:r>
    </w:p>
    <w:p w14:paraId="66FF765A">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1.1.4 招标项目名称：见投标人须知前附表。</w:t>
      </w:r>
    </w:p>
    <w:p w14:paraId="716C4CCF">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1.1.5 项目建设地点：见投标人须知前附表。</w:t>
      </w:r>
    </w:p>
    <w:p w14:paraId="62CB938A">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1.1.6 项目建设规模：见投标人须知前附表。</w:t>
      </w:r>
    </w:p>
    <w:p w14:paraId="36E7F62A">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 xml:space="preserve">1.1.7 </w:t>
      </w:r>
      <w:r>
        <w:rPr>
          <w:rFonts w:hint="eastAsia" w:eastAsia="宋体"/>
          <w:color w:val="auto"/>
          <w:kern w:val="2"/>
          <w:sz w:val="21"/>
          <w:szCs w:val="22"/>
          <w:lang w:eastAsia="zh-CN" w:bidi="ar-SA"/>
        </w:rPr>
        <w:t>工程项目施工预计开工日期和建设周期：见投标人须知前附表。</w:t>
      </w:r>
    </w:p>
    <w:p w14:paraId="7BDB8BB6">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 xml:space="preserve">1.1.8 </w:t>
      </w:r>
      <w:r>
        <w:rPr>
          <w:rFonts w:hint="eastAsia" w:eastAsia="宋体"/>
          <w:color w:val="auto"/>
          <w:kern w:val="2"/>
          <w:sz w:val="21"/>
          <w:szCs w:val="22"/>
          <w:lang w:eastAsia="zh-CN" w:bidi="ar-SA"/>
        </w:rPr>
        <w:t>建筑安装工程费</w:t>
      </w:r>
      <w:r>
        <w:rPr>
          <w:rFonts w:eastAsia="宋体"/>
          <w:color w:val="auto"/>
          <w:kern w:val="2"/>
          <w:sz w:val="21"/>
          <w:szCs w:val="22"/>
          <w:lang w:eastAsia="zh-CN" w:bidi="ar-SA"/>
        </w:rPr>
        <w:t>/</w:t>
      </w:r>
      <w:r>
        <w:rPr>
          <w:rFonts w:hint="eastAsia" w:eastAsia="宋体"/>
          <w:color w:val="auto"/>
          <w:kern w:val="2"/>
          <w:sz w:val="21"/>
          <w:szCs w:val="22"/>
          <w:lang w:eastAsia="zh-CN" w:bidi="ar-SA"/>
        </w:rPr>
        <w:t>工程概算：见投标人须知前附表。</w:t>
      </w:r>
    </w:p>
    <w:p w14:paraId="308BB8E2">
      <w:pPr>
        <w:keepNext/>
        <w:keepLines/>
        <w:spacing w:before="260" w:after="260"/>
        <w:ind w:firstLine="137" w:firstLineChars="49"/>
        <w:jc w:val="both"/>
        <w:outlineLvl w:val="2"/>
        <w:rPr>
          <w:rFonts w:eastAsia="黑体"/>
          <w:color w:val="auto"/>
          <w:kern w:val="2"/>
          <w:sz w:val="28"/>
          <w:szCs w:val="20"/>
          <w:lang w:eastAsia="zh-CN" w:bidi="ar-SA"/>
        </w:rPr>
      </w:pPr>
      <w:bookmarkStart w:id="61" w:name="_Toc492300566"/>
      <w:bookmarkStart w:id="62" w:name="_Toc11306"/>
      <w:r>
        <w:rPr>
          <w:rFonts w:eastAsia="黑体"/>
          <w:color w:val="auto"/>
          <w:kern w:val="2"/>
          <w:sz w:val="28"/>
          <w:szCs w:val="20"/>
          <w:lang w:eastAsia="zh-CN" w:bidi="ar-SA"/>
        </w:rPr>
        <w:t>1.2 招标项目的资金来源和落实情况</w:t>
      </w:r>
      <w:bookmarkEnd w:id="61"/>
      <w:bookmarkEnd w:id="62"/>
    </w:p>
    <w:p w14:paraId="7B408200">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1.2.1 资金来源及比例：见投标人须知前附表。</w:t>
      </w:r>
    </w:p>
    <w:p w14:paraId="74C83A46">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1.2.2 资金落实情况：见投标人须知前附表。</w:t>
      </w:r>
    </w:p>
    <w:p w14:paraId="40708E6F">
      <w:pPr>
        <w:keepNext/>
        <w:keepLines/>
        <w:spacing w:before="260" w:after="260"/>
        <w:ind w:firstLine="137" w:firstLineChars="49"/>
        <w:jc w:val="both"/>
        <w:outlineLvl w:val="2"/>
        <w:rPr>
          <w:rFonts w:eastAsia="黑体"/>
          <w:color w:val="auto"/>
          <w:kern w:val="2"/>
          <w:sz w:val="28"/>
          <w:szCs w:val="20"/>
          <w:lang w:eastAsia="zh-CN" w:bidi="ar-SA"/>
        </w:rPr>
      </w:pPr>
      <w:bookmarkStart w:id="63" w:name="_Toc492300567"/>
      <w:bookmarkStart w:id="64" w:name="_Toc30515"/>
      <w:r>
        <w:rPr>
          <w:rFonts w:eastAsia="黑体"/>
          <w:color w:val="auto"/>
          <w:kern w:val="2"/>
          <w:sz w:val="28"/>
          <w:szCs w:val="20"/>
          <w:lang w:eastAsia="zh-CN" w:bidi="ar-SA"/>
        </w:rPr>
        <w:t>1.3招标范围、监理服务期限和质量标准</w:t>
      </w:r>
      <w:bookmarkEnd w:id="63"/>
      <w:bookmarkEnd w:id="64"/>
    </w:p>
    <w:p w14:paraId="39150DAB">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1.3.1 招标范围：见投标人须知前附表。</w:t>
      </w:r>
    </w:p>
    <w:p w14:paraId="77BA2EB0">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1.3.2 监理服务期限：见投标人须知前附表。</w:t>
      </w:r>
    </w:p>
    <w:p w14:paraId="3C9E0069">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1.3.3 质量标准：见投标人须知前附表。</w:t>
      </w:r>
    </w:p>
    <w:p w14:paraId="14829A55">
      <w:pPr>
        <w:keepNext/>
        <w:keepLines/>
        <w:spacing w:before="260" w:after="260"/>
        <w:ind w:firstLine="137" w:firstLineChars="49"/>
        <w:jc w:val="both"/>
        <w:outlineLvl w:val="2"/>
        <w:rPr>
          <w:rFonts w:eastAsia="黑体"/>
          <w:color w:val="auto"/>
          <w:kern w:val="2"/>
          <w:sz w:val="28"/>
          <w:szCs w:val="20"/>
          <w:lang w:eastAsia="zh-CN" w:bidi="ar-SA"/>
        </w:rPr>
      </w:pPr>
      <w:bookmarkStart w:id="65" w:name="_Toc18938"/>
      <w:bookmarkStart w:id="66" w:name="_Toc492300568"/>
      <w:r>
        <w:rPr>
          <w:rFonts w:eastAsia="黑体"/>
          <w:color w:val="auto"/>
          <w:kern w:val="2"/>
          <w:sz w:val="28"/>
          <w:szCs w:val="20"/>
          <w:lang w:eastAsia="zh-CN" w:bidi="ar-SA"/>
        </w:rPr>
        <w:t>1.4投标人资格要求</w:t>
      </w:r>
      <w:bookmarkEnd w:id="65"/>
      <w:bookmarkEnd w:id="66"/>
    </w:p>
    <w:p w14:paraId="71676EB7">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1.4.1 投标人应具备承担本招标项目资质条件、能力和信誉：</w:t>
      </w:r>
    </w:p>
    <w:p w14:paraId="280F5965">
      <w:pPr>
        <w:spacing w:line="400" w:lineRule="exact"/>
        <w:ind w:firstLine="315" w:firstLineChars="150"/>
        <w:jc w:val="both"/>
        <w:rPr>
          <w:rFonts w:eastAsia="宋体"/>
          <w:color w:val="auto"/>
          <w:kern w:val="2"/>
          <w:sz w:val="21"/>
          <w:szCs w:val="22"/>
          <w:lang w:eastAsia="zh-CN" w:bidi="ar-SA"/>
        </w:rPr>
      </w:pPr>
      <w:r>
        <w:rPr>
          <w:rFonts w:eastAsia="宋体"/>
          <w:color w:val="auto"/>
          <w:kern w:val="2"/>
          <w:sz w:val="21"/>
          <w:szCs w:val="22"/>
          <w:lang w:eastAsia="zh-CN" w:bidi="ar-SA"/>
        </w:rPr>
        <w:t>（1）资质要求：见投标人须知前附表；</w:t>
      </w:r>
    </w:p>
    <w:p w14:paraId="6FE5355B">
      <w:pPr>
        <w:spacing w:line="400" w:lineRule="exact"/>
        <w:ind w:firstLine="315" w:firstLineChars="150"/>
        <w:jc w:val="both"/>
        <w:rPr>
          <w:rFonts w:eastAsia="宋体"/>
          <w:color w:val="auto"/>
          <w:kern w:val="2"/>
          <w:sz w:val="21"/>
          <w:szCs w:val="22"/>
          <w:lang w:eastAsia="zh-CN" w:bidi="ar-SA"/>
        </w:rPr>
      </w:pPr>
      <w:r>
        <w:rPr>
          <w:rFonts w:eastAsia="宋体"/>
          <w:color w:val="auto"/>
          <w:kern w:val="2"/>
          <w:sz w:val="21"/>
          <w:szCs w:val="22"/>
          <w:lang w:eastAsia="zh-CN" w:bidi="ar-SA"/>
        </w:rPr>
        <w:t>（2）财务要求：见投标人须知前附表；</w:t>
      </w:r>
    </w:p>
    <w:p w14:paraId="473CD0B4">
      <w:pPr>
        <w:spacing w:line="400" w:lineRule="exact"/>
        <w:ind w:firstLine="315" w:firstLineChars="150"/>
        <w:jc w:val="both"/>
        <w:rPr>
          <w:rFonts w:eastAsia="宋体"/>
          <w:color w:val="auto"/>
          <w:kern w:val="2"/>
          <w:sz w:val="21"/>
          <w:szCs w:val="22"/>
          <w:lang w:eastAsia="zh-CN" w:bidi="ar-SA"/>
        </w:rPr>
      </w:pPr>
      <w:r>
        <w:rPr>
          <w:rFonts w:eastAsia="宋体"/>
          <w:color w:val="auto"/>
          <w:kern w:val="2"/>
          <w:sz w:val="21"/>
          <w:szCs w:val="22"/>
          <w:lang w:eastAsia="zh-CN" w:bidi="ar-SA"/>
        </w:rPr>
        <w:t>（3）业绩要求：见投标人须知前附表；</w:t>
      </w:r>
    </w:p>
    <w:p w14:paraId="031F71EB">
      <w:pPr>
        <w:spacing w:line="400" w:lineRule="exact"/>
        <w:ind w:firstLine="315" w:firstLineChars="150"/>
        <w:jc w:val="both"/>
        <w:rPr>
          <w:rFonts w:eastAsia="宋体"/>
          <w:color w:val="auto"/>
          <w:kern w:val="2"/>
          <w:sz w:val="21"/>
          <w:szCs w:val="22"/>
          <w:lang w:eastAsia="zh-CN" w:bidi="ar-SA"/>
        </w:rPr>
      </w:pPr>
      <w:r>
        <w:rPr>
          <w:rFonts w:eastAsia="宋体"/>
          <w:color w:val="auto"/>
          <w:kern w:val="2"/>
          <w:sz w:val="21"/>
          <w:szCs w:val="22"/>
          <w:lang w:eastAsia="zh-CN" w:bidi="ar-SA"/>
        </w:rPr>
        <w:t>（4）信誉要求：见投标人须知前附表；</w:t>
      </w:r>
    </w:p>
    <w:p w14:paraId="686206C1">
      <w:pPr>
        <w:spacing w:line="400" w:lineRule="exact"/>
        <w:ind w:firstLine="315" w:firstLineChars="150"/>
        <w:jc w:val="both"/>
        <w:rPr>
          <w:rFonts w:eastAsia="宋体"/>
          <w:color w:val="auto"/>
          <w:kern w:val="2"/>
          <w:sz w:val="21"/>
          <w:szCs w:val="22"/>
          <w:lang w:eastAsia="zh-CN" w:bidi="ar-SA"/>
        </w:rPr>
      </w:pPr>
      <w:r>
        <w:rPr>
          <w:rFonts w:eastAsia="宋体"/>
          <w:color w:val="auto"/>
          <w:kern w:val="2"/>
          <w:sz w:val="21"/>
          <w:szCs w:val="22"/>
          <w:lang w:eastAsia="zh-CN" w:bidi="ar-SA"/>
        </w:rPr>
        <w:t>（5）总监理工程师的资格要求：应当具备工程注册监理工程师执业资格</w:t>
      </w:r>
      <w:r>
        <w:rPr>
          <w:rFonts w:hint="eastAsia" w:eastAsia="宋体"/>
          <w:color w:val="auto"/>
          <w:kern w:val="2"/>
          <w:sz w:val="21"/>
          <w:szCs w:val="22"/>
          <w:lang w:eastAsia="zh-CN" w:bidi="ar-SA"/>
        </w:rPr>
        <w:t>（如有）</w:t>
      </w:r>
      <w:r>
        <w:rPr>
          <w:rFonts w:eastAsia="宋体"/>
          <w:color w:val="auto"/>
          <w:kern w:val="2"/>
          <w:sz w:val="21"/>
          <w:szCs w:val="22"/>
          <w:lang w:eastAsia="zh-CN" w:bidi="ar-SA"/>
        </w:rPr>
        <w:t>，具体要求见投标人须知前附表；</w:t>
      </w:r>
    </w:p>
    <w:p w14:paraId="13AA17C6">
      <w:pPr>
        <w:spacing w:line="400" w:lineRule="exact"/>
        <w:ind w:firstLine="315" w:firstLineChars="150"/>
        <w:jc w:val="both"/>
        <w:rPr>
          <w:rFonts w:eastAsia="宋体"/>
          <w:color w:val="auto"/>
          <w:kern w:val="2"/>
          <w:sz w:val="21"/>
          <w:szCs w:val="22"/>
          <w:lang w:eastAsia="zh-CN" w:bidi="ar-SA"/>
        </w:rPr>
      </w:pPr>
      <w:r>
        <w:rPr>
          <w:rFonts w:eastAsia="宋体"/>
          <w:color w:val="auto"/>
          <w:kern w:val="2"/>
          <w:sz w:val="21"/>
          <w:szCs w:val="22"/>
          <w:lang w:eastAsia="zh-CN" w:bidi="ar-SA"/>
        </w:rPr>
        <w:t>（6）其他主要人员要求：见投标人须知前附表。</w:t>
      </w:r>
    </w:p>
    <w:p w14:paraId="7F5EC27F">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需要提交的相关证明材料见本章第3.5款的规定。</w:t>
      </w:r>
    </w:p>
    <w:p w14:paraId="71586B7C">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1.4.2投标人须知前附表规定接受联合体投标的，联合体除应符合本章第1.4.1项和投标人须知前附表的要求外，还应遵守以下规定：</w:t>
      </w:r>
    </w:p>
    <w:p w14:paraId="68205CDF">
      <w:pPr>
        <w:spacing w:line="400" w:lineRule="exact"/>
        <w:ind w:firstLine="315" w:firstLineChars="150"/>
        <w:jc w:val="both"/>
        <w:rPr>
          <w:rFonts w:eastAsia="宋体"/>
          <w:color w:val="auto"/>
          <w:kern w:val="2"/>
          <w:sz w:val="21"/>
          <w:szCs w:val="22"/>
          <w:lang w:eastAsia="zh-CN" w:bidi="ar-SA"/>
        </w:rPr>
      </w:pPr>
      <w:r>
        <w:rPr>
          <w:rFonts w:eastAsia="宋体"/>
          <w:color w:val="auto"/>
          <w:kern w:val="2"/>
          <w:sz w:val="21"/>
          <w:szCs w:val="22"/>
          <w:lang w:eastAsia="zh-CN" w:bidi="ar-SA"/>
        </w:rPr>
        <w:t>（1）联合体各方应按招标文件提供的格式签订联合体协议书，明确联合体牵头人和各方权利义务，并承诺就中标项目向招标人承担连带责任；</w:t>
      </w:r>
    </w:p>
    <w:p w14:paraId="3C97B559">
      <w:pPr>
        <w:spacing w:line="400" w:lineRule="exact"/>
        <w:ind w:firstLine="315" w:firstLineChars="150"/>
        <w:jc w:val="both"/>
        <w:rPr>
          <w:rFonts w:eastAsia="宋体"/>
          <w:color w:val="auto"/>
          <w:kern w:val="2"/>
          <w:sz w:val="21"/>
          <w:szCs w:val="22"/>
          <w:lang w:eastAsia="zh-CN" w:bidi="ar-SA"/>
        </w:rPr>
      </w:pPr>
      <w:r>
        <w:rPr>
          <w:rFonts w:eastAsia="宋体"/>
          <w:color w:val="auto"/>
          <w:kern w:val="2"/>
          <w:sz w:val="21"/>
          <w:szCs w:val="22"/>
          <w:lang w:eastAsia="zh-CN" w:bidi="ar-SA"/>
        </w:rPr>
        <w:t>（2）由同一专业的单位组成的联合体，按照资质等级较低的单位确定资质等级；</w:t>
      </w:r>
    </w:p>
    <w:p w14:paraId="2314E51C">
      <w:pPr>
        <w:spacing w:line="400" w:lineRule="exact"/>
        <w:ind w:firstLine="315" w:firstLineChars="150"/>
        <w:jc w:val="both"/>
        <w:rPr>
          <w:rFonts w:eastAsia="宋体"/>
          <w:color w:val="auto"/>
          <w:kern w:val="2"/>
          <w:sz w:val="21"/>
          <w:szCs w:val="22"/>
          <w:lang w:eastAsia="zh-CN" w:bidi="ar-SA"/>
        </w:rPr>
      </w:pPr>
      <w:r>
        <w:rPr>
          <w:rFonts w:eastAsia="宋体"/>
          <w:color w:val="auto"/>
          <w:kern w:val="2"/>
          <w:sz w:val="21"/>
          <w:szCs w:val="22"/>
          <w:lang w:eastAsia="zh-CN" w:bidi="ar-SA"/>
        </w:rPr>
        <w:t>（3）联合体各方不得再以自己名义单独或参加其他联合体在本招标项目中投标，否则各相关投标均无效。</w:t>
      </w:r>
    </w:p>
    <w:p w14:paraId="73A62B7A">
      <w:pPr>
        <w:spacing w:line="400" w:lineRule="exact"/>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1.4.3 投标人不得存在下列情形之一：</w:t>
      </w:r>
    </w:p>
    <w:p w14:paraId="48DECC06">
      <w:pPr>
        <w:spacing w:line="400" w:lineRule="exact"/>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（1）为招标人不具有独立法人资格的附属机构（单位）；</w:t>
      </w:r>
    </w:p>
    <w:p w14:paraId="2645E0D1">
      <w:pPr>
        <w:spacing w:line="400" w:lineRule="exact"/>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（2）与招标人存在利害关系且可能影响招标公正性；</w:t>
      </w:r>
    </w:p>
    <w:p w14:paraId="61CE7536">
      <w:pPr>
        <w:spacing w:line="400" w:lineRule="exact"/>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（3）与本招标项目的其他投标人为同一个单位负责人；</w:t>
      </w:r>
    </w:p>
    <w:p w14:paraId="487376CD">
      <w:pPr>
        <w:spacing w:line="400" w:lineRule="exact"/>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（4）与本招标项目的其他投标人存在控股、管理关系；</w:t>
      </w:r>
    </w:p>
    <w:p w14:paraId="10A17CAE">
      <w:pPr>
        <w:spacing w:line="400" w:lineRule="exact"/>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（5）为本招标项目的代建人；</w:t>
      </w:r>
    </w:p>
    <w:p w14:paraId="1E38C966">
      <w:pPr>
        <w:spacing w:line="400" w:lineRule="exact"/>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（6）为本招标项目的招标代理机构；</w:t>
      </w:r>
    </w:p>
    <w:p w14:paraId="03930BA6">
      <w:pPr>
        <w:spacing w:line="400" w:lineRule="exact"/>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（7）与本招标项目的代建人或招标代理机构同为一个法定代表人；</w:t>
      </w:r>
    </w:p>
    <w:p w14:paraId="3B329E9F">
      <w:pPr>
        <w:spacing w:line="400" w:lineRule="exact"/>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（8）与本招标项目的代建人或招标代理机构存在控股或参股关系；</w:t>
      </w:r>
    </w:p>
    <w:p w14:paraId="1FFBFFE6">
      <w:pPr>
        <w:spacing w:line="400" w:lineRule="exact"/>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（9）</w:t>
      </w:r>
      <w:r>
        <w:rPr>
          <w:rFonts w:hint="eastAsia" w:eastAsia="宋体"/>
          <w:color w:val="auto"/>
          <w:kern w:val="2"/>
          <w:sz w:val="21"/>
          <w:szCs w:val="21"/>
          <w:lang w:eastAsia="zh-CN" w:bidi="ar-SA"/>
        </w:rPr>
        <w:t>与</w:t>
      </w:r>
      <w:r>
        <w:rPr>
          <w:rFonts w:eastAsia="宋体"/>
          <w:color w:val="auto"/>
          <w:kern w:val="2"/>
          <w:sz w:val="21"/>
          <w:szCs w:val="21"/>
          <w:lang w:eastAsia="zh-CN" w:bidi="ar-SA"/>
        </w:rPr>
        <w:t>本招标项目</w:t>
      </w:r>
      <w:r>
        <w:rPr>
          <w:rFonts w:hint="eastAsia" w:eastAsia="宋体"/>
          <w:color w:val="auto"/>
          <w:kern w:val="2"/>
          <w:sz w:val="21"/>
          <w:szCs w:val="21"/>
          <w:lang w:eastAsia="zh-CN" w:bidi="ar-SA"/>
        </w:rPr>
        <w:t>的施工承包人以</w:t>
      </w:r>
      <w:r>
        <w:rPr>
          <w:rFonts w:eastAsia="宋体"/>
          <w:color w:val="auto"/>
          <w:kern w:val="2"/>
          <w:sz w:val="21"/>
          <w:szCs w:val="21"/>
          <w:lang w:eastAsia="zh-CN" w:bidi="ar-SA"/>
        </w:rPr>
        <w:t>及建筑材料、建筑构配件和设备供应商有隶属关系或者其他利害关系；</w:t>
      </w:r>
    </w:p>
    <w:p w14:paraId="2194CEA2">
      <w:pPr>
        <w:spacing w:line="400" w:lineRule="exact"/>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（10）被依法暂停或者取消投标资格；</w:t>
      </w:r>
    </w:p>
    <w:p w14:paraId="64C7D98B">
      <w:pPr>
        <w:spacing w:line="400" w:lineRule="exact"/>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（11）被责令停产停业、暂扣或者吊销许可证、暂扣或者吊销执照；</w:t>
      </w:r>
    </w:p>
    <w:p w14:paraId="61F18847">
      <w:pPr>
        <w:spacing w:line="400" w:lineRule="exact"/>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（12）进入清算程序，或被宣告破产，或其他丧失履约能力的情形；</w:t>
      </w:r>
    </w:p>
    <w:p w14:paraId="0A060362">
      <w:pPr>
        <w:spacing w:line="400" w:lineRule="exact"/>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（13）在最近三年内发生重大监理质量问题（以相关行业主管部门的行政处罚决定或司法机关出具的有关法律文书为准）；</w:t>
      </w:r>
    </w:p>
    <w:p w14:paraId="23BC762F">
      <w:pPr>
        <w:spacing w:line="400" w:lineRule="exact"/>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（14）被工商行政管理机关在全国企业信用信息公示系统中列入</w:t>
      </w:r>
      <w:r>
        <w:rPr>
          <w:rFonts w:hint="eastAsia" w:eastAsia="宋体"/>
          <w:color w:val="auto"/>
          <w:kern w:val="2"/>
          <w:sz w:val="21"/>
          <w:szCs w:val="21"/>
          <w:lang w:eastAsia="zh-CN" w:bidi="ar-SA"/>
        </w:rPr>
        <w:t>严重违法失信</w:t>
      </w:r>
      <w:r>
        <w:rPr>
          <w:rFonts w:eastAsia="宋体"/>
          <w:color w:val="auto"/>
          <w:kern w:val="2"/>
          <w:sz w:val="21"/>
          <w:szCs w:val="21"/>
          <w:lang w:eastAsia="zh-CN" w:bidi="ar-SA"/>
        </w:rPr>
        <w:t>名单；</w:t>
      </w:r>
    </w:p>
    <w:p w14:paraId="100EA9AA">
      <w:pPr>
        <w:spacing w:line="400" w:lineRule="exact"/>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（15）被最高人民法院在“信用中国”网站（www.creditchina.gov.cn）或各级信用信息共享平台中列入失信被执行人名单；</w:t>
      </w:r>
    </w:p>
    <w:p w14:paraId="1D8FA844">
      <w:pPr>
        <w:spacing w:line="400" w:lineRule="exact"/>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（16）在近三年内投标人或其法定代表人、拟委任的总监理工程师有行贿犯罪行为的（以检察机关职务犯罪预防部门出具的查询结果为准）；</w:t>
      </w:r>
    </w:p>
    <w:p w14:paraId="2B36F373">
      <w:pPr>
        <w:spacing w:line="400" w:lineRule="exact"/>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（17）法律法规或投标人须知前附表规定的其他情形。</w:t>
      </w:r>
    </w:p>
    <w:p w14:paraId="762645D6">
      <w:pPr>
        <w:keepNext/>
        <w:keepLines/>
        <w:spacing w:before="260" w:after="260"/>
        <w:ind w:firstLine="137" w:firstLineChars="49"/>
        <w:jc w:val="both"/>
        <w:outlineLvl w:val="2"/>
        <w:rPr>
          <w:rFonts w:eastAsia="黑体"/>
          <w:color w:val="auto"/>
          <w:kern w:val="2"/>
          <w:sz w:val="28"/>
          <w:szCs w:val="20"/>
          <w:lang w:eastAsia="zh-CN" w:bidi="ar-SA"/>
        </w:rPr>
      </w:pPr>
      <w:bookmarkStart w:id="67" w:name="_Toc492300569"/>
      <w:bookmarkStart w:id="68" w:name="_Toc4524"/>
      <w:r>
        <w:rPr>
          <w:rFonts w:eastAsia="黑体"/>
          <w:color w:val="auto"/>
          <w:kern w:val="2"/>
          <w:sz w:val="28"/>
          <w:szCs w:val="20"/>
          <w:lang w:eastAsia="zh-CN" w:bidi="ar-SA"/>
        </w:rPr>
        <w:t xml:space="preserve">1.5 </w:t>
      </w:r>
      <w:r>
        <w:rPr>
          <w:rFonts w:hint="eastAsia" w:eastAsia="黑体"/>
          <w:color w:val="auto"/>
          <w:kern w:val="2"/>
          <w:sz w:val="28"/>
          <w:szCs w:val="20"/>
          <w:lang w:eastAsia="zh-CN" w:bidi="ar-SA"/>
        </w:rPr>
        <w:t>费用承担</w:t>
      </w:r>
      <w:bookmarkEnd w:id="67"/>
      <w:bookmarkEnd w:id="68"/>
    </w:p>
    <w:p w14:paraId="35521263">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投标人准备和参加投标活动发生的费用自理。</w:t>
      </w:r>
    </w:p>
    <w:p w14:paraId="28982C52">
      <w:pPr>
        <w:keepNext/>
        <w:keepLines/>
        <w:spacing w:before="260" w:after="260"/>
        <w:ind w:firstLine="137" w:firstLineChars="49"/>
        <w:jc w:val="both"/>
        <w:outlineLvl w:val="2"/>
        <w:rPr>
          <w:rFonts w:eastAsia="黑体"/>
          <w:color w:val="auto"/>
          <w:kern w:val="2"/>
          <w:sz w:val="28"/>
          <w:szCs w:val="20"/>
          <w:lang w:eastAsia="zh-CN" w:bidi="ar-SA"/>
        </w:rPr>
      </w:pPr>
      <w:bookmarkStart w:id="69" w:name="_Toc10100"/>
      <w:bookmarkStart w:id="70" w:name="_Toc492300570"/>
      <w:r>
        <w:rPr>
          <w:rFonts w:eastAsia="黑体"/>
          <w:color w:val="auto"/>
          <w:kern w:val="2"/>
          <w:sz w:val="28"/>
          <w:szCs w:val="20"/>
          <w:lang w:eastAsia="zh-CN" w:bidi="ar-SA"/>
        </w:rPr>
        <w:t>1.6</w:t>
      </w:r>
      <w:r>
        <w:rPr>
          <w:rFonts w:hint="eastAsia" w:eastAsia="黑体"/>
          <w:color w:val="auto"/>
          <w:kern w:val="2"/>
          <w:sz w:val="28"/>
          <w:szCs w:val="20"/>
          <w:lang w:eastAsia="zh-CN" w:bidi="ar-SA"/>
        </w:rPr>
        <w:t>保密</w:t>
      </w:r>
      <w:bookmarkEnd w:id="69"/>
      <w:bookmarkEnd w:id="70"/>
    </w:p>
    <w:p w14:paraId="70E8FCC9">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参与招标投标活动的各方应对招标文件和投标文件中</w:t>
      </w:r>
      <w:bookmarkStart w:id="71" w:name="_Toc384308214"/>
      <w:bookmarkStart w:id="72" w:name="_Toc352691477"/>
      <w:bookmarkStart w:id="73" w:name="_Toc5326"/>
      <w:bookmarkStart w:id="74" w:name="_Toc369531519"/>
      <w:bookmarkStart w:id="75" w:name="_Toc361508589"/>
      <w:r>
        <w:rPr>
          <w:rFonts w:eastAsia="宋体"/>
          <w:color w:val="auto"/>
          <w:kern w:val="2"/>
          <w:sz w:val="21"/>
          <w:szCs w:val="22"/>
          <w:lang w:eastAsia="zh-CN" w:bidi="ar-SA"/>
        </w:rPr>
        <w:t>的商业和技术等秘密保密</w:t>
      </w:r>
      <w:bookmarkEnd w:id="71"/>
      <w:bookmarkEnd w:id="72"/>
      <w:bookmarkEnd w:id="73"/>
      <w:bookmarkEnd w:id="74"/>
      <w:bookmarkEnd w:id="75"/>
      <w:r>
        <w:rPr>
          <w:rFonts w:eastAsia="宋体"/>
          <w:color w:val="auto"/>
          <w:kern w:val="2"/>
          <w:sz w:val="21"/>
          <w:szCs w:val="22"/>
          <w:lang w:eastAsia="zh-CN" w:bidi="ar-SA"/>
        </w:rPr>
        <w:t>，否则应承担相应的法律责任。</w:t>
      </w:r>
    </w:p>
    <w:p w14:paraId="3536914C">
      <w:pPr>
        <w:keepNext/>
        <w:keepLines/>
        <w:spacing w:before="260" w:after="260"/>
        <w:ind w:firstLine="137" w:firstLineChars="49"/>
        <w:jc w:val="both"/>
        <w:outlineLvl w:val="2"/>
        <w:rPr>
          <w:rFonts w:eastAsia="黑体"/>
          <w:color w:val="auto"/>
          <w:kern w:val="2"/>
          <w:sz w:val="28"/>
          <w:szCs w:val="20"/>
          <w:lang w:eastAsia="zh-CN" w:bidi="ar-SA"/>
        </w:rPr>
      </w:pPr>
      <w:bookmarkStart w:id="76" w:name="_Toc22711"/>
      <w:bookmarkStart w:id="77" w:name="_Toc492300571"/>
      <w:r>
        <w:rPr>
          <w:rFonts w:eastAsia="黑体"/>
          <w:color w:val="auto"/>
          <w:kern w:val="2"/>
          <w:sz w:val="28"/>
          <w:szCs w:val="20"/>
          <w:lang w:eastAsia="zh-CN" w:bidi="ar-SA"/>
        </w:rPr>
        <w:t>1.7 语言文字</w:t>
      </w:r>
      <w:bookmarkEnd w:id="76"/>
      <w:bookmarkEnd w:id="77"/>
    </w:p>
    <w:p w14:paraId="0970E834">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招标投标文件使用的语言文字为中文。专用术语使用外文的，应附有中文注释。</w:t>
      </w:r>
    </w:p>
    <w:p w14:paraId="4B88D354">
      <w:pPr>
        <w:keepNext/>
        <w:keepLines/>
        <w:spacing w:before="260" w:after="260"/>
        <w:ind w:firstLine="137" w:firstLineChars="49"/>
        <w:jc w:val="both"/>
        <w:outlineLvl w:val="2"/>
        <w:rPr>
          <w:rFonts w:eastAsia="黑体"/>
          <w:color w:val="auto"/>
          <w:kern w:val="2"/>
          <w:sz w:val="28"/>
          <w:szCs w:val="20"/>
          <w:lang w:eastAsia="zh-CN" w:bidi="ar-SA"/>
        </w:rPr>
      </w:pPr>
      <w:bookmarkStart w:id="78" w:name="_Toc399"/>
      <w:bookmarkStart w:id="79" w:name="_Toc492300572"/>
      <w:r>
        <w:rPr>
          <w:rFonts w:eastAsia="黑体"/>
          <w:color w:val="auto"/>
          <w:kern w:val="2"/>
          <w:sz w:val="28"/>
          <w:szCs w:val="20"/>
          <w:lang w:eastAsia="zh-CN" w:bidi="ar-SA"/>
        </w:rPr>
        <w:t>1.8计量单位</w:t>
      </w:r>
      <w:bookmarkEnd w:id="78"/>
      <w:bookmarkEnd w:id="79"/>
    </w:p>
    <w:p w14:paraId="5B201F72">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所有计量均采用中华人民共和国法定计量单位。</w:t>
      </w:r>
    </w:p>
    <w:p w14:paraId="7A6341C3">
      <w:pPr>
        <w:keepNext/>
        <w:keepLines/>
        <w:spacing w:before="260" w:after="260"/>
        <w:ind w:firstLine="137" w:firstLineChars="49"/>
        <w:jc w:val="both"/>
        <w:outlineLvl w:val="2"/>
        <w:rPr>
          <w:rFonts w:eastAsia="黑体"/>
          <w:color w:val="auto"/>
          <w:kern w:val="2"/>
          <w:sz w:val="28"/>
          <w:szCs w:val="20"/>
          <w:lang w:eastAsia="zh-CN" w:bidi="ar-SA"/>
        </w:rPr>
      </w:pPr>
      <w:bookmarkStart w:id="80" w:name="_Toc492300573"/>
      <w:bookmarkStart w:id="81" w:name="_Toc482188480"/>
      <w:bookmarkStart w:id="82" w:name="_Toc370676289"/>
      <w:bookmarkStart w:id="83" w:name="_Toc144974507"/>
      <w:bookmarkStart w:id="84" w:name="_Toc300834959"/>
      <w:bookmarkStart w:id="85" w:name="_Toc361508594"/>
      <w:bookmarkStart w:id="86" w:name="_Toc152042315"/>
      <w:bookmarkStart w:id="87" w:name="_Toc384308219"/>
      <w:bookmarkStart w:id="88" w:name="_Toc247527563"/>
      <w:bookmarkStart w:id="89" w:name="_Toc21460"/>
      <w:bookmarkStart w:id="90" w:name="_Toc391393967"/>
      <w:bookmarkStart w:id="91" w:name="_Toc247513962"/>
      <w:bookmarkStart w:id="92" w:name="_Toc152045539"/>
      <w:r>
        <w:rPr>
          <w:rFonts w:eastAsia="黑体"/>
          <w:color w:val="auto"/>
          <w:kern w:val="2"/>
          <w:sz w:val="28"/>
          <w:szCs w:val="20"/>
          <w:lang w:eastAsia="zh-CN" w:bidi="ar-SA"/>
        </w:rPr>
        <w:t xml:space="preserve">1.9 </w:t>
      </w:r>
      <w:r>
        <w:rPr>
          <w:rFonts w:hint="eastAsia" w:eastAsia="黑体"/>
          <w:color w:val="auto"/>
          <w:kern w:val="2"/>
          <w:sz w:val="28"/>
          <w:szCs w:val="20"/>
          <w:lang w:eastAsia="zh-CN" w:bidi="ar-SA"/>
        </w:rPr>
        <w:t>踏勘现场</w:t>
      </w:r>
      <w:bookmarkEnd w:id="80"/>
      <w:bookmarkEnd w:id="81"/>
      <w:bookmarkEnd w:id="82"/>
      <w:bookmarkEnd w:id="83"/>
      <w:bookmarkEnd w:id="84"/>
      <w:bookmarkEnd w:id="85"/>
      <w:bookmarkEnd w:id="86"/>
      <w:bookmarkEnd w:id="87"/>
      <w:bookmarkEnd w:id="88"/>
      <w:bookmarkEnd w:id="89"/>
      <w:bookmarkEnd w:id="90"/>
      <w:bookmarkEnd w:id="91"/>
      <w:bookmarkEnd w:id="92"/>
    </w:p>
    <w:p w14:paraId="4CDEBE84">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1.9.1 投标人须知前附表规定组织踏勘现场的，招标人按投标人须知前附表规定的时间、地点组织投标人踏勘项目现场。部分投标人未按时参加踏勘现场的，不影响踏勘现场的正常进行。</w:t>
      </w:r>
    </w:p>
    <w:p w14:paraId="183F9E5B">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1.9.2 投标人踏勘现场发生的费用自理。</w:t>
      </w:r>
    </w:p>
    <w:p w14:paraId="5BAAB8B6">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1.9.3 除招标人的原因外，投标人自行负责在踏勘现场中所发生的人员伤亡和财产损失。</w:t>
      </w:r>
    </w:p>
    <w:p w14:paraId="3F7D0C0A">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1.9.4 招标人在踏勘现场中介绍的工程场地和相关的周边环境情况，供投标人在编制投标文件时参考，招标人不对投标人据此作出的判断和决策负责。</w:t>
      </w:r>
    </w:p>
    <w:p w14:paraId="3B43A104">
      <w:pPr>
        <w:keepNext/>
        <w:keepLines/>
        <w:spacing w:before="260" w:after="260"/>
        <w:ind w:firstLine="137" w:firstLineChars="49"/>
        <w:jc w:val="both"/>
        <w:outlineLvl w:val="2"/>
        <w:rPr>
          <w:rFonts w:eastAsia="黑体"/>
          <w:color w:val="auto"/>
          <w:kern w:val="2"/>
          <w:sz w:val="28"/>
          <w:szCs w:val="20"/>
          <w:lang w:eastAsia="zh-CN" w:bidi="ar-SA"/>
        </w:rPr>
      </w:pPr>
      <w:bookmarkStart w:id="93" w:name="_Toc492300574"/>
      <w:bookmarkStart w:id="94" w:name="_Toc11916"/>
      <w:r>
        <w:rPr>
          <w:rFonts w:eastAsia="黑体"/>
          <w:color w:val="auto"/>
          <w:kern w:val="2"/>
          <w:sz w:val="28"/>
          <w:szCs w:val="20"/>
          <w:lang w:eastAsia="zh-CN" w:bidi="ar-SA"/>
        </w:rPr>
        <w:t>1.10投标预备会</w:t>
      </w:r>
      <w:bookmarkEnd w:id="93"/>
      <w:bookmarkEnd w:id="94"/>
    </w:p>
    <w:p w14:paraId="2C84F7F0">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1.10.1 投标人须知前附表规定召开投标预备会的，招标人按投标人须知前附表规定的时间和地点召开投标预备会，澄清投标人提出的问题。</w:t>
      </w:r>
    </w:p>
    <w:p w14:paraId="042871BB">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1.10.2 投标人应按投标人须知前附表规定的时间和形式将提出的问题送达招标人，以便招标人在会议期间澄清。</w:t>
      </w:r>
    </w:p>
    <w:p w14:paraId="1E9FC79C">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1.10.3 投标预备会后，招标人将对投标人所提问题的澄清，以投标人须知前附表规定的形式通知所有购买招标文件的投标人。该澄清内容为招标文件的组成部分。</w:t>
      </w:r>
    </w:p>
    <w:p w14:paraId="72B979BF">
      <w:pPr>
        <w:keepNext/>
        <w:keepLines/>
        <w:spacing w:before="260" w:after="260"/>
        <w:ind w:firstLine="137" w:firstLineChars="49"/>
        <w:jc w:val="both"/>
        <w:outlineLvl w:val="2"/>
        <w:rPr>
          <w:rFonts w:eastAsia="黑体"/>
          <w:color w:val="auto"/>
          <w:kern w:val="2"/>
          <w:sz w:val="28"/>
          <w:szCs w:val="20"/>
          <w:lang w:eastAsia="zh-CN" w:bidi="ar-SA"/>
        </w:rPr>
      </w:pPr>
      <w:bookmarkStart w:id="95" w:name="_Toc492300575"/>
      <w:bookmarkStart w:id="96" w:name="_Toc16890"/>
      <w:r>
        <w:rPr>
          <w:rFonts w:eastAsia="黑体"/>
          <w:color w:val="auto"/>
          <w:kern w:val="2"/>
          <w:sz w:val="28"/>
          <w:szCs w:val="20"/>
          <w:lang w:eastAsia="zh-CN" w:bidi="ar-SA"/>
        </w:rPr>
        <w:t>1.11 分包</w:t>
      </w:r>
      <w:bookmarkEnd w:id="95"/>
      <w:bookmarkEnd w:id="96"/>
    </w:p>
    <w:p w14:paraId="50807891">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本项目严禁分包。</w:t>
      </w:r>
    </w:p>
    <w:p w14:paraId="6B9E26F8">
      <w:pPr>
        <w:keepNext/>
        <w:keepLines/>
        <w:spacing w:before="260" w:after="260"/>
        <w:ind w:firstLine="137" w:firstLineChars="49"/>
        <w:jc w:val="both"/>
        <w:outlineLvl w:val="2"/>
        <w:rPr>
          <w:rFonts w:eastAsia="黑体"/>
          <w:color w:val="auto"/>
          <w:kern w:val="2"/>
          <w:sz w:val="28"/>
          <w:szCs w:val="20"/>
          <w:lang w:eastAsia="zh-CN" w:bidi="ar-SA"/>
        </w:rPr>
      </w:pPr>
      <w:bookmarkStart w:id="97" w:name="_Toc492300576"/>
      <w:bookmarkStart w:id="98" w:name="_Toc5211"/>
      <w:r>
        <w:rPr>
          <w:rFonts w:eastAsia="黑体"/>
          <w:color w:val="auto"/>
          <w:kern w:val="2"/>
          <w:sz w:val="28"/>
          <w:szCs w:val="20"/>
          <w:lang w:eastAsia="zh-CN" w:bidi="ar-SA"/>
        </w:rPr>
        <w:t>1.12响应和偏差</w:t>
      </w:r>
      <w:bookmarkEnd w:id="97"/>
      <w:bookmarkEnd w:id="98"/>
    </w:p>
    <w:p w14:paraId="2D49DF32">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1.12.1投标文件应当对招标文件的实质性要求和条件作出满足性或更有利于招标人的响应，否则，投标人的投标将被否决。实质性要求和条件见投标人须知前附表。</w:t>
      </w:r>
    </w:p>
    <w:p w14:paraId="0604589C">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 xml:space="preserve">1.12.2 </w:t>
      </w:r>
      <w:r>
        <w:rPr>
          <w:rFonts w:eastAsia="宋体"/>
          <w:color w:val="auto"/>
          <w:kern w:val="2"/>
          <w:sz w:val="21"/>
          <w:szCs w:val="21"/>
          <w:lang w:eastAsia="zh-CN" w:bidi="ar-SA"/>
        </w:rPr>
        <w:t>投标人应根据招标文件的要求提供</w:t>
      </w:r>
      <w:r>
        <w:rPr>
          <w:rFonts w:eastAsia="宋体"/>
          <w:color w:val="auto"/>
          <w:kern w:val="2"/>
          <w:sz w:val="21"/>
          <w:szCs w:val="22"/>
          <w:lang w:eastAsia="zh-CN" w:bidi="ar-SA"/>
        </w:rPr>
        <w:t>投标监理大纲等内容以对招标文件作出响应。</w:t>
      </w:r>
    </w:p>
    <w:p w14:paraId="6FC80B2C">
      <w:pPr>
        <w:spacing w:line="400" w:lineRule="exact"/>
        <w:ind w:firstLine="435"/>
        <w:jc w:val="both"/>
        <w:rPr>
          <w:rFonts w:eastAsia="宋体"/>
          <w:color w:val="auto"/>
          <w:kern w:val="2"/>
          <w:sz w:val="21"/>
          <w:szCs w:val="22"/>
          <w:lang w:eastAsia="zh-CN" w:bidi="ar-SA"/>
        </w:rPr>
      </w:pPr>
      <w:r>
        <w:rPr>
          <w:rFonts w:eastAsia="宋体"/>
          <w:color w:val="auto"/>
          <w:kern w:val="2"/>
          <w:sz w:val="21"/>
          <w:szCs w:val="22"/>
          <w:lang w:eastAsia="zh-CN" w:bidi="ar-SA"/>
        </w:rPr>
        <w:t>1.12.3投标人须知前附表允许投标文件偏离招标文件某些要求的，偏差应当符合招标文件规定的偏差范围和幅度。</w:t>
      </w:r>
    </w:p>
    <w:p w14:paraId="68618128">
      <w:pPr>
        <w:keepNext/>
        <w:keepLines/>
        <w:spacing w:before="260" w:after="260" w:line="412" w:lineRule="auto"/>
        <w:jc w:val="both"/>
        <w:outlineLvl w:val="1"/>
        <w:rPr>
          <w:rFonts w:eastAsia="黑体"/>
          <w:b/>
          <w:color w:val="auto"/>
          <w:kern w:val="2"/>
          <w:sz w:val="32"/>
          <w:szCs w:val="20"/>
          <w:lang w:eastAsia="zh-CN" w:bidi="ar-SA"/>
        </w:rPr>
      </w:pPr>
      <w:bookmarkStart w:id="99" w:name="_Toc20713"/>
      <w:bookmarkStart w:id="100" w:name="_Toc492300577"/>
      <w:r>
        <w:rPr>
          <w:rFonts w:eastAsia="黑体"/>
          <w:b/>
          <w:color w:val="auto"/>
          <w:kern w:val="2"/>
          <w:sz w:val="32"/>
          <w:szCs w:val="20"/>
          <w:lang w:eastAsia="zh-CN" w:bidi="ar-SA"/>
        </w:rPr>
        <w:t>2. 招标文件</w:t>
      </w:r>
      <w:bookmarkEnd w:id="99"/>
      <w:bookmarkEnd w:id="100"/>
    </w:p>
    <w:p w14:paraId="7FA4C434">
      <w:pPr>
        <w:keepNext/>
        <w:keepLines/>
        <w:spacing w:before="260" w:after="260"/>
        <w:ind w:firstLine="137" w:firstLineChars="49"/>
        <w:jc w:val="both"/>
        <w:outlineLvl w:val="2"/>
        <w:rPr>
          <w:rFonts w:eastAsia="黑体"/>
          <w:color w:val="auto"/>
          <w:kern w:val="2"/>
          <w:sz w:val="28"/>
          <w:szCs w:val="20"/>
          <w:lang w:eastAsia="zh-CN" w:bidi="ar-SA"/>
        </w:rPr>
      </w:pPr>
      <w:bookmarkStart w:id="101" w:name="_Toc13088"/>
      <w:bookmarkStart w:id="102" w:name="_Toc492300578"/>
      <w:r>
        <w:rPr>
          <w:rFonts w:eastAsia="黑体"/>
          <w:color w:val="auto"/>
          <w:kern w:val="2"/>
          <w:sz w:val="28"/>
          <w:szCs w:val="20"/>
          <w:lang w:eastAsia="zh-CN" w:bidi="ar-SA"/>
        </w:rPr>
        <w:t>2.1 招标文件的组成</w:t>
      </w:r>
      <w:bookmarkEnd w:id="101"/>
      <w:bookmarkEnd w:id="102"/>
    </w:p>
    <w:p w14:paraId="6F07F593">
      <w:pPr>
        <w:spacing w:line="400" w:lineRule="exact"/>
        <w:ind w:firstLine="359" w:firstLineChars="171"/>
        <w:jc w:val="both"/>
        <w:rPr>
          <w:rFonts w:eastAsia="宋体"/>
          <w:color w:val="auto"/>
          <w:kern w:val="2"/>
          <w:sz w:val="21"/>
          <w:szCs w:val="22"/>
          <w:lang w:eastAsia="zh-CN" w:bidi="ar-SA"/>
        </w:rPr>
      </w:pPr>
      <w:r>
        <w:rPr>
          <w:rFonts w:eastAsia="宋体"/>
          <w:color w:val="auto"/>
          <w:kern w:val="2"/>
          <w:sz w:val="21"/>
          <w:szCs w:val="22"/>
          <w:lang w:eastAsia="zh-CN" w:bidi="ar-SA"/>
        </w:rPr>
        <w:t>本招标文件包括：</w:t>
      </w:r>
    </w:p>
    <w:p w14:paraId="1F64FDD1">
      <w:pPr>
        <w:spacing w:line="400" w:lineRule="exact"/>
        <w:ind w:firstLine="359" w:firstLineChars="171"/>
        <w:jc w:val="both"/>
        <w:rPr>
          <w:rFonts w:eastAsia="宋体"/>
          <w:color w:val="auto"/>
          <w:kern w:val="2"/>
          <w:sz w:val="21"/>
          <w:szCs w:val="22"/>
          <w:lang w:eastAsia="zh-CN" w:bidi="ar-SA"/>
        </w:rPr>
      </w:pPr>
      <w:r>
        <w:rPr>
          <w:rFonts w:eastAsia="宋体"/>
          <w:color w:val="auto"/>
          <w:kern w:val="2"/>
          <w:sz w:val="21"/>
          <w:szCs w:val="22"/>
          <w:lang w:eastAsia="zh-CN" w:bidi="ar-SA"/>
        </w:rPr>
        <w:t>（1）招标公告（或投标邀请书）；</w:t>
      </w:r>
    </w:p>
    <w:p w14:paraId="006A06AF">
      <w:pPr>
        <w:spacing w:line="400" w:lineRule="exact"/>
        <w:ind w:firstLine="359" w:firstLineChars="171"/>
        <w:jc w:val="both"/>
        <w:rPr>
          <w:rFonts w:eastAsia="宋体"/>
          <w:color w:val="auto"/>
          <w:kern w:val="2"/>
          <w:sz w:val="21"/>
          <w:szCs w:val="22"/>
          <w:lang w:eastAsia="zh-CN" w:bidi="ar-SA"/>
        </w:rPr>
      </w:pPr>
      <w:r>
        <w:rPr>
          <w:rFonts w:eastAsia="宋体"/>
          <w:color w:val="auto"/>
          <w:kern w:val="2"/>
          <w:sz w:val="21"/>
          <w:szCs w:val="22"/>
          <w:lang w:eastAsia="zh-CN" w:bidi="ar-SA"/>
        </w:rPr>
        <w:t>（2）投标人须知；</w:t>
      </w:r>
    </w:p>
    <w:p w14:paraId="7E8F0D2F">
      <w:pPr>
        <w:spacing w:line="400" w:lineRule="exact"/>
        <w:ind w:firstLine="359" w:firstLineChars="171"/>
        <w:jc w:val="both"/>
        <w:rPr>
          <w:rFonts w:eastAsia="宋体"/>
          <w:color w:val="auto"/>
          <w:kern w:val="2"/>
          <w:sz w:val="21"/>
          <w:szCs w:val="22"/>
          <w:lang w:eastAsia="zh-CN" w:bidi="ar-SA"/>
        </w:rPr>
      </w:pPr>
      <w:r>
        <w:rPr>
          <w:rFonts w:eastAsia="宋体"/>
          <w:color w:val="auto"/>
          <w:kern w:val="2"/>
          <w:sz w:val="21"/>
          <w:szCs w:val="22"/>
          <w:lang w:eastAsia="zh-CN" w:bidi="ar-SA"/>
        </w:rPr>
        <w:t>（3）评标办法；</w:t>
      </w:r>
    </w:p>
    <w:p w14:paraId="50F9CB52">
      <w:pPr>
        <w:spacing w:line="400" w:lineRule="exact"/>
        <w:ind w:firstLine="359" w:firstLineChars="171"/>
        <w:jc w:val="both"/>
        <w:rPr>
          <w:rFonts w:eastAsia="宋体"/>
          <w:color w:val="auto"/>
          <w:kern w:val="2"/>
          <w:sz w:val="21"/>
          <w:szCs w:val="22"/>
          <w:lang w:eastAsia="zh-CN" w:bidi="ar-SA"/>
        </w:rPr>
      </w:pPr>
      <w:r>
        <w:rPr>
          <w:rFonts w:eastAsia="宋体"/>
          <w:color w:val="auto"/>
          <w:kern w:val="2"/>
          <w:sz w:val="21"/>
          <w:szCs w:val="22"/>
          <w:lang w:eastAsia="zh-CN" w:bidi="ar-SA"/>
        </w:rPr>
        <w:t>（4）合同条款及格式；</w:t>
      </w:r>
    </w:p>
    <w:p w14:paraId="19F9EBC6">
      <w:pPr>
        <w:spacing w:line="400" w:lineRule="exact"/>
        <w:ind w:firstLine="359" w:firstLineChars="171"/>
        <w:jc w:val="both"/>
        <w:rPr>
          <w:rFonts w:eastAsia="宋体"/>
          <w:color w:val="auto"/>
          <w:kern w:val="2"/>
          <w:sz w:val="21"/>
          <w:szCs w:val="22"/>
          <w:lang w:eastAsia="zh-CN" w:bidi="ar-SA"/>
        </w:rPr>
      </w:pPr>
      <w:r>
        <w:rPr>
          <w:rFonts w:eastAsia="宋体"/>
          <w:color w:val="auto"/>
          <w:kern w:val="2"/>
          <w:sz w:val="21"/>
          <w:szCs w:val="22"/>
          <w:lang w:eastAsia="zh-CN" w:bidi="ar-SA"/>
        </w:rPr>
        <w:t>（5）委托人要求；</w:t>
      </w:r>
    </w:p>
    <w:p w14:paraId="23D6BC62">
      <w:pPr>
        <w:spacing w:line="400" w:lineRule="exact"/>
        <w:ind w:firstLine="359" w:firstLineChars="171"/>
        <w:jc w:val="both"/>
        <w:rPr>
          <w:rFonts w:eastAsia="宋体"/>
          <w:color w:val="auto"/>
          <w:kern w:val="2"/>
          <w:sz w:val="21"/>
          <w:szCs w:val="22"/>
          <w:lang w:eastAsia="zh-CN" w:bidi="ar-SA"/>
        </w:rPr>
      </w:pPr>
      <w:r>
        <w:rPr>
          <w:rFonts w:eastAsia="宋体"/>
          <w:color w:val="auto"/>
          <w:kern w:val="2"/>
          <w:sz w:val="21"/>
          <w:szCs w:val="22"/>
          <w:lang w:eastAsia="zh-CN" w:bidi="ar-SA"/>
        </w:rPr>
        <w:t>（6）投标文件格式；</w:t>
      </w:r>
    </w:p>
    <w:p w14:paraId="0005D0F3">
      <w:pPr>
        <w:spacing w:line="400" w:lineRule="exact"/>
        <w:ind w:firstLine="359" w:firstLineChars="171"/>
        <w:jc w:val="both"/>
        <w:rPr>
          <w:rFonts w:eastAsia="宋体"/>
          <w:color w:val="auto"/>
          <w:kern w:val="2"/>
          <w:sz w:val="21"/>
          <w:szCs w:val="22"/>
          <w:lang w:eastAsia="zh-CN" w:bidi="ar-SA"/>
        </w:rPr>
      </w:pPr>
      <w:r>
        <w:rPr>
          <w:rFonts w:eastAsia="宋体"/>
          <w:color w:val="auto"/>
          <w:kern w:val="2"/>
          <w:sz w:val="21"/>
          <w:szCs w:val="22"/>
          <w:lang w:eastAsia="zh-CN" w:bidi="ar-SA"/>
        </w:rPr>
        <w:t>（7）投标人须知前附表规定的其他资料。</w:t>
      </w:r>
    </w:p>
    <w:p w14:paraId="7A2DA97B">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根据本章第1.10款、第2.2款和第2.3款对招标文件所作的澄清、修改，构成招标文件的组成部分。</w:t>
      </w:r>
    </w:p>
    <w:p w14:paraId="44CBBE28">
      <w:pPr>
        <w:keepNext/>
        <w:keepLines/>
        <w:spacing w:before="260" w:after="260"/>
        <w:ind w:firstLine="137" w:firstLineChars="49"/>
        <w:jc w:val="both"/>
        <w:outlineLvl w:val="2"/>
        <w:rPr>
          <w:rFonts w:eastAsia="黑体"/>
          <w:color w:val="auto"/>
          <w:kern w:val="2"/>
          <w:sz w:val="28"/>
          <w:szCs w:val="20"/>
          <w:lang w:eastAsia="zh-CN" w:bidi="ar-SA"/>
        </w:rPr>
      </w:pPr>
      <w:bookmarkStart w:id="103" w:name="_Toc492300579"/>
      <w:bookmarkStart w:id="104" w:name="_Toc27657"/>
      <w:r>
        <w:rPr>
          <w:rFonts w:eastAsia="黑体"/>
          <w:color w:val="auto"/>
          <w:kern w:val="2"/>
          <w:sz w:val="28"/>
          <w:szCs w:val="20"/>
          <w:lang w:eastAsia="zh-CN" w:bidi="ar-SA"/>
        </w:rPr>
        <w:t>2.2 招标文件的澄清</w:t>
      </w:r>
      <w:bookmarkEnd w:id="103"/>
      <w:bookmarkEnd w:id="104"/>
    </w:p>
    <w:p w14:paraId="574AF080">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2.2.1 投标人应仔细阅读和检查招标文件的全部内容。如发现缺页或附件不全，应及时向招标人提出，以便补齐。如有疑问，应按投标人须知前附表规定的时间和形式将提出的问题送达招标人，要求招标人对招标文件予以澄清。</w:t>
      </w:r>
    </w:p>
    <w:p w14:paraId="70F954E2">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2.2.2招标文件的澄清以投标人须知前附表规定的形式发给所有购买招标文件的投标人，但不指明澄清问题的来源。澄清发出的时间距本章第4.2.1项规定的投标截止时间不足15日的，并且澄清内容可能影响投标文件编制的，将相应延长投标截止时间。</w:t>
      </w:r>
    </w:p>
    <w:p w14:paraId="283A6202">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2.2.3 投标人在收到澄清后，应按投标人须知前附表规定的时间和形式通知招标人，确认已收到该澄清。</w:t>
      </w:r>
    </w:p>
    <w:p w14:paraId="62CE9C99">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2.2.4 除非招标人认为确有必要答复，否则，招标人有权拒绝回复投标人在</w:t>
      </w:r>
      <w:r>
        <w:rPr>
          <w:rFonts w:hint="eastAsia" w:eastAsia="宋体"/>
          <w:color w:val="auto"/>
          <w:kern w:val="2"/>
          <w:sz w:val="21"/>
          <w:szCs w:val="22"/>
          <w:lang w:eastAsia="zh-CN" w:bidi="ar-SA"/>
        </w:rPr>
        <w:t>本章第2.2.1项</w:t>
      </w:r>
      <w:r>
        <w:rPr>
          <w:rFonts w:eastAsia="宋体"/>
          <w:color w:val="auto"/>
          <w:kern w:val="2"/>
          <w:sz w:val="21"/>
          <w:szCs w:val="22"/>
          <w:lang w:eastAsia="zh-CN" w:bidi="ar-SA"/>
        </w:rPr>
        <w:t>规定的时间后的任何澄清要求。</w:t>
      </w:r>
    </w:p>
    <w:p w14:paraId="2B5A8A6D">
      <w:pPr>
        <w:keepNext/>
        <w:keepLines/>
        <w:spacing w:before="260" w:after="260"/>
        <w:ind w:firstLine="137" w:firstLineChars="49"/>
        <w:jc w:val="both"/>
        <w:outlineLvl w:val="2"/>
        <w:rPr>
          <w:rFonts w:eastAsia="黑体"/>
          <w:color w:val="auto"/>
          <w:kern w:val="2"/>
          <w:sz w:val="28"/>
          <w:szCs w:val="20"/>
          <w:lang w:eastAsia="zh-CN" w:bidi="ar-SA"/>
        </w:rPr>
      </w:pPr>
      <w:bookmarkStart w:id="105" w:name="_Toc27918"/>
      <w:bookmarkStart w:id="106" w:name="_Toc492300580"/>
      <w:bookmarkStart w:id="107" w:name="_Toc352691479"/>
      <w:r>
        <w:rPr>
          <w:rFonts w:eastAsia="黑体"/>
          <w:color w:val="auto"/>
          <w:kern w:val="2"/>
          <w:sz w:val="28"/>
          <w:szCs w:val="20"/>
          <w:lang w:eastAsia="zh-CN" w:bidi="ar-SA"/>
        </w:rPr>
        <w:t>2.3 招标文件的修</w:t>
      </w:r>
      <w:bookmarkStart w:id="108" w:name="_Toc16514"/>
      <w:bookmarkStart w:id="109" w:name="_Toc369531521"/>
      <w:r>
        <w:rPr>
          <w:rFonts w:eastAsia="黑体"/>
          <w:color w:val="auto"/>
          <w:kern w:val="2"/>
          <w:sz w:val="28"/>
          <w:szCs w:val="20"/>
          <w:lang w:eastAsia="zh-CN" w:bidi="ar-SA"/>
        </w:rPr>
        <w:t>改</w:t>
      </w:r>
      <w:bookmarkEnd w:id="105"/>
      <w:bookmarkEnd w:id="106"/>
    </w:p>
    <w:p w14:paraId="4B7D4034">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2.3.1招标人以投标人须知前附表规定的形式修改招标文件，并通知所有已购买招标文件的投标人。修改招标文件的时间距本章第4.2.1项规定的投标截止时间不足15日的，并且修改内容可能影响投标文件编制的，将相应延长投标截止时间。</w:t>
      </w:r>
    </w:p>
    <w:bookmarkEnd w:id="107"/>
    <w:bookmarkEnd w:id="108"/>
    <w:bookmarkEnd w:id="109"/>
    <w:p w14:paraId="1F14E51B">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2.3.2 投标人收到修改内容</w:t>
      </w:r>
      <w:bookmarkStart w:id="110" w:name="_Toc300834958"/>
      <w:bookmarkStart w:id="111" w:name="_Toc247527562"/>
      <w:bookmarkStart w:id="112" w:name="_Toc24632"/>
      <w:bookmarkStart w:id="113" w:name="_Toc384308218"/>
      <w:bookmarkStart w:id="114" w:name="_Toc152042314"/>
      <w:bookmarkStart w:id="115" w:name="_Toc144974506"/>
      <w:bookmarkStart w:id="116" w:name="_Toc361508593"/>
      <w:bookmarkStart w:id="117" w:name="_Toc369531524"/>
      <w:bookmarkStart w:id="118" w:name="_Toc247513961"/>
      <w:bookmarkStart w:id="119" w:name="_Toc152045538"/>
      <w:bookmarkStart w:id="120" w:name="_Toc352691482"/>
      <w:r>
        <w:rPr>
          <w:rFonts w:eastAsia="宋体"/>
          <w:color w:val="auto"/>
          <w:kern w:val="2"/>
          <w:sz w:val="21"/>
          <w:szCs w:val="22"/>
          <w:lang w:eastAsia="zh-CN" w:bidi="ar-SA"/>
        </w:rPr>
        <w:t>后，</w:t>
      </w:r>
      <w:bookmarkEnd w:id="110"/>
      <w:bookmarkEnd w:id="111"/>
      <w:bookmarkEnd w:id="112"/>
      <w:bookmarkEnd w:id="113"/>
      <w:bookmarkEnd w:id="114"/>
      <w:bookmarkEnd w:id="115"/>
      <w:bookmarkEnd w:id="116"/>
      <w:bookmarkEnd w:id="117"/>
      <w:bookmarkEnd w:id="118"/>
      <w:bookmarkEnd w:id="119"/>
      <w:bookmarkEnd w:id="120"/>
      <w:bookmarkStart w:id="121" w:name="_Toc16623"/>
      <w:bookmarkStart w:id="122" w:name="_Toc152042316"/>
      <w:bookmarkStart w:id="123" w:name="_Toc144974508"/>
      <w:bookmarkStart w:id="124" w:name="_Toc247527564"/>
      <w:bookmarkStart w:id="125" w:name="_Toc300834960"/>
      <w:bookmarkStart w:id="126" w:name="_Toc361508595"/>
      <w:bookmarkStart w:id="127" w:name="_Toc247513963"/>
      <w:bookmarkStart w:id="128" w:name="_Toc152045540"/>
      <w:bookmarkStart w:id="129" w:name="_Toc384308220"/>
      <w:bookmarkStart w:id="130" w:name="_Toc352691484"/>
      <w:bookmarkStart w:id="131" w:name="_Toc369531526"/>
      <w:r>
        <w:rPr>
          <w:rFonts w:eastAsia="宋体"/>
          <w:color w:val="auto"/>
          <w:kern w:val="2"/>
          <w:sz w:val="21"/>
          <w:szCs w:val="22"/>
          <w:lang w:eastAsia="zh-CN" w:bidi="ar-SA"/>
        </w:rPr>
        <w:t>应按投标人须知前附表规定的时间和形式通知招标人，确认已收到该修改。</w:t>
      </w:r>
    </w:p>
    <w:p w14:paraId="7FA60AF5">
      <w:pPr>
        <w:keepNext/>
        <w:keepLines/>
        <w:spacing w:before="260" w:after="260"/>
        <w:ind w:firstLine="137" w:firstLineChars="49"/>
        <w:jc w:val="both"/>
        <w:outlineLvl w:val="2"/>
        <w:rPr>
          <w:rFonts w:eastAsia="黑体"/>
          <w:color w:val="auto"/>
          <w:kern w:val="2"/>
          <w:sz w:val="28"/>
          <w:szCs w:val="20"/>
          <w:lang w:eastAsia="zh-CN" w:bidi="ar-SA"/>
        </w:rPr>
      </w:pPr>
      <w:bookmarkStart w:id="132" w:name="_Toc18287"/>
      <w:bookmarkStart w:id="133" w:name="_Toc492300581"/>
      <w:r>
        <w:rPr>
          <w:rFonts w:eastAsia="黑体"/>
          <w:color w:val="auto"/>
          <w:kern w:val="2"/>
          <w:sz w:val="28"/>
          <w:szCs w:val="20"/>
          <w:lang w:eastAsia="zh-CN" w:bidi="ar-SA"/>
        </w:rPr>
        <w:t>2.</w:t>
      </w:r>
      <w:bookmarkEnd w:id="121"/>
      <w:bookmarkEnd w:id="122"/>
      <w:bookmarkEnd w:id="123"/>
      <w:bookmarkEnd w:id="124"/>
      <w:bookmarkEnd w:id="125"/>
      <w:bookmarkEnd w:id="126"/>
      <w:bookmarkEnd w:id="127"/>
      <w:bookmarkEnd w:id="128"/>
      <w:bookmarkEnd w:id="129"/>
      <w:bookmarkEnd w:id="130"/>
      <w:bookmarkEnd w:id="131"/>
      <w:r>
        <w:rPr>
          <w:rFonts w:eastAsia="黑体"/>
          <w:color w:val="auto"/>
          <w:kern w:val="2"/>
          <w:sz w:val="28"/>
          <w:szCs w:val="20"/>
          <w:lang w:eastAsia="zh-CN" w:bidi="ar-SA"/>
        </w:rPr>
        <w:t>4 招标文件的异议</w:t>
      </w:r>
      <w:bookmarkEnd w:id="132"/>
      <w:bookmarkEnd w:id="133"/>
    </w:p>
    <w:p w14:paraId="1FFF4427">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投标人或者其他利害关系人对招标文件有异议的，应当在投标截止时间10日前以书面形式提出。招标人将在收到异议之日起3日内作出答复；作出答复前，将暂停招标投标活动。</w:t>
      </w:r>
    </w:p>
    <w:p w14:paraId="1EE65C6B">
      <w:pPr>
        <w:keepNext/>
        <w:keepLines/>
        <w:spacing w:before="260" w:after="260" w:line="412" w:lineRule="auto"/>
        <w:jc w:val="both"/>
        <w:outlineLvl w:val="1"/>
        <w:rPr>
          <w:rFonts w:eastAsia="黑体"/>
          <w:b/>
          <w:color w:val="auto"/>
          <w:kern w:val="2"/>
          <w:sz w:val="32"/>
          <w:szCs w:val="20"/>
          <w:lang w:eastAsia="zh-CN" w:bidi="ar-SA"/>
        </w:rPr>
      </w:pPr>
      <w:bookmarkStart w:id="134" w:name="_Toc492300582"/>
      <w:bookmarkStart w:id="135" w:name="_Toc15857"/>
      <w:r>
        <w:rPr>
          <w:rFonts w:eastAsia="黑体"/>
          <w:b/>
          <w:color w:val="auto"/>
          <w:kern w:val="2"/>
          <w:sz w:val="32"/>
          <w:szCs w:val="20"/>
          <w:lang w:eastAsia="zh-CN" w:bidi="ar-SA"/>
        </w:rPr>
        <w:t>3. 投标文件</w:t>
      </w:r>
      <w:bookmarkEnd w:id="134"/>
      <w:bookmarkEnd w:id="135"/>
    </w:p>
    <w:p w14:paraId="06743CF5">
      <w:pPr>
        <w:keepNext/>
        <w:keepLines/>
        <w:spacing w:before="260" w:after="260"/>
        <w:ind w:firstLine="137" w:firstLineChars="49"/>
        <w:jc w:val="both"/>
        <w:outlineLvl w:val="2"/>
        <w:rPr>
          <w:rFonts w:eastAsia="黑体"/>
          <w:color w:val="auto"/>
          <w:kern w:val="2"/>
          <w:sz w:val="28"/>
          <w:szCs w:val="20"/>
          <w:lang w:eastAsia="zh-CN" w:bidi="ar-SA"/>
        </w:rPr>
      </w:pPr>
      <w:bookmarkStart w:id="136" w:name="_Toc12207"/>
      <w:bookmarkStart w:id="137" w:name="_Toc492300583"/>
      <w:r>
        <w:rPr>
          <w:rFonts w:eastAsia="黑体"/>
          <w:color w:val="auto"/>
          <w:kern w:val="2"/>
          <w:sz w:val="28"/>
          <w:szCs w:val="20"/>
          <w:lang w:eastAsia="zh-CN" w:bidi="ar-SA"/>
        </w:rPr>
        <w:t>3.1 投标文件的组成</w:t>
      </w:r>
      <w:bookmarkEnd w:id="136"/>
      <w:bookmarkEnd w:id="137"/>
    </w:p>
    <w:p w14:paraId="34532C71">
      <w:pPr>
        <w:spacing w:line="400" w:lineRule="exact"/>
        <w:jc w:val="both"/>
        <w:rPr>
          <w:rFonts w:eastAsia="宋体"/>
          <w:color w:val="auto"/>
          <w:kern w:val="2"/>
          <w:sz w:val="21"/>
          <w:szCs w:val="22"/>
          <w:lang w:eastAsia="zh-CN" w:bidi="ar-SA"/>
        </w:rPr>
      </w:pPr>
      <w:r>
        <w:rPr>
          <w:rFonts w:eastAsia="宋体"/>
          <w:color w:val="auto"/>
          <w:kern w:val="2"/>
          <w:sz w:val="21"/>
          <w:szCs w:val="22"/>
          <w:lang w:eastAsia="zh-CN" w:bidi="ar-SA"/>
        </w:rPr>
        <w:t>　　3.1.1 投标文件应包括下列内容：</w:t>
      </w:r>
    </w:p>
    <w:p w14:paraId="75DCAFAF">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（1）投标函及投标函附录；</w:t>
      </w:r>
    </w:p>
    <w:p w14:paraId="2E4CB51A">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（2）法定代表人身份证明或授权委托书；</w:t>
      </w:r>
    </w:p>
    <w:p w14:paraId="4FCC68E8">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（3）联合体协议书；</w:t>
      </w:r>
    </w:p>
    <w:p w14:paraId="6FE16A8A">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（4）投标保证金；</w:t>
      </w:r>
    </w:p>
    <w:p w14:paraId="35C11D4E">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（5）监理报酬清单；</w:t>
      </w:r>
    </w:p>
    <w:p w14:paraId="4C8E05D6">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（6）资格审查资料；</w:t>
      </w:r>
    </w:p>
    <w:p w14:paraId="7F82CE09">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（7）监理大纲；</w:t>
      </w:r>
    </w:p>
    <w:p w14:paraId="582733AB">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（8）投标人须知前附表规定的其他资料。</w:t>
      </w:r>
    </w:p>
    <w:p w14:paraId="72F5FF75">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投标人在评标过程中作出的符合法律法规和招标文件规定的澄清确认，构成投标文件的组成部分。</w:t>
      </w:r>
    </w:p>
    <w:p w14:paraId="625631A0">
      <w:pPr>
        <w:spacing w:line="400" w:lineRule="exact"/>
        <w:ind w:firstLine="359" w:firstLineChars="171"/>
        <w:jc w:val="both"/>
        <w:rPr>
          <w:rFonts w:eastAsia="宋体"/>
          <w:color w:val="auto"/>
          <w:kern w:val="2"/>
          <w:sz w:val="21"/>
          <w:szCs w:val="22"/>
          <w:lang w:eastAsia="zh-CN" w:bidi="ar-SA"/>
        </w:rPr>
      </w:pPr>
      <w:r>
        <w:rPr>
          <w:rFonts w:eastAsia="宋体"/>
          <w:color w:val="auto"/>
          <w:kern w:val="2"/>
          <w:sz w:val="21"/>
          <w:szCs w:val="22"/>
          <w:lang w:eastAsia="zh-CN" w:bidi="ar-SA"/>
        </w:rPr>
        <w:t>3.1.2 投标人须知前附表规定不接受联合体投标的，或投标人没有组成联合体的，投标文件不包括本章第3.1.1（3）目所指的联合体协议书。</w:t>
      </w:r>
    </w:p>
    <w:p w14:paraId="1FBAA65C">
      <w:pPr>
        <w:spacing w:line="400" w:lineRule="exact"/>
        <w:ind w:firstLine="359" w:firstLineChars="171"/>
        <w:jc w:val="both"/>
        <w:rPr>
          <w:rFonts w:eastAsia="宋体"/>
          <w:color w:val="auto"/>
          <w:kern w:val="2"/>
          <w:sz w:val="21"/>
          <w:szCs w:val="22"/>
          <w:lang w:eastAsia="zh-CN" w:bidi="ar-SA"/>
        </w:rPr>
      </w:pPr>
      <w:r>
        <w:rPr>
          <w:rFonts w:eastAsia="宋体"/>
          <w:color w:val="auto"/>
          <w:kern w:val="2"/>
          <w:sz w:val="21"/>
          <w:szCs w:val="22"/>
          <w:lang w:eastAsia="zh-CN" w:bidi="ar-SA"/>
        </w:rPr>
        <w:t>3.1.3 投标人须知前附表未要求提交投标保证金的，投标文件不包括本章第3.1.1（4）目所指的投标保证金。</w:t>
      </w:r>
    </w:p>
    <w:p w14:paraId="568CEC17">
      <w:pPr>
        <w:keepNext/>
        <w:keepLines/>
        <w:spacing w:before="260" w:after="260"/>
        <w:ind w:firstLine="137" w:firstLineChars="49"/>
        <w:jc w:val="both"/>
        <w:outlineLvl w:val="2"/>
        <w:rPr>
          <w:rFonts w:eastAsia="黑体"/>
          <w:color w:val="auto"/>
          <w:kern w:val="2"/>
          <w:sz w:val="28"/>
          <w:szCs w:val="20"/>
          <w:lang w:eastAsia="zh-CN" w:bidi="ar-SA"/>
        </w:rPr>
      </w:pPr>
      <w:bookmarkStart w:id="138" w:name="_Toc26645"/>
      <w:bookmarkStart w:id="139" w:name="_Toc492300584"/>
      <w:r>
        <w:rPr>
          <w:rFonts w:eastAsia="黑体"/>
          <w:color w:val="auto"/>
          <w:kern w:val="2"/>
          <w:sz w:val="28"/>
          <w:szCs w:val="20"/>
          <w:lang w:eastAsia="zh-CN" w:bidi="ar-SA"/>
        </w:rPr>
        <w:t>3.2 投标报价</w:t>
      </w:r>
      <w:bookmarkEnd w:id="138"/>
      <w:bookmarkEnd w:id="139"/>
    </w:p>
    <w:p w14:paraId="774A11EF">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3.2.1投标报价应包括国家规定的增值税税金，除投标人须知前附表另有规定外，增值税税金按一般计税方法计算。投标人应按第六章“投标文件格式”的要求在投标函中进行报价并填写监理报酬清单。</w:t>
      </w:r>
    </w:p>
    <w:p w14:paraId="6F9EE705">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3.2.2 投标人应充分了解该项目的总体情况以及影响投标报价的其他要素。</w:t>
      </w:r>
    </w:p>
    <w:p w14:paraId="3E11ABEB">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3.2.3</w:t>
      </w:r>
      <w:bookmarkStart w:id="140" w:name="_Toc15242"/>
      <w:bookmarkEnd w:id="140"/>
      <w:bookmarkStart w:id="141" w:name="_Toc384308224"/>
      <w:bookmarkEnd w:id="141"/>
      <w:bookmarkStart w:id="142" w:name="_Toc247513967"/>
      <w:bookmarkEnd w:id="142"/>
      <w:bookmarkStart w:id="143" w:name="_Toc152042319"/>
      <w:bookmarkEnd w:id="143"/>
      <w:bookmarkStart w:id="144" w:name="_Toc369531530"/>
      <w:bookmarkEnd w:id="144"/>
      <w:bookmarkStart w:id="145" w:name="_Toc361508599"/>
      <w:bookmarkEnd w:id="145"/>
      <w:bookmarkStart w:id="146" w:name="_Toc247527568"/>
      <w:bookmarkEnd w:id="146"/>
      <w:bookmarkStart w:id="147" w:name="_Toc352691487"/>
      <w:bookmarkEnd w:id="147"/>
      <w:bookmarkStart w:id="148" w:name="_Toc300834964"/>
      <w:bookmarkEnd w:id="148"/>
      <w:bookmarkStart w:id="149" w:name="_Toc152045543"/>
      <w:bookmarkEnd w:id="149"/>
      <w:bookmarkStart w:id="150" w:name="_Toc144974511"/>
      <w:bookmarkEnd w:id="150"/>
      <w:r>
        <w:rPr>
          <w:rFonts w:hint="eastAsia" w:eastAsia="宋体"/>
          <w:color w:val="auto"/>
          <w:kern w:val="2"/>
          <w:sz w:val="21"/>
          <w:szCs w:val="22"/>
          <w:lang w:eastAsia="zh-CN" w:bidi="ar-SA"/>
        </w:rPr>
        <w:t xml:space="preserve"> 本项目的报价方式见投标人须知前附表。</w:t>
      </w:r>
      <w:r>
        <w:rPr>
          <w:rFonts w:eastAsia="宋体"/>
          <w:color w:val="auto"/>
          <w:kern w:val="2"/>
          <w:sz w:val="21"/>
          <w:szCs w:val="22"/>
          <w:lang w:eastAsia="zh-CN" w:bidi="ar-SA"/>
        </w:rPr>
        <w:t>投标人在投标截止时间前修改投标函中的投标报价总额，应同时修改投标文件“</w:t>
      </w:r>
      <w:r>
        <w:rPr>
          <w:rFonts w:hint="eastAsia" w:eastAsia="宋体"/>
          <w:color w:val="auto"/>
          <w:kern w:val="2"/>
          <w:sz w:val="21"/>
          <w:szCs w:val="22"/>
          <w:lang w:eastAsia="zh-CN" w:bidi="ar-SA"/>
        </w:rPr>
        <w:t>监理报酬清单</w:t>
      </w:r>
      <w:r>
        <w:rPr>
          <w:rFonts w:eastAsia="宋体"/>
          <w:color w:val="auto"/>
          <w:kern w:val="2"/>
          <w:sz w:val="21"/>
          <w:szCs w:val="22"/>
          <w:lang w:eastAsia="zh-CN" w:bidi="ar-SA"/>
        </w:rPr>
        <w:t>”中的相应报价。此修改须符合本章第4.3款的有关要求。</w:t>
      </w:r>
    </w:p>
    <w:p w14:paraId="46FD2F03">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3.2.4 招标人设有最高投标限价的，投标人的投标报价不得超过最高投标限价，最高投标限价在投标</w:t>
      </w:r>
      <w:bookmarkStart w:id="151" w:name="_Toc152045544"/>
      <w:bookmarkStart w:id="152" w:name="_Toc144974512"/>
      <w:bookmarkStart w:id="153" w:name="_Toc384308225"/>
      <w:bookmarkStart w:id="154" w:name="_Toc247527569"/>
      <w:bookmarkStart w:id="155" w:name="_Toc247513968"/>
      <w:bookmarkStart w:id="156" w:name="_Toc152042320"/>
      <w:bookmarkStart w:id="157" w:name="_Toc300834965"/>
      <w:bookmarkStart w:id="158" w:name="_Toc10429"/>
      <w:bookmarkStart w:id="159" w:name="_Toc352691488"/>
      <w:bookmarkStart w:id="160" w:name="_Toc369531531"/>
      <w:bookmarkStart w:id="161" w:name="_Toc361508600"/>
      <w:r>
        <w:rPr>
          <w:rFonts w:eastAsia="宋体"/>
          <w:color w:val="auto"/>
          <w:kern w:val="2"/>
          <w:sz w:val="21"/>
          <w:szCs w:val="22"/>
          <w:lang w:eastAsia="zh-CN" w:bidi="ar-SA"/>
        </w:rPr>
        <w:t>人须知前附表中载明。</w:t>
      </w:r>
      <w:bookmarkEnd w:id="151"/>
      <w:bookmarkEnd w:id="152"/>
      <w:bookmarkEnd w:id="153"/>
      <w:bookmarkEnd w:id="154"/>
      <w:bookmarkEnd w:id="155"/>
      <w:bookmarkEnd w:id="156"/>
      <w:bookmarkEnd w:id="157"/>
      <w:bookmarkEnd w:id="158"/>
      <w:bookmarkEnd w:id="159"/>
      <w:bookmarkEnd w:id="160"/>
      <w:bookmarkEnd w:id="161"/>
    </w:p>
    <w:p w14:paraId="7A015B5B">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3.2.5 投标报价的其他要求见投标人须知前附表。</w:t>
      </w:r>
    </w:p>
    <w:p w14:paraId="211AA706">
      <w:pPr>
        <w:keepNext/>
        <w:keepLines/>
        <w:spacing w:before="260" w:after="260"/>
        <w:ind w:firstLine="137" w:firstLineChars="49"/>
        <w:jc w:val="both"/>
        <w:outlineLvl w:val="2"/>
        <w:rPr>
          <w:rFonts w:eastAsia="黑体"/>
          <w:color w:val="auto"/>
          <w:kern w:val="2"/>
          <w:sz w:val="28"/>
          <w:szCs w:val="20"/>
          <w:lang w:eastAsia="zh-CN" w:bidi="ar-SA"/>
        </w:rPr>
      </w:pPr>
      <w:bookmarkStart w:id="162" w:name="_Toc492300585"/>
      <w:bookmarkStart w:id="163" w:name="_Toc11693"/>
      <w:r>
        <w:rPr>
          <w:rFonts w:eastAsia="黑体"/>
          <w:color w:val="auto"/>
          <w:kern w:val="2"/>
          <w:sz w:val="28"/>
          <w:szCs w:val="20"/>
          <w:lang w:eastAsia="zh-CN" w:bidi="ar-SA"/>
        </w:rPr>
        <w:t>3.3 投标有效期</w:t>
      </w:r>
      <w:bookmarkEnd w:id="162"/>
      <w:bookmarkEnd w:id="163"/>
    </w:p>
    <w:p w14:paraId="1686597D">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3.3.1 除投标人须知前附表另有规定外，投标有效期为90天。</w:t>
      </w:r>
    </w:p>
    <w:p w14:paraId="3B23CEC0">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3.3.2 在投标有效期内，投标人撤销投标文件的，应承担招标文件和法律规定的责任。</w:t>
      </w:r>
    </w:p>
    <w:p w14:paraId="67BF7A62">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3.3.3 出现特殊情况需要延长投标有效期的，招标人以书面形式通知所有投标人延长投标有效期。投标人应予以书面答复，同意延长的，应相应延长其投标保证金的有效期，但不得要求或被允许修改其投标文件；投标人拒绝延长的，其投标失效，但投标人有权收回其投标保证金及以现金或者支票形式递交的投标保证金的银行同期存款利息。</w:t>
      </w:r>
    </w:p>
    <w:p w14:paraId="37C6EB40">
      <w:pPr>
        <w:keepNext/>
        <w:keepLines/>
        <w:spacing w:before="260" w:after="260"/>
        <w:ind w:firstLine="137" w:firstLineChars="49"/>
        <w:jc w:val="both"/>
        <w:outlineLvl w:val="2"/>
        <w:rPr>
          <w:rFonts w:eastAsia="黑体"/>
          <w:color w:val="auto"/>
          <w:kern w:val="2"/>
          <w:sz w:val="28"/>
          <w:szCs w:val="20"/>
          <w:lang w:eastAsia="zh-CN" w:bidi="ar-SA"/>
        </w:rPr>
      </w:pPr>
      <w:bookmarkStart w:id="164" w:name="_Toc2425"/>
      <w:bookmarkStart w:id="165" w:name="_Toc492300586"/>
      <w:r>
        <w:rPr>
          <w:rFonts w:eastAsia="黑体"/>
          <w:color w:val="auto"/>
          <w:kern w:val="2"/>
          <w:sz w:val="28"/>
          <w:szCs w:val="20"/>
          <w:lang w:eastAsia="zh-CN" w:bidi="ar-SA"/>
        </w:rPr>
        <w:t>3.4 投标保证金</w:t>
      </w:r>
      <w:bookmarkEnd w:id="164"/>
      <w:bookmarkEnd w:id="165"/>
    </w:p>
    <w:p w14:paraId="653BD46F">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3.4.1 投标人在递交投标文件的同时，应按投标人须知前附表规定的金额</w:t>
      </w:r>
      <w:bookmarkStart w:id="166" w:name="_Toc369531532"/>
      <w:bookmarkStart w:id="167" w:name="_Toc247527570"/>
      <w:bookmarkStart w:id="168" w:name="_Toc384308226"/>
      <w:bookmarkStart w:id="169" w:name="_Toc361508601"/>
      <w:bookmarkStart w:id="170" w:name="_Toc4592"/>
      <w:bookmarkStart w:id="171" w:name="_Toc352691489"/>
      <w:bookmarkStart w:id="172" w:name="_Toc152045545"/>
      <w:bookmarkStart w:id="173" w:name="_Toc300834966"/>
      <w:bookmarkStart w:id="174" w:name="_Toc144974513"/>
      <w:bookmarkStart w:id="175" w:name="_Toc152042321"/>
      <w:bookmarkStart w:id="176" w:name="_Toc247513969"/>
      <w:r>
        <w:rPr>
          <w:rFonts w:eastAsia="宋体"/>
          <w:color w:val="auto"/>
          <w:kern w:val="2"/>
          <w:sz w:val="21"/>
          <w:szCs w:val="22"/>
          <w:lang w:eastAsia="zh-CN" w:bidi="ar-SA"/>
        </w:rPr>
        <w:t>、形式和第六章“投标文</w:t>
      </w:r>
      <w:bookmarkEnd w:id="166"/>
      <w:bookmarkEnd w:id="167"/>
      <w:bookmarkEnd w:id="168"/>
      <w:bookmarkEnd w:id="169"/>
      <w:bookmarkEnd w:id="170"/>
      <w:bookmarkEnd w:id="171"/>
      <w:bookmarkEnd w:id="172"/>
      <w:bookmarkEnd w:id="173"/>
      <w:bookmarkEnd w:id="174"/>
      <w:bookmarkEnd w:id="175"/>
      <w:bookmarkEnd w:id="176"/>
      <w:r>
        <w:rPr>
          <w:rFonts w:eastAsia="宋体"/>
          <w:color w:val="auto"/>
          <w:kern w:val="2"/>
          <w:sz w:val="21"/>
          <w:szCs w:val="22"/>
          <w:lang w:eastAsia="zh-CN" w:bidi="ar-SA"/>
        </w:rPr>
        <w:t>件格式”规定的投标保证金格式递交投标保证金，并作为其投标文件的组成部分。境内投标人以现金或者支票形式提交的投标保证金，应当从其基本账户转出并在投标文件中附上基本账户开户证明。联合体投标的，其投标保证金可以由牵头人递交，并应符合投标人须知前附表的规定。</w:t>
      </w:r>
    </w:p>
    <w:p w14:paraId="43518C87">
      <w:pPr>
        <w:spacing w:line="400" w:lineRule="exact"/>
        <w:ind w:firstLine="420" w:firstLineChars="200"/>
        <w:rPr>
          <w:rFonts w:eastAsia="宋体"/>
          <w:color w:val="auto"/>
          <w:kern w:val="2"/>
          <w:sz w:val="21"/>
          <w:szCs w:val="22"/>
          <w:lang w:eastAsia="zh-CN" w:bidi="ar-SA"/>
        </w:rPr>
      </w:pPr>
      <w:r>
        <w:rPr>
          <w:rFonts w:eastAsia="宋体"/>
          <w:color w:val="auto"/>
          <w:kern w:val="2"/>
          <w:sz w:val="21"/>
          <w:szCs w:val="22"/>
          <w:lang w:eastAsia="zh-CN" w:bidi="ar-SA"/>
        </w:rPr>
        <w:t>3.4.2 投标人不按本章第3.4.1项</w:t>
      </w:r>
      <w:bookmarkStart w:id="177" w:name="_Toc29025"/>
      <w:bookmarkStart w:id="178" w:name="_Toc369531533"/>
      <w:bookmarkStart w:id="179" w:name="_Toc361508602"/>
      <w:bookmarkStart w:id="180" w:name="_Toc352691490"/>
      <w:bookmarkStart w:id="181" w:name="_Toc384308227"/>
      <w:r>
        <w:rPr>
          <w:rFonts w:eastAsia="宋体"/>
          <w:color w:val="auto"/>
          <w:kern w:val="2"/>
          <w:sz w:val="21"/>
          <w:szCs w:val="22"/>
          <w:lang w:eastAsia="zh-CN" w:bidi="ar-SA"/>
        </w:rPr>
        <w:t>要求提交投标保证金的，</w:t>
      </w:r>
      <w:bookmarkEnd w:id="177"/>
      <w:bookmarkEnd w:id="178"/>
      <w:bookmarkEnd w:id="179"/>
      <w:bookmarkEnd w:id="180"/>
      <w:bookmarkEnd w:id="181"/>
      <w:r>
        <w:rPr>
          <w:rFonts w:eastAsia="宋体"/>
          <w:color w:val="auto"/>
          <w:kern w:val="2"/>
          <w:sz w:val="21"/>
          <w:szCs w:val="22"/>
          <w:lang w:eastAsia="zh-CN" w:bidi="ar-SA"/>
        </w:rPr>
        <w:t>评标委员会将否决其投标。</w:t>
      </w:r>
    </w:p>
    <w:p w14:paraId="2A88E798">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3.4.3 招标人最迟将在与中标人</w:t>
      </w:r>
      <w:bookmarkStart w:id="182" w:name="_Toc152042322"/>
      <w:bookmarkStart w:id="183" w:name="_Toc369531534"/>
      <w:bookmarkStart w:id="184" w:name="_Toc352691491"/>
      <w:bookmarkStart w:id="185" w:name="_Toc247527571"/>
      <w:bookmarkStart w:id="186" w:name="_Toc247513970"/>
      <w:bookmarkStart w:id="187" w:name="_Toc152045546"/>
      <w:bookmarkStart w:id="188" w:name="_Toc14751"/>
      <w:bookmarkStart w:id="189" w:name="_Toc144974514"/>
      <w:bookmarkStart w:id="190" w:name="_Toc361508603"/>
      <w:bookmarkStart w:id="191" w:name="_Toc384308228"/>
      <w:bookmarkStart w:id="192" w:name="_Toc300834967"/>
      <w:r>
        <w:rPr>
          <w:rFonts w:eastAsia="宋体"/>
          <w:color w:val="auto"/>
          <w:kern w:val="2"/>
          <w:sz w:val="21"/>
          <w:szCs w:val="22"/>
          <w:lang w:eastAsia="zh-CN" w:bidi="ar-SA"/>
        </w:rPr>
        <w:t>签订合同后5日</w:t>
      </w:r>
      <w:bookmarkEnd w:id="182"/>
      <w:bookmarkEnd w:id="183"/>
      <w:bookmarkEnd w:id="184"/>
      <w:bookmarkEnd w:id="185"/>
      <w:bookmarkEnd w:id="186"/>
      <w:bookmarkEnd w:id="187"/>
      <w:bookmarkEnd w:id="188"/>
      <w:bookmarkEnd w:id="189"/>
      <w:bookmarkEnd w:id="190"/>
      <w:bookmarkEnd w:id="191"/>
      <w:bookmarkEnd w:id="192"/>
      <w:r>
        <w:rPr>
          <w:rFonts w:eastAsia="宋体"/>
          <w:color w:val="auto"/>
          <w:kern w:val="2"/>
          <w:sz w:val="21"/>
          <w:szCs w:val="22"/>
          <w:lang w:eastAsia="zh-CN" w:bidi="ar-SA"/>
        </w:rPr>
        <w:t>内</w:t>
      </w:r>
      <w:bookmarkStart w:id="193" w:name="_Toc152045547"/>
      <w:bookmarkStart w:id="194" w:name="_Toc300834968"/>
      <w:bookmarkStart w:id="195" w:name="_Toc152042323"/>
      <w:bookmarkStart w:id="196" w:name="_Toc247527572"/>
      <w:bookmarkStart w:id="197" w:name="_Toc352691492"/>
      <w:bookmarkStart w:id="198" w:name="_Toc384308229"/>
      <w:bookmarkStart w:id="199" w:name="_Toc144974515"/>
      <w:bookmarkStart w:id="200" w:name="_Toc247513971"/>
      <w:bookmarkStart w:id="201" w:name="_Toc361508604"/>
      <w:bookmarkStart w:id="202" w:name="_Toc369531535"/>
      <w:bookmarkStart w:id="203" w:name="_Toc17952"/>
      <w:r>
        <w:rPr>
          <w:rFonts w:eastAsia="宋体"/>
          <w:color w:val="auto"/>
          <w:kern w:val="2"/>
          <w:sz w:val="21"/>
          <w:szCs w:val="22"/>
          <w:lang w:eastAsia="zh-CN" w:bidi="ar-SA"/>
        </w:rPr>
        <w:t>，向未中标的投标人和中</w:t>
      </w:r>
      <w:bookmarkEnd w:id="193"/>
      <w:bookmarkEnd w:id="194"/>
      <w:bookmarkEnd w:id="195"/>
      <w:bookmarkEnd w:id="196"/>
      <w:bookmarkEnd w:id="197"/>
      <w:bookmarkEnd w:id="198"/>
      <w:bookmarkEnd w:id="199"/>
      <w:bookmarkEnd w:id="200"/>
      <w:bookmarkEnd w:id="201"/>
      <w:bookmarkEnd w:id="202"/>
      <w:bookmarkEnd w:id="203"/>
      <w:r>
        <w:rPr>
          <w:rFonts w:eastAsia="宋体"/>
          <w:color w:val="auto"/>
          <w:kern w:val="2"/>
          <w:sz w:val="21"/>
          <w:szCs w:val="22"/>
          <w:lang w:eastAsia="zh-CN" w:bidi="ar-SA"/>
        </w:rPr>
        <w:t>标人退还投标保证金。投标保证金以现金或者支票形式递交的，还应退还银行同期存款利息。</w:t>
      </w:r>
    </w:p>
    <w:p w14:paraId="61296FCF">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3.4.4 有下列情形之一的，投标保证金将不予退还：</w:t>
      </w:r>
    </w:p>
    <w:p w14:paraId="0DB33DE1">
      <w:pPr>
        <w:spacing w:line="400" w:lineRule="exact"/>
        <w:ind w:firstLine="315" w:firstLineChars="150"/>
        <w:jc w:val="both"/>
        <w:rPr>
          <w:rFonts w:eastAsia="宋体"/>
          <w:color w:val="auto"/>
          <w:kern w:val="2"/>
          <w:sz w:val="21"/>
          <w:szCs w:val="22"/>
          <w:lang w:eastAsia="zh-CN" w:bidi="ar-SA"/>
        </w:rPr>
      </w:pPr>
      <w:r>
        <w:rPr>
          <w:rFonts w:eastAsia="宋体"/>
          <w:color w:val="auto"/>
          <w:kern w:val="2"/>
          <w:sz w:val="21"/>
          <w:szCs w:val="22"/>
          <w:lang w:eastAsia="zh-CN" w:bidi="ar-SA"/>
        </w:rPr>
        <w:t>（1）投标人在投标有效期内撤销投标文件；</w:t>
      </w:r>
    </w:p>
    <w:p w14:paraId="3059A6DF">
      <w:pPr>
        <w:spacing w:line="400" w:lineRule="exact"/>
        <w:ind w:firstLine="315" w:firstLineChars="150"/>
        <w:jc w:val="both"/>
        <w:rPr>
          <w:rFonts w:eastAsia="宋体"/>
          <w:color w:val="auto"/>
          <w:kern w:val="2"/>
          <w:sz w:val="21"/>
          <w:szCs w:val="22"/>
          <w:lang w:eastAsia="zh-CN" w:bidi="ar-SA"/>
        </w:rPr>
      </w:pPr>
      <w:r>
        <w:rPr>
          <w:rFonts w:eastAsia="宋体"/>
          <w:color w:val="auto"/>
          <w:kern w:val="2"/>
          <w:sz w:val="21"/>
          <w:szCs w:val="22"/>
          <w:lang w:eastAsia="zh-CN" w:bidi="ar-SA"/>
        </w:rPr>
        <w:t>（2）中标人在收到中标通知书后，无正当理由不与招标人订立合同，在签订合同时向招标人提出附加条件，或者不按照招标文件要求提交履约保证金；</w:t>
      </w:r>
    </w:p>
    <w:p w14:paraId="7A639372">
      <w:pPr>
        <w:spacing w:line="400" w:lineRule="exact"/>
        <w:ind w:firstLine="315" w:firstLineChars="150"/>
        <w:jc w:val="both"/>
        <w:rPr>
          <w:rFonts w:eastAsia="宋体"/>
          <w:color w:val="auto"/>
          <w:kern w:val="2"/>
          <w:sz w:val="21"/>
          <w:szCs w:val="22"/>
          <w:lang w:eastAsia="zh-CN" w:bidi="ar-SA"/>
        </w:rPr>
      </w:pPr>
      <w:r>
        <w:rPr>
          <w:rFonts w:eastAsia="宋体"/>
          <w:color w:val="auto"/>
          <w:kern w:val="2"/>
          <w:sz w:val="21"/>
          <w:szCs w:val="22"/>
          <w:lang w:eastAsia="zh-CN" w:bidi="ar-SA"/>
        </w:rPr>
        <w:t>（3）发生投标人须知前附表</w:t>
      </w:r>
      <w:r>
        <w:rPr>
          <w:rFonts w:eastAsia="宋体"/>
          <w:color w:val="auto"/>
          <w:kern w:val="2"/>
          <w:sz w:val="21"/>
          <w:szCs w:val="21"/>
          <w:lang w:eastAsia="zh-CN" w:bidi="ar-SA"/>
        </w:rPr>
        <w:t>规定的其他可以不予退还投标保证金的情形。</w:t>
      </w:r>
    </w:p>
    <w:p w14:paraId="591C85D5">
      <w:pPr>
        <w:keepNext/>
        <w:keepLines/>
        <w:spacing w:before="260" w:after="260"/>
        <w:ind w:firstLine="137" w:firstLineChars="49"/>
        <w:jc w:val="both"/>
        <w:outlineLvl w:val="2"/>
        <w:rPr>
          <w:rFonts w:eastAsia="黑体"/>
          <w:color w:val="auto"/>
          <w:kern w:val="2"/>
          <w:sz w:val="28"/>
          <w:szCs w:val="20"/>
          <w:lang w:eastAsia="zh-CN" w:bidi="ar-SA"/>
        </w:rPr>
      </w:pPr>
      <w:bookmarkStart w:id="204" w:name="_Toc17804"/>
      <w:bookmarkStart w:id="205" w:name="_Toc492300587"/>
      <w:r>
        <w:rPr>
          <w:rFonts w:eastAsia="黑体"/>
          <w:color w:val="auto"/>
          <w:kern w:val="2"/>
          <w:sz w:val="28"/>
          <w:szCs w:val="20"/>
          <w:lang w:eastAsia="zh-CN" w:bidi="ar-SA"/>
        </w:rPr>
        <w:t>3.5 资格审查资料（适用于已进行资格预审的）</w:t>
      </w:r>
      <w:bookmarkEnd w:id="204"/>
      <w:bookmarkEnd w:id="205"/>
    </w:p>
    <w:p w14:paraId="36471B50">
      <w:pPr>
        <w:spacing w:line="400" w:lineRule="exact"/>
        <w:ind w:firstLine="420" w:firstLineChars="200"/>
        <w:rPr>
          <w:rFonts w:eastAsia="宋体"/>
          <w:color w:val="auto"/>
          <w:kern w:val="2"/>
          <w:sz w:val="21"/>
          <w:szCs w:val="22"/>
          <w:lang w:eastAsia="zh-CN" w:bidi="ar-SA"/>
        </w:rPr>
      </w:pPr>
      <w:r>
        <w:rPr>
          <w:rFonts w:eastAsia="宋体"/>
          <w:color w:val="auto"/>
          <w:kern w:val="2"/>
          <w:sz w:val="21"/>
          <w:szCs w:val="22"/>
          <w:lang w:eastAsia="zh-CN" w:bidi="ar-SA"/>
        </w:rPr>
        <w:t>投标人在递交投标文件前，发生可能影响其投标资格的新情况的，应更新或补充其在申请资格预审时提供的资料，以证实其各项资格条件仍能继续满足资格预审文件的要求，且没有实质性降低。</w:t>
      </w:r>
    </w:p>
    <w:p w14:paraId="60EFAB38">
      <w:pPr>
        <w:keepNext/>
        <w:keepLines/>
        <w:spacing w:before="260" w:after="260"/>
        <w:ind w:firstLine="137" w:firstLineChars="49"/>
        <w:jc w:val="both"/>
        <w:outlineLvl w:val="2"/>
        <w:rPr>
          <w:rFonts w:eastAsia="黑体"/>
          <w:color w:val="auto"/>
          <w:kern w:val="2"/>
          <w:sz w:val="28"/>
          <w:szCs w:val="20"/>
          <w:lang w:eastAsia="zh-CN" w:bidi="ar-SA"/>
        </w:rPr>
      </w:pPr>
      <w:bookmarkStart w:id="206" w:name="_Toc492300588"/>
      <w:bookmarkStart w:id="207" w:name="_Toc25441"/>
      <w:r>
        <w:rPr>
          <w:rFonts w:eastAsia="黑体"/>
          <w:color w:val="auto"/>
          <w:kern w:val="2"/>
          <w:sz w:val="28"/>
          <w:szCs w:val="20"/>
          <w:lang w:eastAsia="zh-CN" w:bidi="ar-SA"/>
        </w:rPr>
        <w:t>3.5 资格审查资料（适用于未进行资格预审的）</w:t>
      </w:r>
      <w:bookmarkEnd w:id="206"/>
      <w:bookmarkEnd w:id="207"/>
    </w:p>
    <w:p w14:paraId="65887768">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除投标人须知前附表另有规定外，投标人应按下列规定提供资格审查资料，以证明其满足本章第1.4款规定的资质、财务、业绩、信誉等要求。</w:t>
      </w:r>
    </w:p>
    <w:p w14:paraId="3F59B87B">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3.5.1 “投标人基本情况表”应附投标人营业执照和组织机构代码证的复印件（按照“三证合一”或“五证合一”登记制度进行登记的，可仅提供营业执照复印件）、投标人监理资质证书副本等材料的复印件。</w:t>
      </w:r>
    </w:p>
    <w:p w14:paraId="70072F81">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3.5.2 “近年财务状况表”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r>
        <w:rPr>
          <w:rFonts w:hint="eastAsia" w:eastAsia="宋体"/>
          <w:color w:val="auto"/>
          <w:kern w:val="2"/>
          <w:sz w:val="21"/>
          <w:szCs w:val="22"/>
          <w:lang w:eastAsia="zh-CN" w:bidi="ar-SA"/>
        </w:rPr>
        <w:t>（若资格条件中有要求才适用）</w:t>
      </w:r>
    </w:p>
    <w:p w14:paraId="5EB66C7C">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3.5.3 “近年完成的类似监理项目情况表”应附中标通知书和（或）合同协议书、委托人出具的证明文件；具体</w:t>
      </w:r>
      <w:r>
        <w:rPr>
          <w:rFonts w:hint="eastAsia" w:eastAsia="宋体"/>
          <w:color w:val="auto"/>
          <w:kern w:val="2"/>
          <w:sz w:val="21"/>
          <w:szCs w:val="22"/>
          <w:lang w:eastAsia="zh-CN" w:bidi="ar-SA"/>
        </w:rPr>
        <w:t>时间</w:t>
      </w:r>
      <w:r>
        <w:rPr>
          <w:rFonts w:eastAsia="宋体"/>
          <w:color w:val="auto"/>
          <w:kern w:val="2"/>
          <w:sz w:val="21"/>
          <w:szCs w:val="22"/>
          <w:lang w:eastAsia="zh-CN" w:bidi="ar-SA"/>
        </w:rPr>
        <w:t>要求见投标人须知前附表，每张表格只填写一个项目，并标明序号。</w:t>
      </w:r>
    </w:p>
    <w:p w14:paraId="176CBE5F">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3.5.4 “正在监理和新承接的项目情况表”应附中标通知书和（或）合同协议书复印件。每张表格只填写一个项目，并标明序号。</w:t>
      </w:r>
    </w:p>
    <w:p w14:paraId="41CFF683">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3.5.5 “近年发生的诉讼及仲裁情况”应说明投标人败诉的监理合同的相关情况，并附法院或仲裁机构作出的判决、裁决等有关法律文书复印件，具体</w:t>
      </w:r>
      <w:r>
        <w:rPr>
          <w:rFonts w:hint="eastAsia" w:eastAsia="宋体"/>
          <w:color w:val="auto"/>
          <w:kern w:val="2"/>
          <w:sz w:val="21"/>
          <w:szCs w:val="22"/>
          <w:lang w:eastAsia="zh-CN" w:bidi="ar-SA"/>
        </w:rPr>
        <w:t>时间</w:t>
      </w:r>
      <w:r>
        <w:rPr>
          <w:rFonts w:eastAsia="宋体"/>
          <w:color w:val="auto"/>
          <w:kern w:val="2"/>
          <w:sz w:val="21"/>
          <w:szCs w:val="22"/>
          <w:lang w:eastAsia="zh-CN" w:bidi="ar-SA"/>
        </w:rPr>
        <w:t>要求见投标人须知前附表。</w:t>
      </w:r>
    </w:p>
    <w:p w14:paraId="6230DBAD">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3.5.6 “拟委任的主要人员汇总表”应填报满足本章第1.4.1项规定的总监理工程师和其他主要人员的相关信息。“主要人员简历表”中总监理工程师应附身份证、学历证、职称证、</w:t>
      </w:r>
      <w:r>
        <w:rPr>
          <w:rFonts w:hint="eastAsia" w:eastAsia="宋体"/>
          <w:color w:val="auto"/>
          <w:kern w:val="2"/>
          <w:sz w:val="21"/>
          <w:szCs w:val="22"/>
          <w:lang w:eastAsia="zh-CN" w:bidi="ar-SA"/>
        </w:rPr>
        <w:t>注册监理工程师执业证书</w:t>
      </w:r>
      <w:r>
        <w:rPr>
          <w:rFonts w:eastAsia="宋体"/>
          <w:color w:val="auto"/>
          <w:kern w:val="2"/>
          <w:sz w:val="21"/>
          <w:szCs w:val="22"/>
          <w:lang w:eastAsia="zh-CN" w:bidi="ar-SA"/>
        </w:rPr>
        <w:t>和社保缴费证明复印件，管理过的项目业绩须附合同协议书复印件；其他主要人员应附身份证、学历证、职称证、</w:t>
      </w:r>
      <w:r>
        <w:rPr>
          <w:rFonts w:hint="eastAsia" w:eastAsia="宋体"/>
          <w:color w:val="auto"/>
          <w:kern w:val="2"/>
          <w:sz w:val="21"/>
          <w:szCs w:val="22"/>
          <w:lang w:eastAsia="zh-CN" w:bidi="ar-SA"/>
        </w:rPr>
        <w:t>注册监理工程师执业证书、其他</w:t>
      </w:r>
      <w:r>
        <w:rPr>
          <w:rFonts w:eastAsia="宋体"/>
          <w:color w:val="auto"/>
          <w:kern w:val="2"/>
          <w:sz w:val="21"/>
          <w:szCs w:val="22"/>
          <w:lang w:eastAsia="zh-CN" w:bidi="ar-SA"/>
        </w:rPr>
        <w:t>有关证书和社保缴费证明复印件。</w:t>
      </w:r>
    </w:p>
    <w:p w14:paraId="07685EC2">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3.5.7 “拟投入本项目的主要试验检测仪器设备表”应填报满足本章第1.4.1项规定的试验检测仪器设备。</w:t>
      </w:r>
      <w:r>
        <w:rPr>
          <w:rFonts w:hint="eastAsia" w:eastAsia="宋体"/>
          <w:color w:val="auto"/>
          <w:kern w:val="2"/>
          <w:sz w:val="21"/>
          <w:szCs w:val="22"/>
          <w:lang w:eastAsia="zh-CN" w:bidi="ar-SA"/>
        </w:rPr>
        <w:t>（若资格条件中有要求才适用）</w:t>
      </w:r>
    </w:p>
    <w:p w14:paraId="4A07E2F6">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3.5.8 投标人须知前附表规定接受联合体投标的，本章第3.5.1项至第3.5.7项规定的表格和资料应包括联合体各方相关情况。</w:t>
      </w:r>
    </w:p>
    <w:p w14:paraId="2B9AD0D5">
      <w:pPr>
        <w:keepNext/>
        <w:keepLines/>
        <w:spacing w:before="260" w:after="260"/>
        <w:ind w:firstLine="137" w:firstLineChars="49"/>
        <w:jc w:val="both"/>
        <w:outlineLvl w:val="2"/>
        <w:rPr>
          <w:rFonts w:eastAsia="黑体"/>
          <w:color w:val="auto"/>
          <w:kern w:val="2"/>
          <w:sz w:val="28"/>
          <w:szCs w:val="20"/>
          <w:lang w:eastAsia="zh-CN" w:bidi="ar-SA"/>
        </w:rPr>
      </w:pPr>
      <w:bookmarkStart w:id="208" w:name="_Toc4706"/>
      <w:bookmarkStart w:id="209" w:name="_Toc492300589"/>
      <w:r>
        <w:rPr>
          <w:rFonts w:eastAsia="黑体"/>
          <w:color w:val="auto"/>
          <w:kern w:val="2"/>
          <w:sz w:val="28"/>
          <w:szCs w:val="20"/>
          <w:lang w:eastAsia="zh-CN" w:bidi="ar-SA"/>
        </w:rPr>
        <w:t>3.6 备选投标方案</w:t>
      </w:r>
      <w:bookmarkEnd w:id="208"/>
      <w:bookmarkEnd w:id="209"/>
    </w:p>
    <w:p w14:paraId="6D4A5092">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3.6.1 除投标人须知前附表规定允许外，投标人不得递交备选投标方案，否则其投标将被否决。</w:t>
      </w:r>
    </w:p>
    <w:p w14:paraId="5701DF08">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3.6.2 允许投标人递交备选投标方案的，只有中标人所递交的备选投标方案方可予以考虑。评标委员会认为中标人的备选投标方案优于其按照招标文件要求编制的投标方案的，招标人可以接受该备选投标方案。</w:t>
      </w:r>
    </w:p>
    <w:p w14:paraId="7DD6289E">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3.6.3 投标人提供两个或两个以上投标报价，或者在投标文件中提供一个报价，但同时提供两个或两个以上</w:t>
      </w:r>
      <w:bookmarkStart w:id="210" w:name="_Toc384308232"/>
      <w:bookmarkStart w:id="211" w:name="_Toc247513974"/>
      <w:bookmarkStart w:id="212" w:name="_Toc152042326"/>
      <w:bookmarkStart w:id="213" w:name="_Toc247527575"/>
      <w:bookmarkStart w:id="214" w:name="_Toc144974518"/>
      <w:bookmarkStart w:id="215" w:name="_Toc300834971"/>
      <w:bookmarkStart w:id="216" w:name="_Toc369531538"/>
      <w:bookmarkStart w:id="217" w:name="_Toc29902"/>
      <w:bookmarkStart w:id="218" w:name="_Toc352691495"/>
      <w:bookmarkStart w:id="219" w:name="_Toc152045550"/>
      <w:bookmarkStart w:id="220" w:name="_Toc361508607"/>
      <w:r>
        <w:rPr>
          <w:rFonts w:eastAsia="宋体"/>
          <w:color w:val="auto"/>
          <w:kern w:val="2"/>
          <w:sz w:val="21"/>
          <w:szCs w:val="22"/>
          <w:lang w:eastAsia="zh-CN" w:bidi="ar-SA"/>
        </w:rPr>
        <w:t>监理方案的</w:t>
      </w:r>
      <w:bookmarkEnd w:id="210"/>
      <w:bookmarkEnd w:id="211"/>
      <w:bookmarkEnd w:id="212"/>
      <w:bookmarkEnd w:id="213"/>
      <w:bookmarkEnd w:id="214"/>
      <w:bookmarkEnd w:id="215"/>
      <w:bookmarkEnd w:id="216"/>
      <w:bookmarkEnd w:id="217"/>
      <w:bookmarkEnd w:id="218"/>
      <w:bookmarkEnd w:id="219"/>
      <w:bookmarkEnd w:id="220"/>
      <w:r>
        <w:rPr>
          <w:rFonts w:eastAsia="宋体"/>
          <w:color w:val="auto"/>
          <w:kern w:val="2"/>
          <w:sz w:val="21"/>
          <w:szCs w:val="22"/>
          <w:lang w:eastAsia="zh-CN" w:bidi="ar-SA"/>
        </w:rPr>
        <w:t>，视为提供备选方案。</w:t>
      </w:r>
    </w:p>
    <w:p w14:paraId="1BE13920">
      <w:pPr>
        <w:keepNext/>
        <w:keepLines/>
        <w:spacing w:before="260" w:after="260"/>
        <w:ind w:firstLine="137" w:firstLineChars="49"/>
        <w:jc w:val="both"/>
        <w:outlineLvl w:val="2"/>
        <w:rPr>
          <w:rFonts w:eastAsia="黑体"/>
          <w:color w:val="auto"/>
          <w:kern w:val="2"/>
          <w:sz w:val="28"/>
          <w:szCs w:val="20"/>
          <w:lang w:eastAsia="zh-CN" w:bidi="ar-SA"/>
        </w:rPr>
      </w:pPr>
      <w:bookmarkStart w:id="221" w:name="_Toc492300590"/>
      <w:bookmarkStart w:id="222" w:name="_Toc12240"/>
      <w:r>
        <w:rPr>
          <w:rFonts w:eastAsia="黑体"/>
          <w:color w:val="auto"/>
          <w:kern w:val="2"/>
          <w:sz w:val="28"/>
          <w:szCs w:val="20"/>
          <w:lang w:eastAsia="zh-CN" w:bidi="ar-SA"/>
        </w:rPr>
        <w:t>3.7 投标文件的编制</w:t>
      </w:r>
      <w:bookmarkEnd w:id="221"/>
      <w:bookmarkEnd w:id="222"/>
    </w:p>
    <w:p w14:paraId="2A5940B1">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3.7.1 投标文件应按第六章“投标文件格式”进行编写，如有必要，可以增加附页，作为投标文件的组成部分。其中，投标函附录在满足招标文件实质性要求的基础上，可以提出比招标文件要求更有利于招标人的承诺。</w:t>
      </w:r>
    </w:p>
    <w:p w14:paraId="3D138564">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3.7.2 投标文件应当对招标文件有关监理服务期限、投标有效期、委托人要求、招标范围等实质性内容作出响应。</w:t>
      </w:r>
    </w:p>
    <w:p w14:paraId="30F124EC">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3.7.3（A）（1）投标文件应用不褪色的材料书写或打印，投标函</w:t>
      </w:r>
      <w:r>
        <w:rPr>
          <w:rFonts w:hint="eastAsia" w:eastAsia="宋体"/>
          <w:color w:val="auto"/>
          <w:kern w:val="2"/>
          <w:sz w:val="21"/>
          <w:szCs w:val="22"/>
          <w:lang w:eastAsia="zh-CN" w:bidi="ar-SA"/>
        </w:rPr>
        <w:t>、投标函附录</w:t>
      </w:r>
      <w:r>
        <w:rPr>
          <w:rFonts w:eastAsia="宋体"/>
          <w:color w:val="auto"/>
          <w:kern w:val="2"/>
          <w:sz w:val="21"/>
          <w:szCs w:val="22"/>
          <w:lang w:eastAsia="zh-CN" w:bidi="ar-SA"/>
        </w:rPr>
        <w:t>及对投标文件的澄清、说明和补正应由投标人的法定代表人或其授权的代理人签字或盖单位章。由投标人的法定代表人签字的，应附法定代表人身份证明，由代理人签字的，应附授权委托书，身份证明或授权委托书应符合第六章“投标文件格式”的要求。投标文件应尽量避免涂改、行间插字或删除。如果出现上述情况，改动之处应由投标人的法定代表人或其授权的代理人签字或盖单位章。</w:t>
      </w:r>
    </w:p>
    <w:p w14:paraId="2E22322D">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（2）投标文件正本一份，副本份数见投标人须知前附表。正本和副本的封面</w:t>
      </w:r>
      <w:r>
        <w:rPr>
          <w:rFonts w:eastAsia="宋体"/>
          <w:color w:val="auto"/>
          <w:sz w:val="21"/>
          <w:szCs w:val="22"/>
          <w:lang w:eastAsia="zh-CN" w:bidi="ar-SA"/>
        </w:rPr>
        <w:t>右上角</w:t>
      </w:r>
      <w:r>
        <w:rPr>
          <w:rFonts w:eastAsia="宋体"/>
          <w:color w:val="auto"/>
          <w:kern w:val="2"/>
          <w:sz w:val="21"/>
          <w:szCs w:val="22"/>
          <w:lang w:eastAsia="zh-CN" w:bidi="ar-SA"/>
        </w:rPr>
        <w:t>上应清楚地标记“正本”或“副本”的字样。投标人应根据投标人须知前附表要求提供电子版文件。当副本和正本不一致或电子版文件和纸质正本文件不一致时，以纸质正本文件为准。</w:t>
      </w:r>
    </w:p>
    <w:p w14:paraId="70EBA3EA">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（3）投标文件的正本与副本应分别装订，并编制目录，投标文件需分册装订的，具体分册装订要求见投标人须知前附表规定。</w:t>
      </w:r>
    </w:p>
    <w:p w14:paraId="1AFC315C">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3.7.3（B）投标文件全部采用电子文档，除投标人须知前附表另有规定外，投标文件所附证书证件均为原件扫描件，并</w:t>
      </w:r>
      <w:r>
        <w:rPr>
          <w:rFonts w:eastAsia="宋体"/>
          <w:color w:val="auto"/>
          <w:kern w:val="2"/>
          <w:sz w:val="21"/>
          <w:szCs w:val="21"/>
          <w:lang w:eastAsia="zh-CN" w:bidi="ar-SA"/>
        </w:rPr>
        <w:t>采用单位和个人数字证书，按招标文件要求在相应位置加盖电子印章</w:t>
      </w:r>
      <w:r>
        <w:rPr>
          <w:rFonts w:eastAsia="宋体"/>
          <w:color w:val="auto"/>
          <w:kern w:val="2"/>
          <w:sz w:val="21"/>
          <w:szCs w:val="22"/>
          <w:lang w:eastAsia="zh-CN" w:bidi="ar-SA"/>
        </w:rPr>
        <w:t>。由投标人的法定代表人签字或加盖电子印章的，应附法定代表人身份证明，由代理人签字或加盖电子印章的，应附由法定代表人签署的授权委托书。签字或盖章的具体要求见投标人须知前附表。</w:t>
      </w:r>
    </w:p>
    <w:p w14:paraId="57FE58E2">
      <w:pPr>
        <w:keepNext/>
        <w:keepLines/>
        <w:spacing w:before="260" w:after="260" w:line="412" w:lineRule="auto"/>
        <w:jc w:val="both"/>
        <w:outlineLvl w:val="1"/>
        <w:rPr>
          <w:rFonts w:eastAsia="黑体"/>
          <w:b/>
          <w:color w:val="auto"/>
          <w:kern w:val="2"/>
          <w:sz w:val="32"/>
          <w:szCs w:val="20"/>
          <w:lang w:eastAsia="zh-CN" w:bidi="ar-SA"/>
        </w:rPr>
      </w:pPr>
      <w:bookmarkStart w:id="223" w:name="_Toc19559"/>
      <w:bookmarkStart w:id="224" w:name="_Toc492300591"/>
      <w:r>
        <w:rPr>
          <w:rFonts w:eastAsia="黑体"/>
          <w:b/>
          <w:color w:val="auto"/>
          <w:kern w:val="2"/>
          <w:sz w:val="32"/>
          <w:szCs w:val="20"/>
          <w:lang w:eastAsia="zh-CN" w:bidi="ar-SA"/>
        </w:rPr>
        <w:t>4. 投标</w:t>
      </w:r>
      <w:bookmarkEnd w:id="223"/>
      <w:bookmarkEnd w:id="224"/>
    </w:p>
    <w:p w14:paraId="53A4B45C">
      <w:pPr>
        <w:keepNext/>
        <w:keepLines/>
        <w:spacing w:before="260" w:after="260"/>
        <w:ind w:firstLine="137" w:firstLineChars="49"/>
        <w:jc w:val="both"/>
        <w:outlineLvl w:val="2"/>
        <w:rPr>
          <w:rFonts w:eastAsia="黑体"/>
          <w:color w:val="auto"/>
          <w:kern w:val="2"/>
          <w:sz w:val="28"/>
          <w:szCs w:val="20"/>
          <w:lang w:eastAsia="zh-CN" w:bidi="ar-SA"/>
        </w:rPr>
      </w:pPr>
      <w:bookmarkStart w:id="225" w:name="_Toc492300592"/>
      <w:bookmarkStart w:id="226" w:name="_Toc31595"/>
      <w:r>
        <w:rPr>
          <w:rFonts w:eastAsia="黑体"/>
          <w:color w:val="auto"/>
          <w:kern w:val="2"/>
          <w:sz w:val="28"/>
          <w:szCs w:val="20"/>
          <w:lang w:eastAsia="zh-CN" w:bidi="ar-SA"/>
        </w:rPr>
        <w:t>4.1 投标文件的密封和标记</w:t>
      </w:r>
      <w:bookmarkEnd w:id="225"/>
      <w:bookmarkEnd w:id="226"/>
    </w:p>
    <w:p w14:paraId="70A81A97">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4.1.1 （A）投标文件应密封包装，并在封套的封口处加盖投标人单位章或由投标人的法定代表人或其授权的代理人签字。</w:t>
      </w:r>
    </w:p>
    <w:p w14:paraId="7C1105A4">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4.1.1 （B）投标人应当按照招标文件和电子招标投标交易平台的要求加密投标文件，具体要求见投标人须知前附表。</w:t>
      </w:r>
    </w:p>
    <w:p w14:paraId="34126F45">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4.1.2 投标文件封套上应写明的内容见投标人须知前附表。</w:t>
      </w:r>
    </w:p>
    <w:p w14:paraId="42438C4C">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4.1.3 未按本章第4.1.1项要求密封的投标文件，招标人将予以拒收。</w:t>
      </w:r>
    </w:p>
    <w:p w14:paraId="346A1E78">
      <w:pPr>
        <w:keepNext/>
        <w:keepLines/>
        <w:spacing w:before="260" w:after="260"/>
        <w:ind w:firstLine="137" w:firstLineChars="49"/>
        <w:jc w:val="both"/>
        <w:outlineLvl w:val="2"/>
        <w:rPr>
          <w:rFonts w:eastAsia="黑体"/>
          <w:color w:val="auto"/>
          <w:kern w:val="2"/>
          <w:sz w:val="28"/>
          <w:szCs w:val="20"/>
          <w:lang w:eastAsia="zh-CN" w:bidi="ar-SA"/>
        </w:rPr>
      </w:pPr>
      <w:bookmarkStart w:id="227" w:name="_Toc492300593"/>
      <w:bookmarkStart w:id="228" w:name="_Toc30132"/>
      <w:r>
        <w:rPr>
          <w:rFonts w:eastAsia="黑体"/>
          <w:color w:val="auto"/>
          <w:kern w:val="2"/>
          <w:sz w:val="28"/>
          <w:szCs w:val="20"/>
          <w:lang w:eastAsia="zh-CN" w:bidi="ar-SA"/>
        </w:rPr>
        <w:t>4.2 投标文件的递交</w:t>
      </w:r>
      <w:bookmarkEnd w:id="227"/>
      <w:bookmarkEnd w:id="228"/>
    </w:p>
    <w:p w14:paraId="661FB9C8">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4.2.1 投标人应在投标人须知前附表规定的投标截止时间前递交投标文件。</w:t>
      </w:r>
    </w:p>
    <w:p w14:paraId="6A2725D7">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4.2.2 （A）投标人递交投标文件的地点：见投标人须知前附表。</w:t>
      </w:r>
    </w:p>
    <w:p w14:paraId="7AE3906E">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4.2.2 （B）</w:t>
      </w:r>
      <w:r>
        <w:rPr>
          <w:rFonts w:eastAsia="宋体"/>
          <w:bCs/>
          <w:iCs/>
          <w:color w:val="auto"/>
          <w:kern w:val="2"/>
          <w:sz w:val="21"/>
          <w:szCs w:val="22"/>
          <w:lang w:eastAsia="zh-CN" w:bidi="ar-SA"/>
        </w:rPr>
        <w:t>投标人通过下载招标文件的电子招标投标交易平台递交电子投标文件。</w:t>
      </w:r>
    </w:p>
    <w:p w14:paraId="0728B850">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4.2.3 除投标人须知前附表另有规定外，投标人所递交的投标文件不予退还。</w:t>
      </w:r>
    </w:p>
    <w:p w14:paraId="40337B5A">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4.2.4 （A）招标人收到投标文件后，向投标人出具签收凭证。</w:t>
      </w:r>
    </w:p>
    <w:p w14:paraId="120FFE92">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4.2.4 （B）投标人完成电子投标文件上传后，</w:t>
      </w:r>
      <w:r>
        <w:rPr>
          <w:rFonts w:eastAsia="宋体"/>
          <w:bCs/>
          <w:iCs/>
          <w:color w:val="auto"/>
          <w:kern w:val="2"/>
          <w:sz w:val="21"/>
          <w:szCs w:val="22"/>
          <w:lang w:eastAsia="zh-CN" w:bidi="ar-SA"/>
        </w:rPr>
        <w:t>电子招标投标交易平台</w:t>
      </w:r>
      <w:r>
        <w:rPr>
          <w:rFonts w:eastAsia="宋体"/>
          <w:color w:val="auto"/>
          <w:kern w:val="2"/>
          <w:sz w:val="21"/>
          <w:szCs w:val="22"/>
          <w:lang w:eastAsia="zh-CN" w:bidi="ar-SA"/>
        </w:rPr>
        <w:t>即时向投标人发出递交回执通知。递交时间以递交回执通知载明的传输完成时间为准。</w:t>
      </w:r>
    </w:p>
    <w:p w14:paraId="0AA5D679">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4.2.5 （A）逾期送达的投标文件，招标人将予以拒收。</w:t>
      </w:r>
    </w:p>
    <w:p w14:paraId="1721929D">
      <w:pPr>
        <w:spacing w:line="400" w:lineRule="exact"/>
        <w:ind w:firstLine="420" w:firstLineChars="200"/>
        <w:rPr>
          <w:rFonts w:eastAsia="宋体"/>
          <w:color w:val="auto"/>
          <w:kern w:val="2"/>
          <w:sz w:val="21"/>
          <w:szCs w:val="22"/>
          <w:lang w:eastAsia="zh-CN" w:bidi="ar-SA"/>
        </w:rPr>
      </w:pPr>
      <w:r>
        <w:rPr>
          <w:rFonts w:eastAsia="宋体"/>
          <w:color w:val="auto"/>
          <w:kern w:val="2"/>
          <w:sz w:val="21"/>
          <w:szCs w:val="22"/>
          <w:lang w:eastAsia="zh-CN" w:bidi="ar-SA"/>
        </w:rPr>
        <w:t>4.2.5 （B）逾期送达的投标文件，电子招标投标交易平台将予以拒收。</w:t>
      </w:r>
    </w:p>
    <w:p w14:paraId="7E023C6A">
      <w:pPr>
        <w:spacing w:line="400" w:lineRule="exact"/>
        <w:ind w:firstLine="420" w:firstLineChars="200"/>
        <w:jc w:val="both"/>
        <w:rPr>
          <w:rFonts w:eastAsia="宋体"/>
          <w:color w:val="auto"/>
          <w:kern w:val="2"/>
          <w:sz w:val="21"/>
          <w:szCs w:val="22"/>
          <w:lang w:eastAsia="zh-CN" w:bidi="ar-SA"/>
        </w:rPr>
      </w:pPr>
    </w:p>
    <w:p w14:paraId="36D4B53B">
      <w:pPr>
        <w:keepNext/>
        <w:keepLines/>
        <w:spacing w:before="260" w:after="260"/>
        <w:ind w:firstLine="137" w:firstLineChars="49"/>
        <w:jc w:val="both"/>
        <w:outlineLvl w:val="2"/>
        <w:rPr>
          <w:rFonts w:eastAsia="黑体"/>
          <w:color w:val="auto"/>
          <w:kern w:val="2"/>
          <w:sz w:val="28"/>
          <w:szCs w:val="20"/>
          <w:lang w:eastAsia="zh-CN" w:bidi="ar-SA"/>
        </w:rPr>
      </w:pPr>
      <w:bookmarkStart w:id="229" w:name="_Toc492300594"/>
      <w:bookmarkStart w:id="230" w:name="_Toc28624"/>
      <w:r>
        <w:rPr>
          <w:rFonts w:eastAsia="黑体"/>
          <w:color w:val="auto"/>
          <w:kern w:val="2"/>
          <w:sz w:val="28"/>
          <w:szCs w:val="20"/>
          <w:lang w:eastAsia="zh-CN" w:bidi="ar-SA"/>
        </w:rPr>
        <w:t>4.3 投标文件的修改与撤回</w:t>
      </w:r>
      <w:bookmarkEnd w:id="229"/>
      <w:bookmarkEnd w:id="230"/>
    </w:p>
    <w:p w14:paraId="193962B1">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4.3.1 在本章第4.2.1项规定的投标截止时间前，投标人可以修改或撤回已递交的投标文件，但应以书面形式通知招标人。</w:t>
      </w:r>
    </w:p>
    <w:p w14:paraId="498BD400">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4.3.2 （A）投标人修改或撤回已递交投标文件的书面通知应按照本章第3.7.3（A）项的要求签字或盖章。招标人收到书面通知后，向投标人出具签收凭证。</w:t>
      </w:r>
    </w:p>
    <w:p w14:paraId="1450EA94">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4.3.2 （B）投标人修改或撤回已递交投标文件的通知，应按照本章第3.7.3（B）项的要求加盖电子印章。</w:t>
      </w:r>
      <w:r>
        <w:rPr>
          <w:rFonts w:eastAsia="宋体"/>
          <w:bCs/>
          <w:iCs/>
          <w:color w:val="auto"/>
          <w:kern w:val="2"/>
          <w:sz w:val="21"/>
          <w:szCs w:val="22"/>
          <w:lang w:eastAsia="zh-CN" w:bidi="ar-SA"/>
        </w:rPr>
        <w:t>电子招标投标交易平台收到通知后，</w:t>
      </w:r>
      <w:r>
        <w:rPr>
          <w:rFonts w:eastAsia="宋体"/>
          <w:color w:val="auto"/>
          <w:kern w:val="2"/>
          <w:sz w:val="21"/>
          <w:szCs w:val="22"/>
          <w:lang w:eastAsia="zh-CN" w:bidi="ar-SA"/>
        </w:rPr>
        <w:t>即时向投标人发出确认回执通知。</w:t>
      </w:r>
    </w:p>
    <w:p w14:paraId="7F43FCCA">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4.3.3 投标人撤回投标文件的，招标人自收到投标人书面撤回通知之日起5日内退还已收取的投标保证金。</w:t>
      </w:r>
    </w:p>
    <w:p w14:paraId="6E45C718">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4.3.</w:t>
      </w:r>
      <w:bookmarkStart w:id="231" w:name="_Toc247513977"/>
      <w:bookmarkStart w:id="232" w:name="_Toc144974521"/>
      <w:bookmarkStart w:id="233" w:name="_Toc369531541"/>
      <w:bookmarkStart w:id="234" w:name="_Toc152045553"/>
      <w:bookmarkStart w:id="235" w:name="_Toc361508610"/>
      <w:bookmarkStart w:id="236" w:name="_Toc152042329"/>
      <w:bookmarkStart w:id="237" w:name="_Toc384308235"/>
      <w:bookmarkStart w:id="238" w:name="_Toc352691497"/>
      <w:bookmarkStart w:id="239" w:name="_Toc300834974"/>
      <w:bookmarkStart w:id="240" w:name="_Toc247527578"/>
      <w:bookmarkStart w:id="241" w:name="_Toc19203"/>
      <w:r>
        <w:rPr>
          <w:rFonts w:eastAsia="宋体"/>
          <w:color w:val="auto"/>
          <w:kern w:val="2"/>
          <w:sz w:val="21"/>
          <w:szCs w:val="22"/>
          <w:lang w:eastAsia="zh-CN" w:bidi="ar-SA"/>
        </w:rPr>
        <w:t>4 修改的内容为投标</w:t>
      </w:r>
      <w:bookmarkEnd w:id="231"/>
      <w:bookmarkEnd w:id="232"/>
      <w:bookmarkEnd w:id="233"/>
      <w:bookmarkEnd w:id="234"/>
      <w:bookmarkEnd w:id="235"/>
      <w:bookmarkEnd w:id="236"/>
      <w:bookmarkEnd w:id="237"/>
      <w:bookmarkEnd w:id="238"/>
      <w:bookmarkEnd w:id="239"/>
      <w:bookmarkEnd w:id="240"/>
      <w:bookmarkEnd w:id="241"/>
      <w:r>
        <w:rPr>
          <w:rFonts w:eastAsia="宋体"/>
          <w:color w:val="auto"/>
          <w:kern w:val="2"/>
          <w:sz w:val="21"/>
          <w:szCs w:val="22"/>
          <w:lang w:eastAsia="zh-CN" w:bidi="ar-SA"/>
        </w:rPr>
        <w:t>文件的组成部分。修改的投标文件应按照本章第3条、第4条的规定进行编制、密封、标记和递交，并标明“修改”字样。</w:t>
      </w:r>
    </w:p>
    <w:p w14:paraId="05F3CB59">
      <w:pPr>
        <w:keepNext/>
        <w:keepLines/>
        <w:spacing w:before="260" w:after="260" w:line="412" w:lineRule="auto"/>
        <w:jc w:val="both"/>
        <w:outlineLvl w:val="1"/>
        <w:rPr>
          <w:rFonts w:eastAsia="黑体"/>
          <w:b/>
          <w:color w:val="auto"/>
          <w:kern w:val="2"/>
          <w:sz w:val="32"/>
          <w:szCs w:val="20"/>
          <w:lang w:eastAsia="zh-CN" w:bidi="ar-SA"/>
        </w:rPr>
      </w:pPr>
      <w:bookmarkStart w:id="242" w:name="_Toc2502"/>
      <w:bookmarkStart w:id="243" w:name="_Toc492300595"/>
      <w:r>
        <w:rPr>
          <w:rFonts w:eastAsia="黑体"/>
          <w:b/>
          <w:color w:val="auto"/>
          <w:kern w:val="2"/>
          <w:sz w:val="32"/>
          <w:szCs w:val="20"/>
          <w:lang w:eastAsia="zh-CN" w:bidi="ar-SA"/>
        </w:rPr>
        <w:t>5. 开标</w:t>
      </w:r>
      <w:bookmarkEnd w:id="242"/>
      <w:bookmarkEnd w:id="243"/>
    </w:p>
    <w:p w14:paraId="74CCD0E6">
      <w:pPr>
        <w:keepNext/>
        <w:keepLines/>
        <w:spacing w:before="260" w:after="260"/>
        <w:ind w:firstLine="137" w:firstLineChars="49"/>
        <w:jc w:val="both"/>
        <w:outlineLvl w:val="2"/>
        <w:rPr>
          <w:rFonts w:eastAsia="黑体"/>
          <w:color w:val="auto"/>
          <w:kern w:val="2"/>
          <w:sz w:val="28"/>
          <w:szCs w:val="20"/>
          <w:lang w:eastAsia="zh-CN" w:bidi="ar-SA"/>
        </w:rPr>
      </w:pPr>
      <w:bookmarkStart w:id="244" w:name="_Toc492300596"/>
      <w:bookmarkStart w:id="245" w:name="_Toc6517"/>
      <w:r>
        <w:rPr>
          <w:rFonts w:eastAsia="黑体"/>
          <w:color w:val="auto"/>
          <w:kern w:val="2"/>
          <w:sz w:val="28"/>
          <w:szCs w:val="20"/>
          <w:lang w:eastAsia="zh-CN" w:bidi="ar-SA"/>
        </w:rPr>
        <w:t>5.1 开标时间和地点（A）</w:t>
      </w:r>
      <w:bookmarkEnd w:id="244"/>
      <w:bookmarkEnd w:id="245"/>
    </w:p>
    <w:p w14:paraId="7076F0E7">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招标人在本章第4.2.1项规定的投标截止时间（开标时间）和投标人须知前附表规定的地点公开开标，并邀请所有投标人的法定代表人或其委托代理人准时参加。</w:t>
      </w:r>
    </w:p>
    <w:p w14:paraId="1E04B6BF">
      <w:pPr>
        <w:keepNext/>
        <w:keepLines/>
        <w:spacing w:before="260" w:after="260"/>
        <w:ind w:firstLine="137" w:firstLineChars="49"/>
        <w:jc w:val="both"/>
        <w:outlineLvl w:val="2"/>
        <w:rPr>
          <w:rFonts w:eastAsia="黑体"/>
          <w:color w:val="auto"/>
          <w:kern w:val="2"/>
          <w:sz w:val="28"/>
          <w:szCs w:val="20"/>
          <w:lang w:eastAsia="zh-CN" w:bidi="ar-SA"/>
        </w:rPr>
      </w:pPr>
      <w:bookmarkStart w:id="246" w:name="_Toc492300597"/>
      <w:bookmarkStart w:id="247" w:name="_Toc11881"/>
      <w:r>
        <w:rPr>
          <w:rFonts w:eastAsia="黑体"/>
          <w:color w:val="auto"/>
          <w:kern w:val="2"/>
          <w:sz w:val="28"/>
          <w:szCs w:val="20"/>
          <w:lang w:eastAsia="zh-CN" w:bidi="ar-SA"/>
        </w:rPr>
        <w:t>5.1 开标时间和地点（B）</w:t>
      </w:r>
      <w:bookmarkEnd w:id="246"/>
      <w:bookmarkEnd w:id="247"/>
    </w:p>
    <w:p w14:paraId="35E3755C">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招标人在本章第4.2.1项规定的投标截止时间（开标时间）,通过电子招标投标交易平台公开开标，所有投标人的法定代表人或其委托代理人应当准时参加。</w:t>
      </w:r>
    </w:p>
    <w:p w14:paraId="721A1832">
      <w:pPr>
        <w:keepNext/>
        <w:keepLines/>
        <w:spacing w:before="260" w:after="260"/>
        <w:ind w:firstLine="137" w:firstLineChars="49"/>
        <w:jc w:val="both"/>
        <w:outlineLvl w:val="2"/>
        <w:rPr>
          <w:rFonts w:eastAsia="黑体"/>
          <w:color w:val="auto"/>
          <w:kern w:val="2"/>
          <w:sz w:val="28"/>
          <w:szCs w:val="20"/>
          <w:lang w:eastAsia="zh-CN" w:bidi="ar-SA"/>
        </w:rPr>
      </w:pPr>
      <w:bookmarkStart w:id="248" w:name="_Toc19832"/>
      <w:bookmarkStart w:id="249" w:name="_Toc492300598"/>
      <w:r>
        <w:rPr>
          <w:rFonts w:eastAsia="黑体"/>
          <w:color w:val="auto"/>
          <w:kern w:val="2"/>
          <w:sz w:val="28"/>
          <w:szCs w:val="20"/>
          <w:lang w:eastAsia="zh-CN" w:bidi="ar-SA"/>
        </w:rPr>
        <w:t>5.2 开标程序</w:t>
      </w:r>
      <w:bookmarkEnd w:id="248"/>
      <w:bookmarkEnd w:id="249"/>
    </w:p>
    <w:p w14:paraId="6E1F24D5">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主持人按下列程序进行开标：</w:t>
      </w:r>
    </w:p>
    <w:p w14:paraId="3BD4E428">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（1）宣布开标纪律；</w:t>
      </w:r>
    </w:p>
    <w:p w14:paraId="7141B835">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（2）公布在投标截止时间前递交投标文件的投标人名称；</w:t>
      </w:r>
    </w:p>
    <w:p w14:paraId="0144B5C1">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（3）宣布</w:t>
      </w:r>
      <w:bookmarkStart w:id="250" w:name="_Toc352691498"/>
      <w:bookmarkStart w:id="251" w:name="_Toc369531542"/>
      <w:bookmarkStart w:id="252" w:name="_Toc247513978"/>
      <w:bookmarkStart w:id="253" w:name="_Toc152045554"/>
      <w:bookmarkStart w:id="254" w:name="_Toc22119"/>
      <w:bookmarkStart w:id="255" w:name="_Toc361508611"/>
      <w:bookmarkStart w:id="256" w:name="_Toc247527579"/>
      <w:bookmarkStart w:id="257" w:name="_Toc152042330"/>
      <w:bookmarkStart w:id="258" w:name="_Toc144974522"/>
      <w:bookmarkStart w:id="259" w:name="_Toc384308236"/>
      <w:bookmarkStart w:id="260" w:name="_Toc300834975"/>
      <w:r>
        <w:rPr>
          <w:rFonts w:eastAsia="宋体"/>
          <w:color w:val="auto"/>
          <w:kern w:val="2"/>
          <w:sz w:val="21"/>
          <w:szCs w:val="22"/>
          <w:lang w:eastAsia="zh-CN" w:bidi="ar-SA"/>
        </w:rPr>
        <w:t>开标人、唱标人、记录人</w:t>
      </w:r>
      <w:bookmarkEnd w:id="250"/>
      <w:bookmarkEnd w:id="251"/>
      <w:bookmarkEnd w:id="252"/>
      <w:bookmarkEnd w:id="253"/>
      <w:bookmarkEnd w:id="254"/>
      <w:bookmarkEnd w:id="255"/>
      <w:bookmarkEnd w:id="256"/>
      <w:bookmarkEnd w:id="257"/>
      <w:bookmarkEnd w:id="258"/>
      <w:bookmarkEnd w:id="259"/>
      <w:bookmarkEnd w:id="260"/>
      <w:r>
        <w:rPr>
          <w:rFonts w:eastAsia="宋体"/>
          <w:color w:val="auto"/>
          <w:kern w:val="2"/>
          <w:sz w:val="21"/>
          <w:szCs w:val="22"/>
          <w:lang w:eastAsia="zh-CN" w:bidi="ar-SA"/>
        </w:rPr>
        <w:t>、监标人等有关人员姓名；</w:t>
      </w:r>
    </w:p>
    <w:p w14:paraId="43FD6130">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（4）（A）检查投标文件的密封情况，按照投标人须知前附表规定的开标顺序当众开标，公布招标项目名称、投标人名称、投标保证金的递交情况、投标报价、监理服务期限及其他内容，并记录在案；</w:t>
      </w:r>
    </w:p>
    <w:p w14:paraId="6A86517E">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（4）（B）投标人通过电子招标投标交易平台对已递交的电子投标文件进行解密，公布招标项目名称、投标人名称、投标保证金的递交情况、投标报价、监理服务期限及其他内容，并记录在案；</w:t>
      </w:r>
    </w:p>
    <w:p w14:paraId="3DF13906">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（5）（A）投标人代表、招标人代表、监标人、记录人等有关人员在开标记录上签字确认；</w:t>
      </w:r>
    </w:p>
    <w:p w14:paraId="6A256462">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（5）（B）投标人代表、招标人代表、监标人、记录人等有关人员使用本人的电子印章在开标记录上签字确认；</w:t>
      </w:r>
    </w:p>
    <w:p w14:paraId="3788EF33">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（6）开标结束。</w:t>
      </w:r>
    </w:p>
    <w:p w14:paraId="1B4D4B13">
      <w:pPr>
        <w:keepNext/>
        <w:keepLines/>
        <w:spacing w:before="260" w:after="260"/>
        <w:ind w:firstLine="137" w:firstLineChars="49"/>
        <w:jc w:val="both"/>
        <w:outlineLvl w:val="2"/>
        <w:rPr>
          <w:rFonts w:eastAsia="黑体"/>
          <w:color w:val="auto"/>
          <w:kern w:val="2"/>
          <w:sz w:val="28"/>
          <w:szCs w:val="20"/>
          <w:lang w:eastAsia="zh-CN" w:bidi="ar-SA"/>
        </w:rPr>
      </w:pPr>
      <w:bookmarkStart w:id="261" w:name="_Toc6331"/>
      <w:bookmarkStart w:id="262" w:name="_Toc492300599"/>
      <w:r>
        <w:rPr>
          <w:rFonts w:eastAsia="黑体"/>
          <w:color w:val="auto"/>
          <w:kern w:val="2"/>
          <w:sz w:val="28"/>
          <w:szCs w:val="20"/>
          <w:lang w:eastAsia="zh-CN" w:bidi="ar-SA"/>
        </w:rPr>
        <w:t>5.3 开标异议</w:t>
      </w:r>
      <w:bookmarkEnd w:id="261"/>
      <w:bookmarkEnd w:id="262"/>
    </w:p>
    <w:p w14:paraId="7F45DFAE">
      <w:pPr>
        <w:spacing w:line="400" w:lineRule="exact"/>
        <w:ind w:firstLine="359" w:firstLineChars="171"/>
        <w:jc w:val="both"/>
        <w:rPr>
          <w:rFonts w:eastAsia="宋体"/>
          <w:color w:val="auto"/>
          <w:kern w:val="2"/>
          <w:sz w:val="21"/>
          <w:szCs w:val="22"/>
          <w:lang w:eastAsia="zh-CN" w:bidi="ar-SA"/>
        </w:rPr>
      </w:pPr>
      <w:r>
        <w:rPr>
          <w:rFonts w:eastAsia="宋体"/>
          <w:color w:val="auto"/>
          <w:kern w:val="2"/>
          <w:sz w:val="21"/>
          <w:szCs w:val="22"/>
          <w:lang w:eastAsia="zh-CN" w:bidi="ar-SA"/>
        </w:rPr>
        <w:t>投标人对开标有异议的，应当在开标现场提出，招标人当场作出答复，并制作记录。</w:t>
      </w:r>
    </w:p>
    <w:p w14:paraId="36A316DD">
      <w:pPr>
        <w:keepNext/>
        <w:keepLines/>
        <w:spacing w:before="260" w:after="260" w:line="412" w:lineRule="auto"/>
        <w:jc w:val="both"/>
        <w:outlineLvl w:val="1"/>
        <w:rPr>
          <w:rFonts w:eastAsia="黑体"/>
          <w:b/>
          <w:color w:val="auto"/>
          <w:kern w:val="2"/>
          <w:sz w:val="32"/>
          <w:szCs w:val="20"/>
          <w:lang w:eastAsia="zh-CN" w:bidi="ar-SA"/>
        </w:rPr>
      </w:pPr>
      <w:bookmarkStart w:id="263" w:name="_Toc492300600"/>
      <w:bookmarkStart w:id="264" w:name="_Toc14098"/>
      <w:r>
        <w:rPr>
          <w:rFonts w:eastAsia="黑体"/>
          <w:b/>
          <w:color w:val="auto"/>
          <w:kern w:val="2"/>
          <w:sz w:val="32"/>
          <w:szCs w:val="20"/>
          <w:lang w:eastAsia="zh-CN" w:bidi="ar-SA"/>
        </w:rPr>
        <w:t>6. 评标</w:t>
      </w:r>
      <w:bookmarkEnd w:id="263"/>
      <w:bookmarkEnd w:id="264"/>
    </w:p>
    <w:p w14:paraId="29B0F17B">
      <w:pPr>
        <w:keepNext/>
        <w:keepLines/>
        <w:spacing w:before="260" w:after="260"/>
        <w:ind w:firstLine="137" w:firstLineChars="49"/>
        <w:jc w:val="both"/>
        <w:outlineLvl w:val="2"/>
        <w:rPr>
          <w:rFonts w:eastAsia="黑体"/>
          <w:color w:val="auto"/>
          <w:kern w:val="2"/>
          <w:sz w:val="28"/>
          <w:szCs w:val="20"/>
          <w:lang w:eastAsia="zh-CN" w:bidi="ar-SA"/>
        </w:rPr>
      </w:pPr>
      <w:bookmarkStart w:id="265" w:name="_Toc12121"/>
      <w:bookmarkStart w:id="266" w:name="_Toc492300601"/>
      <w:r>
        <w:rPr>
          <w:rFonts w:eastAsia="黑体"/>
          <w:color w:val="auto"/>
          <w:kern w:val="2"/>
          <w:sz w:val="28"/>
          <w:szCs w:val="20"/>
          <w:lang w:eastAsia="zh-CN" w:bidi="ar-SA"/>
        </w:rPr>
        <w:t>6.1 评标委员会</w:t>
      </w:r>
      <w:bookmarkEnd w:id="265"/>
      <w:bookmarkEnd w:id="266"/>
    </w:p>
    <w:p w14:paraId="042CC352">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14:paraId="444DC6C7">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6.1.2 评标委员会成员有下列情形之一的，应当回避：</w:t>
      </w:r>
    </w:p>
    <w:p w14:paraId="76CF9DA7">
      <w:pPr>
        <w:spacing w:line="400" w:lineRule="exact"/>
        <w:ind w:firstLine="718" w:firstLineChars="342"/>
        <w:jc w:val="both"/>
        <w:rPr>
          <w:rFonts w:eastAsia="宋体"/>
          <w:color w:val="auto"/>
          <w:kern w:val="2"/>
          <w:sz w:val="21"/>
          <w:szCs w:val="22"/>
          <w:lang w:eastAsia="zh-CN" w:bidi="ar-SA"/>
        </w:rPr>
      </w:pPr>
      <w:r>
        <w:rPr>
          <w:rFonts w:eastAsia="宋体"/>
          <w:color w:val="auto"/>
          <w:kern w:val="2"/>
          <w:sz w:val="21"/>
          <w:szCs w:val="22"/>
          <w:lang w:eastAsia="zh-CN" w:bidi="ar-SA"/>
        </w:rPr>
        <w:t>（1）投标人或投标人主要负责人的近亲属；</w:t>
      </w:r>
    </w:p>
    <w:p w14:paraId="15DFF5F3">
      <w:pPr>
        <w:spacing w:line="400" w:lineRule="exact"/>
        <w:ind w:firstLine="718" w:firstLineChars="342"/>
        <w:jc w:val="both"/>
        <w:rPr>
          <w:rFonts w:eastAsia="宋体"/>
          <w:color w:val="auto"/>
          <w:kern w:val="2"/>
          <w:sz w:val="21"/>
          <w:szCs w:val="22"/>
          <w:lang w:eastAsia="zh-CN" w:bidi="ar-SA"/>
        </w:rPr>
      </w:pPr>
      <w:r>
        <w:rPr>
          <w:rFonts w:eastAsia="宋体"/>
          <w:color w:val="auto"/>
          <w:kern w:val="2"/>
          <w:sz w:val="21"/>
          <w:szCs w:val="22"/>
          <w:lang w:eastAsia="zh-CN" w:bidi="ar-SA"/>
        </w:rPr>
        <w:t>（2）项目主管部门或者行政监督部门的人员；</w:t>
      </w:r>
    </w:p>
    <w:p w14:paraId="4BEB1C81">
      <w:pPr>
        <w:spacing w:line="400" w:lineRule="exact"/>
        <w:ind w:firstLine="718" w:firstLineChars="342"/>
        <w:jc w:val="both"/>
        <w:rPr>
          <w:rFonts w:eastAsia="宋体"/>
          <w:color w:val="auto"/>
          <w:kern w:val="2"/>
          <w:sz w:val="21"/>
          <w:szCs w:val="22"/>
          <w:lang w:eastAsia="zh-CN" w:bidi="ar-SA"/>
        </w:rPr>
      </w:pPr>
      <w:r>
        <w:rPr>
          <w:rFonts w:eastAsia="宋体"/>
          <w:color w:val="auto"/>
          <w:kern w:val="2"/>
          <w:sz w:val="21"/>
          <w:szCs w:val="22"/>
          <w:lang w:eastAsia="zh-CN" w:bidi="ar-SA"/>
        </w:rPr>
        <w:t>（3）与投标人有经济利益关系，可能影响对投标公正评审的；</w:t>
      </w:r>
    </w:p>
    <w:p w14:paraId="15B167AB">
      <w:pPr>
        <w:spacing w:line="400" w:lineRule="exact"/>
        <w:ind w:firstLine="718" w:firstLineChars="342"/>
        <w:jc w:val="both"/>
        <w:rPr>
          <w:rFonts w:eastAsia="宋体"/>
          <w:color w:val="auto"/>
          <w:kern w:val="2"/>
          <w:sz w:val="21"/>
          <w:szCs w:val="22"/>
          <w:lang w:eastAsia="zh-CN" w:bidi="ar-SA"/>
        </w:rPr>
      </w:pPr>
      <w:r>
        <w:rPr>
          <w:rFonts w:eastAsia="宋体"/>
          <w:color w:val="auto"/>
          <w:kern w:val="2"/>
          <w:sz w:val="21"/>
          <w:szCs w:val="22"/>
          <w:lang w:eastAsia="zh-CN" w:bidi="ar-SA"/>
        </w:rPr>
        <w:t>（4）曾因在招标、评</w:t>
      </w:r>
      <w:bookmarkStart w:id="267" w:name="_Toc352691499"/>
      <w:bookmarkStart w:id="268" w:name="_Toc247513979"/>
      <w:bookmarkStart w:id="269" w:name="_Toc144974523"/>
      <w:bookmarkStart w:id="270" w:name="_Toc152045555"/>
      <w:bookmarkStart w:id="271" w:name="_Toc384308237"/>
      <w:bookmarkStart w:id="272" w:name="_Toc247527580"/>
      <w:bookmarkStart w:id="273" w:name="_Toc152042331"/>
      <w:bookmarkStart w:id="274" w:name="_Toc300834976"/>
      <w:bookmarkStart w:id="275" w:name="_Toc6230"/>
      <w:bookmarkStart w:id="276" w:name="_Toc369531543"/>
      <w:bookmarkStart w:id="277" w:name="_Toc361508612"/>
      <w:r>
        <w:rPr>
          <w:rFonts w:eastAsia="宋体"/>
          <w:color w:val="auto"/>
          <w:kern w:val="2"/>
          <w:sz w:val="21"/>
          <w:szCs w:val="22"/>
          <w:lang w:eastAsia="zh-CN" w:bidi="ar-SA"/>
        </w:rPr>
        <w:t>标以及其他</w:t>
      </w:r>
      <w:bookmarkEnd w:id="267"/>
      <w:bookmarkEnd w:id="268"/>
      <w:bookmarkEnd w:id="269"/>
      <w:bookmarkEnd w:id="270"/>
      <w:bookmarkEnd w:id="271"/>
      <w:bookmarkEnd w:id="272"/>
      <w:bookmarkEnd w:id="273"/>
      <w:bookmarkEnd w:id="274"/>
      <w:bookmarkEnd w:id="275"/>
      <w:bookmarkEnd w:id="276"/>
      <w:bookmarkEnd w:id="277"/>
      <w:r>
        <w:rPr>
          <w:rFonts w:eastAsia="宋体"/>
          <w:color w:val="auto"/>
          <w:kern w:val="2"/>
          <w:sz w:val="21"/>
          <w:szCs w:val="22"/>
          <w:lang w:eastAsia="zh-CN" w:bidi="ar-SA"/>
        </w:rPr>
        <w:t>与</w:t>
      </w:r>
      <w:bookmarkStart w:id="278" w:name="_Toc144974524"/>
      <w:bookmarkStart w:id="279" w:name="_Toc152042332"/>
      <w:bookmarkStart w:id="280" w:name="_Toc384308238"/>
      <w:bookmarkStart w:id="281" w:name="_Toc361508613"/>
      <w:bookmarkStart w:id="282" w:name="_Toc17703"/>
      <w:bookmarkStart w:id="283" w:name="_Toc369531544"/>
      <w:bookmarkStart w:id="284" w:name="_Toc352691500"/>
      <w:bookmarkStart w:id="285" w:name="_Toc300834977"/>
      <w:bookmarkStart w:id="286" w:name="_Toc247513980"/>
      <w:bookmarkStart w:id="287" w:name="_Toc152045556"/>
      <w:bookmarkStart w:id="288" w:name="_Toc247527581"/>
      <w:r>
        <w:rPr>
          <w:rFonts w:eastAsia="宋体"/>
          <w:color w:val="auto"/>
          <w:kern w:val="2"/>
          <w:sz w:val="21"/>
          <w:szCs w:val="22"/>
          <w:lang w:eastAsia="zh-CN" w:bidi="ar-SA"/>
        </w:rPr>
        <w:t>招标投标有关活动中从事违法行</w:t>
      </w:r>
      <w:bookmarkEnd w:id="278"/>
      <w:bookmarkEnd w:id="279"/>
      <w:bookmarkEnd w:id="280"/>
      <w:bookmarkEnd w:id="281"/>
      <w:bookmarkEnd w:id="282"/>
      <w:bookmarkEnd w:id="283"/>
      <w:bookmarkEnd w:id="284"/>
      <w:bookmarkEnd w:id="285"/>
      <w:bookmarkEnd w:id="286"/>
      <w:bookmarkEnd w:id="287"/>
      <w:bookmarkEnd w:id="288"/>
      <w:r>
        <w:rPr>
          <w:rFonts w:eastAsia="宋体"/>
          <w:color w:val="auto"/>
          <w:kern w:val="2"/>
          <w:sz w:val="21"/>
          <w:szCs w:val="22"/>
          <w:lang w:eastAsia="zh-CN" w:bidi="ar-SA"/>
        </w:rPr>
        <w:t>为而受过行政处罚或刑事处罚的；</w:t>
      </w:r>
    </w:p>
    <w:p w14:paraId="51E2C6B0">
      <w:pPr>
        <w:spacing w:line="400" w:lineRule="exact"/>
        <w:ind w:firstLine="718" w:firstLineChars="342"/>
        <w:jc w:val="both"/>
        <w:rPr>
          <w:rFonts w:eastAsia="宋体"/>
          <w:color w:val="auto"/>
          <w:kern w:val="2"/>
          <w:sz w:val="21"/>
          <w:szCs w:val="22"/>
          <w:lang w:eastAsia="zh-CN" w:bidi="ar-SA"/>
        </w:rPr>
      </w:pPr>
      <w:r>
        <w:rPr>
          <w:rFonts w:eastAsia="宋体"/>
          <w:color w:val="auto"/>
          <w:kern w:val="2"/>
          <w:sz w:val="21"/>
          <w:szCs w:val="22"/>
          <w:lang w:eastAsia="zh-CN" w:bidi="ar-SA"/>
        </w:rPr>
        <w:t>（5）与投标人有其他利害关系。</w:t>
      </w:r>
    </w:p>
    <w:p w14:paraId="03ED374A">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6.1.3 评标过程中，评标委员会成员有回避事由、擅离职守或者因健康等原因不能继续评标的，招标人有权更换。被更换的评标委员会成员作出的评审结论无效，由更换后的评标委员会成员重新进行评审。</w:t>
      </w:r>
    </w:p>
    <w:p w14:paraId="3E6ED432">
      <w:pPr>
        <w:keepNext/>
        <w:keepLines/>
        <w:spacing w:before="260" w:after="260"/>
        <w:ind w:firstLine="137" w:firstLineChars="49"/>
        <w:jc w:val="both"/>
        <w:outlineLvl w:val="2"/>
        <w:rPr>
          <w:rFonts w:eastAsia="黑体"/>
          <w:color w:val="auto"/>
          <w:kern w:val="2"/>
          <w:sz w:val="28"/>
          <w:szCs w:val="20"/>
          <w:lang w:eastAsia="zh-CN" w:bidi="ar-SA"/>
        </w:rPr>
      </w:pPr>
      <w:bookmarkStart w:id="289" w:name="_Toc4494"/>
      <w:bookmarkStart w:id="290" w:name="_Toc492300602"/>
      <w:r>
        <w:rPr>
          <w:rFonts w:eastAsia="黑体"/>
          <w:color w:val="auto"/>
          <w:kern w:val="2"/>
          <w:sz w:val="28"/>
          <w:szCs w:val="20"/>
          <w:lang w:eastAsia="zh-CN" w:bidi="ar-SA"/>
        </w:rPr>
        <w:t>6.2 评标原则</w:t>
      </w:r>
      <w:bookmarkEnd w:id="289"/>
      <w:bookmarkEnd w:id="290"/>
    </w:p>
    <w:p w14:paraId="3CCF527D">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评标活动遵循公平、公正、科学和择优的原</w:t>
      </w:r>
      <w:bookmarkStart w:id="291" w:name="_Toc247513981"/>
      <w:bookmarkStart w:id="292" w:name="_Toc152045557"/>
      <w:bookmarkStart w:id="293" w:name="_Toc144974525"/>
      <w:bookmarkStart w:id="294" w:name="_Toc352691501"/>
      <w:bookmarkStart w:id="295" w:name="_Toc361508614"/>
      <w:bookmarkStart w:id="296" w:name="_Toc247527582"/>
      <w:bookmarkStart w:id="297" w:name="_Toc369531545"/>
      <w:bookmarkStart w:id="298" w:name="_Toc300834978"/>
      <w:bookmarkStart w:id="299" w:name="_Toc152042333"/>
      <w:bookmarkStart w:id="300" w:name="_Toc384308239"/>
      <w:bookmarkStart w:id="301" w:name="_Toc18949"/>
      <w:r>
        <w:rPr>
          <w:rFonts w:eastAsia="宋体"/>
          <w:color w:val="auto"/>
          <w:kern w:val="2"/>
          <w:sz w:val="21"/>
          <w:szCs w:val="22"/>
          <w:lang w:eastAsia="zh-CN" w:bidi="ar-SA"/>
        </w:rPr>
        <w:t>则。</w:t>
      </w:r>
    </w:p>
    <w:p w14:paraId="789C5475">
      <w:pPr>
        <w:keepNext/>
        <w:keepLines/>
        <w:spacing w:before="260" w:after="260"/>
        <w:ind w:firstLine="137" w:firstLineChars="49"/>
        <w:jc w:val="both"/>
        <w:outlineLvl w:val="2"/>
        <w:rPr>
          <w:rFonts w:eastAsia="黑体"/>
          <w:color w:val="auto"/>
          <w:kern w:val="2"/>
          <w:sz w:val="28"/>
          <w:szCs w:val="20"/>
          <w:lang w:eastAsia="zh-CN" w:bidi="ar-SA"/>
        </w:rPr>
      </w:pPr>
      <w:bookmarkStart w:id="302" w:name="_Toc31488"/>
      <w:bookmarkStart w:id="303" w:name="_Toc492300603"/>
      <w:r>
        <w:rPr>
          <w:rFonts w:eastAsia="黑体"/>
          <w:color w:val="auto"/>
          <w:kern w:val="2"/>
          <w:sz w:val="28"/>
          <w:szCs w:val="20"/>
          <w:lang w:eastAsia="zh-CN" w:bidi="ar-SA"/>
        </w:rPr>
        <w:t>6.3 评标</w:t>
      </w:r>
      <w:bookmarkEnd w:id="302"/>
      <w:bookmarkEnd w:id="303"/>
    </w:p>
    <w:p w14:paraId="2060FE8C">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6</w:t>
      </w:r>
      <w:bookmarkEnd w:id="291"/>
      <w:bookmarkEnd w:id="292"/>
      <w:bookmarkEnd w:id="293"/>
      <w:bookmarkEnd w:id="294"/>
      <w:bookmarkEnd w:id="295"/>
      <w:bookmarkEnd w:id="296"/>
      <w:bookmarkEnd w:id="297"/>
      <w:bookmarkEnd w:id="298"/>
      <w:bookmarkEnd w:id="299"/>
      <w:bookmarkEnd w:id="300"/>
      <w:bookmarkEnd w:id="301"/>
      <w:r>
        <w:rPr>
          <w:rFonts w:eastAsia="宋体"/>
          <w:color w:val="auto"/>
          <w:kern w:val="2"/>
          <w:sz w:val="21"/>
          <w:szCs w:val="22"/>
          <w:lang w:eastAsia="zh-CN" w:bidi="ar-SA"/>
        </w:rPr>
        <w:t>.3.1评标委员会按照第三章“评标办法”规定的方法、评审因素、标准和程序对投标文件进行评审。第三章“评标办法”没有规定的方法、评审因素和标准，不作为评标依据。</w:t>
      </w:r>
    </w:p>
    <w:p w14:paraId="44120605">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6.3.2评标完成后，评标委员会应当向招标人提交书面评标报告和中标候选人名单。评标委员会推荐中标</w:t>
      </w:r>
      <w:bookmarkStart w:id="304" w:name="_Toc369531546"/>
      <w:bookmarkStart w:id="305" w:name="_Toc12259"/>
      <w:bookmarkStart w:id="306" w:name="_Toc152045558"/>
      <w:bookmarkStart w:id="307" w:name="_Toc144974526"/>
      <w:bookmarkStart w:id="308" w:name="_Toc152042334"/>
      <w:bookmarkStart w:id="309" w:name="_Toc352691502"/>
      <w:bookmarkStart w:id="310" w:name="_Toc247513982"/>
      <w:bookmarkStart w:id="311" w:name="_Toc247527583"/>
      <w:bookmarkStart w:id="312" w:name="_Toc384308240"/>
      <w:bookmarkStart w:id="313" w:name="_Toc300834979"/>
      <w:bookmarkStart w:id="314" w:name="_Toc361508615"/>
      <w:r>
        <w:rPr>
          <w:rFonts w:eastAsia="宋体"/>
          <w:color w:val="auto"/>
          <w:kern w:val="2"/>
          <w:sz w:val="21"/>
          <w:szCs w:val="22"/>
          <w:lang w:eastAsia="zh-CN" w:bidi="ar-SA"/>
        </w:rPr>
        <w:t>候选人的人数见投标人须知前附</w:t>
      </w:r>
      <w:bookmarkEnd w:id="304"/>
      <w:bookmarkEnd w:id="305"/>
      <w:bookmarkEnd w:id="306"/>
      <w:bookmarkEnd w:id="307"/>
      <w:bookmarkEnd w:id="308"/>
      <w:bookmarkEnd w:id="309"/>
      <w:bookmarkEnd w:id="310"/>
      <w:bookmarkEnd w:id="311"/>
      <w:bookmarkEnd w:id="312"/>
      <w:bookmarkEnd w:id="313"/>
      <w:bookmarkEnd w:id="314"/>
      <w:r>
        <w:rPr>
          <w:rFonts w:eastAsia="宋体"/>
          <w:color w:val="auto"/>
          <w:kern w:val="2"/>
          <w:sz w:val="21"/>
          <w:szCs w:val="22"/>
          <w:lang w:eastAsia="zh-CN" w:bidi="ar-SA"/>
        </w:rPr>
        <w:t>表。</w:t>
      </w:r>
    </w:p>
    <w:p w14:paraId="027DBA66">
      <w:pPr>
        <w:keepNext/>
        <w:keepLines/>
        <w:spacing w:before="260" w:after="260" w:line="412" w:lineRule="auto"/>
        <w:jc w:val="both"/>
        <w:outlineLvl w:val="1"/>
        <w:rPr>
          <w:rFonts w:eastAsia="黑体"/>
          <w:b/>
          <w:color w:val="auto"/>
          <w:kern w:val="2"/>
          <w:sz w:val="32"/>
          <w:szCs w:val="20"/>
          <w:lang w:eastAsia="zh-CN" w:bidi="ar-SA"/>
        </w:rPr>
      </w:pPr>
      <w:bookmarkStart w:id="315" w:name="_Toc31464"/>
      <w:bookmarkStart w:id="316" w:name="_Toc492300604"/>
      <w:r>
        <w:rPr>
          <w:rFonts w:eastAsia="黑体"/>
          <w:b/>
          <w:color w:val="auto"/>
          <w:kern w:val="2"/>
          <w:sz w:val="32"/>
          <w:szCs w:val="20"/>
          <w:lang w:eastAsia="zh-CN" w:bidi="ar-SA"/>
        </w:rPr>
        <w:t>7. 合同授予</w:t>
      </w:r>
      <w:bookmarkEnd w:id="315"/>
      <w:bookmarkEnd w:id="316"/>
    </w:p>
    <w:p w14:paraId="2C648098">
      <w:pPr>
        <w:keepNext/>
        <w:keepLines/>
        <w:spacing w:before="260" w:after="260"/>
        <w:ind w:firstLine="137" w:firstLineChars="49"/>
        <w:jc w:val="both"/>
        <w:outlineLvl w:val="2"/>
        <w:rPr>
          <w:rFonts w:eastAsia="黑体"/>
          <w:color w:val="auto"/>
          <w:kern w:val="2"/>
          <w:sz w:val="28"/>
          <w:szCs w:val="20"/>
          <w:lang w:eastAsia="zh-CN" w:bidi="ar-SA"/>
        </w:rPr>
      </w:pPr>
      <w:bookmarkStart w:id="317" w:name="_Toc16675"/>
      <w:bookmarkStart w:id="318" w:name="_Toc492300605"/>
      <w:r>
        <w:rPr>
          <w:rFonts w:eastAsia="黑体"/>
          <w:color w:val="auto"/>
          <w:kern w:val="2"/>
          <w:sz w:val="28"/>
          <w:szCs w:val="20"/>
          <w:lang w:eastAsia="zh-CN" w:bidi="ar-SA"/>
        </w:rPr>
        <w:t>7.1 中标候选人公示</w:t>
      </w:r>
      <w:bookmarkEnd w:id="317"/>
      <w:bookmarkEnd w:id="318"/>
    </w:p>
    <w:p w14:paraId="26A62123">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招标人在收到评标报告之日起3日内，按照投标人须知前附表规定的公示媒介和期限公示中标候选人，公示期不得少于3天。</w:t>
      </w:r>
    </w:p>
    <w:p w14:paraId="4E5204FF">
      <w:pPr>
        <w:keepNext/>
        <w:keepLines/>
        <w:spacing w:before="260" w:after="260"/>
        <w:ind w:firstLine="137" w:firstLineChars="49"/>
        <w:jc w:val="both"/>
        <w:outlineLvl w:val="2"/>
        <w:rPr>
          <w:rFonts w:eastAsia="黑体"/>
          <w:color w:val="auto"/>
          <w:kern w:val="2"/>
          <w:sz w:val="28"/>
          <w:szCs w:val="20"/>
          <w:lang w:eastAsia="zh-CN" w:bidi="ar-SA"/>
        </w:rPr>
      </w:pPr>
      <w:bookmarkStart w:id="319" w:name="_Toc492300606"/>
      <w:bookmarkStart w:id="320" w:name="_Toc27784"/>
      <w:r>
        <w:rPr>
          <w:rFonts w:eastAsia="黑体"/>
          <w:color w:val="auto"/>
          <w:kern w:val="2"/>
          <w:sz w:val="28"/>
          <w:szCs w:val="20"/>
          <w:lang w:eastAsia="zh-CN" w:bidi="ar-SA"/>
        </w:rPr>
        <w:t>7.2 评标结果异议</w:t>
      </w:r>
      <w:bookmarkEnd w:id="319"/>
      <w:bookmarkEnd w:id="320"/>
    </w:p>
    <w:p w14:paraId="3B9676D7">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投标人或者其他利</w:t>
      </w:r>
      <w:bookmarkStart w:id="321" w:name="_Toc247513985"/>
      <w:bookmarkStart w:id="322" w:name="_Toc384308243"/>
      <w:bookmarkStart w:id="323" w:name="_Toc369531549"/>
      <w:bookmarkStart w:id="324" w:name="_Toc152045561"/>
      <w:bookmarkStart w:id="325" w:name="_Toc247527586"/>
      <w:bookmarkStart w:id="326" w:name="_Toc144974529"/>
      <w:bookmarkStart w:id="327" w:name="_Toc352691505"/>
      <w:bookmarkStart w:id="328" w:name="_Toc30095"/>
      <w:bookmarkStart w:id="329" w:name="_Toc152042337"/>
      <w:bookmarkStart w:id="330" w:name="_Toc361508618"/>
      <w:bookmarkStart w:id="331" w:name="_Toc300834982"/>
      <w:r>
        <w:rPr>
          <w:rFonts w:eastAsia="宋体"/>
          <w:color w:val="auto"/>
          <w:kern w:val="2"/>
          <w:sz w:val="21"/>
          <w:szCs w:val="22"/>
          <w:lang w:eastAsia="zh-CN" w:bidi="ar-SA"/>
        </w:rPr>
        <w:t>害关系人对评标结</w:t>
      </w:r>
      <w:bookmarkEnd w:id="321"/>
      <w:bookmarkEnd w:id="322"/>
      <w:bookmarkEnd w:id="323"/>
      <w:bookmarkEnd w:id="324"/>
      <w:bookmarkEnd w:id="325"/>
      <w:bookmarkEnd w:id="326"/>
      <w:bookmarkEnd w:id="327"/>
      <w:bookmarkEnd w:id="328"/>
      <w:bookmarkEnd w:id="329"/>
      <w:bookmarkEnd w:id="330"/>
      <w:bookmarkEnd w:id="331"/>
      <w:r>
        <w:rPr>
          <w:rFonts w:eastAsia="宋体"/>
          <w:color w:val="auto"/>
          <w:kern w:val="2"/>
          <w:sz w:val="21"/>
          <w:szCs w:val="22"/>
          <w:lang w:eastAsia="zh-CN" w:bidi="ar-SA"/>
        </w:rPr>
        <w:t>果有异议的，应当在中标候选人公示期间提出。招标人将在收到异议之日起3日内作出答复；作出答复前，将暂停招标投标活动。</w:t>
      </w:r>
    </w:p>
    <w:p w14:paraId="1659E588">
      <w:pPr>
        <w:keepNext/>
        <w:keepLines/>
        <w:spacing w:before="260" w:after="260"/>
        <w:ind w:firstLine="137" w:firstLineChars="49"/>
        <w:jc w:val="both"/>
        <w:outlineLvl w:val="2"/>
        <w:rPr>
          <w:rFonts w:eastAsia="黑体"/>
          <w:color w:val="auto"/>
          <w:kern w:val="2"/>
          <w:sz w:val="28"/>
          <w:szCs w:val="20"/>
          <w:lang w:eastAsia="zh-CN" w:bidi="ar-SA"/>
        </w:rPr>
      </w:pPr>
      <w:bookmarkStart w:id="332" w:name="_Toc16454"/>
      <w:bookmarkStart w:id="333" w:name="_Toc492300607"/>
      <w:r>
        <w:rPr>
          <w:rFonts w:eastAsia="黑体"/>
          <w:color w:val="auto"/>
          <w:kern w:val="2"/>
          <w:sz w:val="28"/>
          <w:szCs w:val="20"/>
          <w:lang w:eastAsia="zh-CN" w:bidi="ar-SA"/>
        </w:rPr>
        <w:t>7.3 中标候选人履约能力审查</w:t>
      </w:r>
      <w:bookmarkEnd w:id="332"/>
      <w:bookmarkEnd w:id="333"/>
    </w:p>
    <w:p w14:paraId="11C75A91">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中标候选人的经营、财务状况发生较大变化或存在违法行为，招标人认为可能影响其履约能力的，将在发出中标通知书前提请原评标委员会按照招标文件规定的标准和方法进行审查确认。</w:t>
      </w:r>
    </w:p>
    <w:p w14:paraId="27EA1D15">
      <w:pPr>
        <w:keepNext/>
        <w:keepLines/>
        <w:spacing w:before="260" w:after="260"/>
        <w:ind w:firstLine="137" w:firstLineChars="49"/>
        <w:jc w:val="both"/>
        <w:outlineLvl w:val="2"/>
        <w:rPr>
          <w:rFonts w:eastAsia="黑体"/>
          <w:color w:val="auto"/>
          <w:kern w:val="2"/>
          <w:sz w:val="28"/>
          <w:szCs w:val="20"/>
          <w:lang w:eastAsia="zh-CN" w:bidi="ar-SA"/>
        </w:rPr>
      </w:pPr>
      <w:bookmarkStart w:id="334" w:name="_Toc492300608"/>
      <w:bookmarkStart w:id="335" w:name="_Toc4789"/>
      <w:r>
        <w:rPr>
          <w:rFonts w:eastAsia="黑体"/>
          <w:color w:val="auto"/>
          <w:kern w:val="2"/>
          <w:sz w:val="28"/>
          <w:szCs w:val="20"/>
          <w:lang w:eastAsia="zh-CN" w:bidi="ar-SA"/>
        </w:rPr>
        <w:t>7.4 定标</w:t>
      </w:r>
      <w:bookmarkEnd w:id="334"/>
      <w:bookmarkEnd w:id="335"/>
    </w:p>
    <w:p w14:paraId="5B6A6F24">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按照投标人须知前附表的规定，招标人或招标人授权的评标委员会依法确定中标人。</w:t>
      </w:r>
    </w:p>
    <w:p w14:paraId="1D36A0FB">
      <w:pPr>
        <w:keepNext/>
        <w:keepLines/>
        <w:spacing w:before="260" w:after="260"/>
        <w:ind w:firstLine="137" w:firstLineChars="49"/>
        <w:jc w:val="both"/>
        <w:outlineLvl w:val="2"/>
        <w:rPr>
          <w:rFonts w:eastAsia="黑体"/>
          <w:color w:val="auto"/>
          <w:kern w:val="2"/>
          <w:sz w:val="28"/>
          <w:szCs w:val="20"/>
          <w:lang w:eastAsia="zh-CN" w:bidi="ar-SA"/>
        </w:rPr>
      </w:pPr>
      <w:bookmarkStart w:id="336" w:name="_Toc492300609"/>
      <w:bookmarkStart w:id="337" w:name="_Toc1056"/>
      <w:r>
        <w:rPr>
          <w:rFonts w:eastAsia="黑体"/>
          <w:color w:val="auto"/>
          <w:kern w:val="2"/>
          <w:sz w:val="28"/>
          <w:szCs w:val="20"/>
          <w:lang w:eastAsia="zh-CN" w:bidi="ar-SA"/>
        </w:rPr>
        <w:t>7.5 中标通知</w:t>
      </w:r>
      <w:bookmarkEnd w:id="336"/>
      <w:bookmarkEnd w:id="337"/>
    </w:p>
    <w:p w14:paraId="53CA7C0C">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在本章第3.3款规定的投标有效期内，招标人以书面形式向中标人发出中标</w:t>
      </w:r>
      <w:bookmarkStart w:id="338" w:name="_Toc369531550"/>
      <w:bookmarkStart w:id="339" w:name="_Toc300834983"/>
      <w:bookmarkStart w:id="340" w:name="_Toc361508619"/>
      <w:bookmarkStart w:id="341" w:name="_Toc384308244"/>
      <w:bookmarkStart w:id="342" w:name="_Toc352691506"/>
      <w:bookmarkStart w:id="343" w:name="_Toc5668"/>
      <w:r>
        <w:rPr>
          <w:rFonts w:eastAsia="宋体"/>
          <w:color w:val="auto"/>
          <w:kern w:val="2"/>
          <w:sz w:val="21"/>
          <w:szCs w:val="22"/>
          <w:lang w:eastAsia="zh-CN" w:bidi="ar-SA"/>
        </w:rPr>
        <w:t>通知书，同时将中</w:t>
      </w:r>
      <w:bookmarkEnd w:id="338"/>
      <w:bookmarkEnd w:id="339"/>
      <w:bookmarkEnd w:id="340"/>
      <w:bookmarkEnd w:id="341"/>
      <w:bookmarkEnd w:id="342"/>
      <w:bookmarkEnd w:id="343"/>
      <w:r>
        <w:rPr>
          <w:rFonts w:eastAsia="宋体"/>
          <w:color w:val="auto"/>
          <w:kern w:val="2"/>
          <w:sz w:val="21"/>
          <w:szCs w:val="22"/>
          <w:lang w:eastAsia="zh-CN" w:bidi="ar-SA"/>
        </w:rPr>
        <w:t>标结果通知未中标的投标人。</w:t>
      </w:r>
    </w:p>
    <w:p w14:paraId="1A05C169">
      <w:pPr>
        <w:keepNext/>
        <w:keepLines/>
        <w:spacing w:before="260" w:after="260"/>
        <w:ind w:firstLine="137" w:firstLineChars="49"/>
        <w:jc w:val="both"/>
        <w:outlineLvl w:val="2"/>
        <w:rPr>
          <w:rFonts w:eastAsia="黑体"/>
          <w:color w:val="auto"/>
          <w:kern w:val="2"/>
          <w:sz w:val="28"/>
          <w:szCs w:val="20"/>
          <w:lang w:eastAsia="zh-CN" w:bidi="ar-SA"/>
        </w:rPr>
      </w:pPr>
      <w:bookmarkStart w:id="344" w:name="_Toc492300610"/>
      <w:bookmarkStart w:id="345" w:name="_Toc16557"/>
      <w:r>
        <w:rPr>
          <w:rFonts w:eastAsia="黑体"/>
          <w:color w:val="auto"/>
          <w:kern w:val="2"/>
          <w:sz w:val="28"/>
          <w:szCs w:val="20"/>
          <w:lang w:eastAsia="zh-CN" w:bidi="ar-SA"/>
        </w:rPr>
        <w:t>7.6 履约保证金</w:t>
      </w:r>
      <w:bookmarkEnd w:id="344"/>
      <w:bookmarkEnd w:id="345"/>
    </w:p>
    <w:p w14:paraId="69D9A5F2">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 xml:space="preserve">7.6.1 </w:t>
      </w:r>
      <w:r>
        <w:rPr>
          <w:rFonts w:hint="eastAsia" w:eastAsia="宋体"/>
          <w:color w:val="auto"/>
          <w:kern w:val="2"/>
          <w:sz w:val="21"/>
          <w:szCs w:val="22"/>
          <w:lang w:eastAsia="zh-CN" w:bidi="ar-SA"/>
        </w:rPr>
        <w:t>在签订合同前，</w:t>
      </w:r>
      <w:r>
        <w:rPr>
          <w:rFonts w:eastAsia="宋体"/>
          <w:color w:val="auto"/>
          <w:kern w:val="2"/>
          <w:sz w:val="21"/>
          <w:szCs w:val="22"/>
          <w:lang w:eastAsia="zh-CN" w:bidi="ar-SA"/>
        </w:rPr>
        <w:t>中标人应按投标人须知前附表规定的形式、金额和招标文件第四章“合同条款及格式”规定的或者事先经过招标人书面认可的履约保证金格式向招标人提交履约保证金。除投标人须知前附表另有规定外，履约保证金为中标合同金额的10%。联合体中标的，其履约保证金以联合体各方或者联合体中牵头人的名义提交。</w:t>
      </w:r>
    </w:p>
    <w:p w14:paraId="5DC015B8">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7.6.2 中标人不能按本章第7.6.1项要求提交履约保证金的，视为放弃中标，其投标保证金不予退还，给招标人造成的损失超过投标保证金数额的，中标人还应当对超过部分予以赔偿。</w:t>
      </w:r>
    </w:p>
    <w:p w14:paraId="2D0E27C2">
      <w:pPr>
        <w:keepNext/>
        <w:keepLines/>
        <w:spacing w:before="260" w:after="260"/>
        <w:ind w:firstLine="137" w:firstLineChars="49"/>
        <w:jc w:val="both"/>
        <w:outlineLvl w:val="2"/>
        <w:rPr>
          <w:rFonts w:eastAsia="黑体"/>
          <w:color w:val="auto"/>
          <w:kern w:val="2"/>
          <w:sz w:val="28"/>
          <w:szCs w:val="20"/>
          <w:lang w:eastAsia="zh-CN" w:bidi="ar-SA"/>
        </w:rPr>
      </w:pPr>
      <w:bookmarkStart w:id="346" w:name="_Toc14283"/>
      <w:bookmarkStart w:id="347" w:name="_Toc492300611"/>
      <w:r>
        <w:rPr>
          <w:rFonts w:eastAsia="黑体"/>
          <w:color w:val="auto"/>
          <w:kern w:val="2"/>
          <w:sz w:val="28"/>
          <w:szCs w:val="20"/>
          <w:lang w:eastAsia="zh-CN" w:bidi="ar-SA"/>
        </w:rPr>
        <w:t>7.7 签订合同</w:t>
      </w:r>
      <w:bookmarkEnd w:id="346"/>
      <w:bookmarkEnd w:id="347"/>
    </w:p>
    <w:p w14:paraId="1318173E">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7.7.1 招标人和中标人应当在中标通知书发出之日起30日内，根据招标文件和中标人的投标文件订立书面合同。中标人</w:t>
      </w:r>
      <w:r>
        <w:rPr>
          <w:rFonts w:ascii="Calibri" w:hAnsi="Calibri" w:eastAsia="宋体"/>
          <w:color w:val="auto"/>
          <w:kern w:val="2"/>
          <w:sz w:val="21"/>
          <w:szCs w:val="22"/>
          <w:lang w:eastAsia="zh-CN" w:bidi="ar-SA"/>
        </w:rPr>
        <w:t>无正当理由</w:t>
      </w:r>
      <w:r>
        <w:rPr>
          <w:rFonts w:hint="eastAsia" w:ascii="Calibri" w:hAnsi="Calibri" w:eastAsia="宋体"/>
          <w:color w:val="auto"/>
          <w:kern w:val="2"/>
          <w:sz w:val="21"/>
          <w:szCs w:val="22"/>
          <w:lang w:eastAsia="zh-CN" w:bidi="ar-SA"/>
        </w:rPr>
        <w:t>拒签</w:t>
      </w:r>
      <w:r>
        <w:rPr>
          <w:rFonts w:ascii="Calibri" w:hAnsi="Calibri" w:eastAsia="宋体"/>
          <w:color w:val="auto"/>
          <w:kern w:val="2"/>
          <w:sz w:val="21"/>
          <w:szCs w:val="22"/>
          <w:lang w:eastAsia="zh-CN" w:bidi="ar-SA"/>
        </w:rPr>
        <w:t>合同，在签订合同时向招标人提出附加条件，或者不按照招标文件要求提交履约保证金的</w:t>
      </w:r>
      <w:r>
        <w:rPr>
          <w:rFonts w:eastAsia="宋体"/>
          <w:color w:val="auto"/>
          <w:kern w:val="2"/>
          <w:sz w:val="21"/>
          <w:szCs w:val="22"/>
          <w:lang w:eastAsia="zh-CN" w:bidi="ar-SA"/>
        </w:rPr>
        <w:t>，招标人有权取消其中标资格，其投标保证金不予退还；给招标人造成的损失超过投标保证金数额的，中标人还应当对超过部分予以赔偿。</w:t>
      </w:r>
    </w:p>
    <w:p w14:paraId="1E40703B">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7.7.2 发出中标通知书后，招标人无正当理由拒签合同，或者</w:t>
      </w:r>
      <w:r>
        <w:rPr>
          <w:rFonts w:ascii="Calibri" w:hAnsi="Calibri" w:eastAsia="宋体"/>
          <w:color w:val="auto"/>
          <w:kern w:val="2"/>
          <w:sz w:val="21"/>
          <w:szCs w:val="22"/>
          <w:lang w:eastAsia="zh-CN" w:bidi="ar-SA"/>
        </w:rPr>
        <w:t>在签订合同时</w:t>
      </w:r>
      <w:r>
        <w:rPr>
          <w:rFonts w:hint="eastAsia" w:ascii="Calibri" w:hAnsi="Calibri" w:eastAsia="宋体"/>
          <w:color w:val="auto"/>
          <w:kern w:val="2"/>
          <w:sz w:val="21"/>
          <w:szCs w:val="22"/>
          <w:lang w:eastAsia="zh-CN" w:bidi="ar-SA"/>
        </w:rPr>
        <w:t>向中标人</w:t>
      </w:r>
      <w:r>
        <w:rPr>
          <w:rFonts w:eastAsia="宋体"/>
          <w:color w:val="auto"/>
          <w:kern w:val="2"/>
          <w:sz w:val="21"/>
          <w:szCs w:val="22"/>
          <w:lang w:eastAsia="zh-CN" w:bidi="ar-SA"/>
        </w:rPr>
        <w:t>提出附加条件的，招标人向中标人退还投标保证金；给中标人造成损失的，还应当赔偿损失。</w:t>
      </w:r>
    </w:p>
    <w:p w14:paraId="291E3E95">
      <w:pPr>
        <w:spacing w:line="400" w:lineRule="exact"/>
        <w:ind w:firstLine="420" w:firstLineChars="200"/>
        <w:jc w:val="both"/>
        <w:rPr>
          <w:rFonts w:eastAsia="宋体"/>
          <w:color w:val="auto"/>
          <w:kern w:val="2"/>
          <w:sz w:val="21"/>
          <w:szCs w:val="21"/>
          <w:lang w:eastAsia="zh-CN" w:bidi="ar-SA"/>
        </w:rPr>
      </w:pPr>
      <w:r>
        <w:rPr>
          <w:rFonts w:eastAsia="宋体"/>
          <w:color w:val="auto"/>
          <w:kern w:val="2"/>
          <w:sz w:val="21"/>
          <w:szCs w:val="22"/>
          <w:lang w:eastAsia="zh-CN" w:bidi="ar-SA"/>
        </w:rPr>
        <w:t>7.7.3</w:t>
      </w:r>
      <w:r>
        <w:rPr>
          <w:rFonts w:eastAsia="宋体"/>
          <w:color w:val="auto"/>
          <w:kern w:val="2"/>
          <w:sz w:val="21"/>
          <w:szCs w:val="21"/>
          <w:lang w:eastAsia="zh-CN" w:bidi="ar-SA"/>
        </w:rPr>
        <w:t>联合体中标的，联合体各方应当共同与招标人签订合同，就中标项目向招标人承担连带责任。</w:t>
      </w:r>
    </w:p>
    <w:p w14:paraId="0853A7FC">
      <w:pPr>
        <w:keepNext/>
        <w:keepLines/>
        <w:spacing w:before="260" w:after="260" w:line="412" w:lineRule="auto"/>
        <w:jc w:val="both"/>
        <w:outlineLvl w:val="1"/>
        <w:rPr>
          <w:rFonts w:eastAsia="黑体"/>
          <w:b/>
          <w:color w:val="auto"/>
          <w:kern w:val="2"/>
          <w:sz w:val="32"/>
          <w:szCs w:val="20"/>
          <w:lang w:eastAsia="zh-CN" w:bidi="ar-SA"/>
        </w:rPr>
      </w:pPr>
      <w:bookmarkStart w:id="348" w:name="_Toc361508627"/>
      <w:bookmarkStart w:id="349" w:name="_Toc24067"/>
      <w:bookmarkStart w:id="350" w:name="_Toc384308252"/>
      <w:bookmarkStart w:id="351" w:name="_Toc28304"/>
      <w:bookmarkStart w:id="352" w:name="_Toc492300612"/>
      <w:bookmarkStart w:id="353" w:name="_Toc144974536"/>
      <w:bookmarkStart w:id="354" w:name="_Toc152042344"/>
      <w:bookmarkStart w:id="355" w:name="_Toc247527593"/>
      <w:bookmarkStart w:id="356" w:name="_Toc152045568"/>
      <w:bookmarkStart w:id="357" w:name="_Toc300834991"/>
      <w:bookmarkStart w:id="358" w:name="_Toc247513992"/>
      <w:r>
        <w:rPr>
          <w:rFonts w:eastAsia="黑体"/>
          <w:b/>
          <w:color w:val="auto"/>
          <w:kern w:val="2"/>
          <w:sz w:val="32"/>
          <w:szCs w:val="20"/>
          <w:lang w:eastAsia="zh-CN" w:bidi="ar-SA"/>
        </w:rPr>
        <w:t>8.</w:t>
      </w:r>
      <w:bookmarkEnd w:id="348"/>
      <w:bookmarkEnd w:id="349"/>
      <w:bookmarkEnd w:id="350"/>
      <w:r>
        <w:rPr>
          <w:rFonts w:eastAsia="黑体"/>
          <w:b/>
          <w:color w:val="auto"/>
          <w:kern w:val="2"/>
          <w:sz w:val="32"/>
          <w:szCs w:val="20"/>
          <w:lang w:eastAsia="zh-CN" w:bidi="ar-SA"/>
        </w:rPr>
        <w:t>纪律和监督</w:t>
      </w:r>
      <w:bookmarkEnd w:id="351"/>
      <w:bookmarkEnd w:id="352"/>
    </w:p>
    <w:p w14:paraId="0C601776">
      <w:pPr>
        <w:keepNext/>
        <w:keepLines/>
        <w:spacing w:before="260" w:after="260"/>
        <w:ind w:firstLine="137" w:firstLineChars="49"/>
        <w:jc w:val="both"/>
        <w:outlineLvl w:val="2"/>
        <w:rPr>
          <w:rFonts w:eastAsia="黑体"/>
          <w:color w:val="auto"/>
          <w:kern w:val="2"/>
          <w:sz w:val="28"/>
          <w:szCs w:val="20"/>
          <w:lang w:eastAsia="zh-CN" w:bidi="ar-SA"/>
        </w:rPr>
      </w:pPr>
      <w:bookmarkStart w:id="359" w:name="_Toc492300613"/>
      <w:bookmarkStart w:id="360" w:name="_Toc20117"/>
      <w:r>
        <w:rPr>
          <w:rFonts w:eastAsia="黑体"/>
          <w:color w:val="auto"/>
          <w:kern w:val="2"/>
          <w:sz w:val="28"/>
          <w:szCs w:val="20"/>
          <w:lang w:eastAsia="zh-CN" w:bidi="ar-SA"/>
        </w:rPr>
        <w:t>8.1 对招标人的纪律要求</w:t>
      </w:r>
      <w:bookmarkEnd w:id="359"/>
      <w:bookmarkEnd w:id="360"/>
    </w:p>
    <w:p w14:paraId="5D70C416">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招标人不得泄露招标投标活动中应当保密的情况和资料，不得与投标人串通损害国家利益、社会公共利益或者他人合法权益。</w:t>
      </w:r>
    </w:p>
    <w:p w14:paraId="4A1F5F00">
      <w:pPr>
        <w:keepNext/>
        <w:keepLines/>
        <w:spacing w:before="260" w:after="260"/>
        <w:ind w:firstLine="137" w:firstLineChars="49"/>
        <w:jc w:val="both"/>
        <w:outlineLvl w:val="2"/>
        <w:rPr>
          <w:rFonts w:eastAsia="黑体"/>
          <w:color w:val="auto"/>
          <w:kern w:val="2"/>
          <w:sz w:val="28"/>
          <w:szCs w:val="20"/>
          <w:lang w:eastAsia="zh-CN" w:bidi="ar-SA"/>
        </w:rPr>
      </w:pPr>
      <w:bookmarkStart w:id="361" w:name="_Toc22392"/>
      <w:bookmarkStart w:id="362" w:name="_Toc492300614"/>
      <w:r>
        <w:rPr>
          <w:rFonts w:eastAsia="黑体"/>
          <w:color w:val="auto"/>
          <w:kern w:val="2"/>
          <w:sz w:val="28"/>
          <w:szCs w:val="20"/>
          <w:lang w:eastAsia="zh-CN" w:bidi="ar-SA"/>
        </w:rPr>
        <w:t>8.2 对投标人的纪律要求</w:t>
      </w:r>
      <w:bookmarkEnd w:id="361"/>
      <w:bookmarkEnd w:id="362"/>
    </w:p>
    <w:p w14:paraId="308C6921">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投标人不得相互串通投标或者与招标人串通投标，不得向招标人或者评标委员会成员行贿谋取中标，不得以他人名义投标或者以其他方式弄虚作假骗取中标；投标人不得以任何方式干扰、影响评标工作。</w:t>
      </w:r>
    </w:p>
    <w:p w14:paraId="15A9E092">
      <w:pPr>
        <w:keepNext/>
        <w:keepLines/>
        <w:spacing w:before="260" w:after="260"/>
        <w:ind w:firstLine="137" w:firstLineChars="49"/>
        <w:jc w:val="both"/>
        <w:outlineLvl w:val="2"/>
        <w:rPr>
          <w:rFonts w:eastAsia="黑体"/>
          <w:color w:val="auto"/>
          <w:kern w:val="2"/>
          <w:sz w:val="28"/>
          <w:szCs w:val="20"/>
          <w:lang w:eastAsia="zh-CN" w:bidi="ar-SA"/>
        </w:rPr>
      </w:pPr>
      <w:bookmarkStart w:id="363" w:name="_Toc492300615"/>
      <w:bookmarkStart w:id="364" w:name="_Toc24619"/>
      <w:r>
        <w:rPr>
          <w:rFonts w:eastAsia="黑体"/>
          <w:color w:val="auto"/>
          <w:kern w:val="2"/>
          <w:sz w:val="28"/>
          <w:szCs w:val="20"/>
          <w:lang w:eastAsia="zh-CN" w:bidi="ar-SA"/>
        </w:rPr>
        <w:t>8.3 对评标委员会成员的纪律要求</w:t>
      </w:r>
      <w:bookmarkEnd w:id="363"/>
      <w:bookmarkEnd w:id="364"/>
    </w:p>
    <w:p w14:paraId="311902C1">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评标委员会成员不得收受他人的财物或者其他好处，不得向他人透露对投标文件的评审</w:t>
      </w:r>
      <w:bookmarkStart w:id="365" w:name="_Toc13644"/>
      <w:bookmarkStart w:id="366" w:name="_Toc361508628"/>
      <w:bookmarkStart w:id="367" w:name="_Toc384308253"/>
      <w:bookmarkStart w:id="368" w:name="_Toc369531559"/>
      <w:bookmarkStart w:id="369" w:name="_Toc352691515"/>
      <w:r>
        <w:rPr>
          <w:rFonts w:eastAsia="宋体"/>
          <w:color w:val="auto"/>
          <w:kern w:val="2"/>
          <w:sz w:val="21"/>
          <w:szCs w:val="22"/>
          <w:lang w:eastAsia="zh-CN" w:bidi="ar-SA"/>
        </w:rPr>
        <w:t>和比较、中标候选人</w:t>
      </w:r>
      <w:bookmarkEnd w:id="353"/>
      <w:bookmarkEnd w:id="354"/>
      <w:bookmarkEnd w:id="355"/>
      <w:bookmarkEnd w:id="356"/>
      <w:bookmarkEnd w:id="357"/>
      <w:bookmarkEnd w:id="358"/>
      <w:bookmarkEnd w:id="365"/>
      <w:bookmarkEnd w:id="366"/>
      <w:bookmarkEnd w:id="367"/>
      <w:bookmarkEnd w:id="368"/>
      <w:bookmarkEnd w:id="369"/>
      <w:r>
        <w:rPr>
          <w:rFonts w:eastAsia="宋体"/>
          <w:color w:val="auto"/>
          <w:kern w:val="2"/>
          <w:sz w:val="21"/>
          <w:szCs w:val="22"/>
          <w:lang w:eastAsia="zh-CN" w:bidi="ar-SA"/>
        </w:rPr>
        <w:t>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14:paraId="278B650E">
      <w:pPr>
        <w:keepNext/>
        <w:keepLines/>
        <w:spacing w:before="260" w:after="260"/>
        <w:ind w:firstLine="137" w:firstLineChars="49"/>
        <w:jc w:val="both"/>
        <w:outlineLvl w:val="2"/>
        <w:rPr>
          <w:rFonts w:eastAsia="黑体"/>
          <w:color w:val="auto"/>
          <w:kern w:val="2"/>
          <w:sz w:val="28"/>
          <w:szCs w:val="20"/>
          <w:lang w:eastAsia="zh-CN" w:bidi="ar-SA"/>
        </w:rPr>
      </w:pPr>
      <w:bookmarkStart w:id="370" w:name="_Toc492300616"/>
      <w:bookmarkStart w:id="371" w:name="_Toc16754"/>
      <w:r>
        <w:rPr>
          <w:rFonts w:eastAsia="黑体"/>
          <w:color w:val="auto"/>
          <w:kern w:val="2"/>
          <w:sz w:val="28"/>
          <w:szCs w:val="20"/>
          <w:lang w:eastAsia="zh-CN" w:bidi="ar-SA"/>
        </w:rPr>
        <w:t>8.4 对与评标活动有关的工作人员的纪律要求</w:t>
      </w:r>
      <w:bookmarkEnd w:id="370"/>
      <w:bookmarkEnd w:id="371"/>
    </w:p>
    <w:p w14:paraId="29B093BE">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与评标活动有关的工作人员不得收受他人的财物或者其他好处，不得向他人透露对投标文件</w:t>
      </w:r>
      <w:bookmarkStart w:id="372" w:name="_Toc352691516"/>
      <w:bookmarkStart w:id="373" w:name="_Toc144974537"/>
      <w:bookmarkStart w:id="374" w:name="_Toc361508629"/>
      <w:bookmarkStart w:id="375" w:name="_Toc152042345"/>
      <w:bookmarkStart w:id="376" w:name="_Toc247513993"/>
      <w:bookmarkStart w:id="377" w:name="_Toc247527594"/>
      <w:bookmarkStart w:id="378" w:name="_Toc152045569"/>
      <w:bookmarkStart w:id="379" w:name="_Toc369531560"/>
      <w:bookmarkStart w:id="380" w:name="_Toc300834992"/>
      <w:bookmarkStart w:id="381" w:name="_Toc384308254"/>
      <w:bookmarkStart w:id="382" w:name="_Toc19429"/>
      <w:r>
        <w:rPr>
          <w:rFonts w:eastAsia="宋体"/>
          <w:color w:val="auto"/>
          <w:kern w:val="2"/>
          <w:sz w:val="21"/>
          <w:szCs w:val="22"/>
          <w:lang w:eastAsia="zh-CN" w:bidi="ar-SA"/>
        </w:rPr>
        <w:t>的评审和比较、中标</w:t>
      </w:r>
      <w:bookmarkEnd w:id="372"/>
      <w:bookmarkEnd w:id="373"/>
      <w:bookmarkEnd w:id="374"/>
      <w:bookmarkEnd w:id="375"/>
      <w:bookmarkEnd w:id="376"/>
      <w:bookmarkEnd w:id="377"/>
      <w:bookmarkEnd w:id="378"/>
      <w:bookmarkEnd w:id="379"/>
      <w:bookmarkEnd w:id="380"/>
      <w:bookmarkEnd w:id="381"/>
      <w:bookmarkEnd w:id="382"/>
      <w:r>
        <w:rPr>
          <w:rFonts w:eastAsia="宋体"/>
          <w:color w:val="auto"/>
          <w:kern w:val="2"/>
          <w:sz w:val="21"/>
          <w:szCs w:val="22"/>
          <w:lang w:eastAsia="zh-CN" w:bidi="ar-SA"/>
        </w:rPr>
        <w:t>候选人的推荐情况以及评标有关的其他情况。在评标活动中，与评标活动有关的工作人员不得擅离职守，影响评标程序正常进行。</w:t>
      </w:r>
    </w:p>
    <w:p w14:paraId="7620A8B3">
      <w:pPr>
        <w:keepNext/>
        <w:keepLines/>
        <w:spacing w:before="260" w:after="260"/>
        <w:ind w:firstLine="137" w:firstLineChars="49"/>
        <w:jc w:val="both"/>
        <w:outlineLvl w:val="2"/>
        <w:rPr>
          <w:rFonts w:eastAsia="黑体"/>
          <w:color w:val="auto"/>
          <w:kern w:val="2"/>
          <w:sz w:val="28"/>
          <w:szCs w:val="20"/>
          <w:lang w:eastAsia="zh-CN" w:bidi="ar-SA"/>
        </w:rPr>
      </w:pPr>
      <w:bookmarkStart w:id="383" w:name="_Toc15149"/>
      <w:bookmarkStart w:id="384" w:name="_Toc492300617"/>
      <w:r>
        <w:rPr>
          <w:rFonts w:eastAsia="黑体"/>
          <w:color w:val="auto"/>
          <w:kern w:val="2"/>
          <w:sz w:val="28"/>
          <w:szCs w:val="20"/>
          <w:lang w:eastAsia="zh-CN" w:bidi="ar-SA"/>
        </w:rPr>
        <w:t>8.5 投诉</w:t>
      </w:r>
      <w:bookmarkEnd w:id="383"/>
      <w:bookmarkEnd w:id="384"/>
    </w:p>
    <w:p w14:paraId="5DF4E292">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8.5.1 投标人或者其他利害关系人认为招标投标活动不符合法律、行政法规规定的，可以自知道或者应当知道之日起10日内向有关行政监督部门投诉。投诉应当有明确的请求和必要的证明材料。</w:t>
      </w:r>
    </w:p>
    <w:p w14:paraId="16A4EB82">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8.5.2 投标人或者其他利害关系人对招标文件、开标和评标结果提出投诉的，应当按照投标人须知第2.4款、第5.3款和第7.2款的规定先向招标人提出异议。异议答复期间</w:t>
      </w:r>
      <w:bookmarkStart w:id="385" w:name="_Toc247513994"/>
      <w:bookmarkStart w:id="386" w:name="_Toc152042346"/>
      <w:bookmarkStart w:id="387" w:name="_Toc144974538"/>
      <w:bookmarkStart w:id="388" w:name="_Toc152045570"/>
      <w:bookmarkStart w:id="389" w:name="_Toc12776"/>
      <w:bookmarkStart w:id="390" w:name="_Toc300834993"/>
      <w:bookmarkStart w:id="391" w:name="_Toc369531561"/>
      <w:bookmarkStart w:id="392" w:name="_Toc384308255"/>
      <w:bookmarkStart w:id="393" w:name="_Toc361508630"/>
      <w:bookmarkStart w:id="394" w:name="_Toc247527595"/>
      <w:bookmarkStart w:id="395" w:name="_Toc352691517"/>
      <w:r>
        <w:rPr>
          <w:rFonts w:eastAsia="宋体"/>
          <w:color w:val="auto"/>
          <w:kern w:val="2"/>
          <w:sz w:val="21"/>
          <w:szCs w:val="22"/>
          <w:lang w:eastAsia="zh-CN" w:bidi="ar-SA"/>
        </w:rPr>
        <w:t>不计算在第8.5.</w:t>
      </w:r>
      <w:bookmarkEnd w:id="385"/>
      <w:bookmarkEnd w:id="386"/>
      <w:bookmarkEnd w:id="387"/>
      <w:bookmarkEnd w:id="388"/>
      <w:bookmarkEnd w:id="389"/>
      <w:bookmarkEnd w:id="390"/>
      <w:bookmarkEnd w:id="391"/>
      <w:bookmarkEnd w:id="392"/>
      <w:bookmarkEnd w:id="393"/>
      <w:bookmarkEnd w:id="394"/>
      <w:bookmarkEnd w:id="395"/>
      <w:r>
        <w:rPr>
          <w:rFonts w:eastAsia="宋体"/>
          <w:color w:val="auto"/>
          <w:kern w:val="2"/>
          <w:sz w:val="21"/>
          <w:szCs w:val="22"/>
          <w:lang w:eastAsia="zh-CN" w:bidi="ar-SA"/>
        </w:rPr>
        <w:t>1项规定的期限内。</w:t>
      </w:r>
    </w:p>
    <w:p w14:paraId="4FEBA65A">
      <w:pPr>
        <w:keepNext/>
        <w:keepLines/>
        <w:spacing w:before="260" w:after="260"/>
        <w:jc w:val="both"/>
        <w:outlineLvl w:val="1"/>
        <w:rPr>
          <w:rFonts w:eastAsia="黑体"/>
          <w:b/>
          <w:color w:val="auto"/>
          <w:kern w:val="2"/>
          <w:sz w:val="32"/>
          <w:szCs w:val="20"/>
          <w:lang w:eastAsia="zh-CN" w:bidi="ar-SA"/>
        </w:rPr>
      </w:pPr>
      <w:bookmarkStart w:id="396" w:name="_Toc1597"/>
      <w:r>
        <w:rPr>
          <w:rFonts w:eastAsia="黑体"/>
          <w:b/>
          <w:color w:val="auto"/>
          <w:kern w:val="2"/>
          <w:sz w:val="32"/>
          <w:szCs w:val="20"/>
          <w:lang w:eastAsia="zh-CN" w:bidi="ar-SA"/>
        </w:rPr>
        <w:t>9. 是否采用电子招标投标</w:t>
      </w:r>
      <w:bookmarkEnd w:id="396"/>
    </w:p>
    <w:p w14:paraId="1E59B984">
      <w:pPr>
        <w:spacing w:line="40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本招标项目是否采用电子招标投标方式，见投标人须知前附表。</w:t>
      </w:r>
    </w:p>
    <w:p w14:paraId="732EC93A">
      <w:pPr>
        <w:keepNext/>
        <w:keepLines/>
        <w:spacing w:before="260" w:after="260"/>
        <w:jc w:val="both"/>
        <w:outlineLvl w:val="1"/>
        <w:rPr>
          <w:rFonts w:eastAsia="黑体"/>
          <w:b/>
          <w:color w:val="auto"/>
          <w:kern w:val="2"/>
          <w:sz w:val="32"/>
          <w:szCs w:val="20"/>
          <w:lang w:eastAsia="zh-CN" w:bidi="ar-SA"/>
        </w:rPr>
      </w:pPr>
      <w:bookmarkStart w:id="397" w:name="_Toc2424"/>
      <w:r>
        <w:rPr>
          <w:rFonts w:eastAsia="黑体"/>
          <w:b/>
          <w:color w:val="auto"/>
          <w:kern w:val="2"/>
          <w:sz w:val="32"/>
          <w:szCs w:val="20"/>
          <w:lang w:eastAsia="zh-CN" w:bidi="ar-SA"/>
        </w:rPr>
        <w:t>10. 需要补充的其他内容</w:t>
      </w:r>
      <w:bookmarkEnd w:id="397"/>
    </w:p>
    <w:p w14:paraId="0DA8BEF5">
      <w:pPr>
        <w:spacing w:line="400" w:lineRule="exact"/>
        <w:ind w:firstLine="420" w:firstLineChars="200"/>
        <w:jc w:val="both"/>
        <w:rPr>
          <w:rFonts w:eastAsia="宋体"/>
          <w:color w:val="auto"/>
          <w:kern w:val="2"/>
          <w:sz w:val="21"/>
          <w:szCs w:val="22"/>
          <w:lang w:eastAsia="zh-CN" w:bidi="ar-SA"/>
        </w:rPr>
        <w:sectPr>
          <w:footnotePr>
            <w:numFmt w:val="decimalEnclosedCircleChinese"/>
            <w:numRestart w:val="eachPage"/>
          </w:footnotePr>
          <w:pgSz w:w="11906" w:h="16838"/>
          <w:pgMar w:top="1418" w:right="1588" w:bottom="1418" w:left="1588" w:header="680" w:footer="992" w:gutter="0"/>
          <w:cols w:space="720" w:num="1"/>
          <w:docGrid w:linePitch="326" w:charSpace="0"/>
        </w:sectPr>
      </w:pPr>
      <w:r>
        <w:rPr>
          <w:rFonts w:eastAsia="宋体"/>
          <w:color w:val="auto"/>
          <w:kern w:val="2"/>
          <w:sz w:val="21"/>
          <w:szCs w:val="22"/>
          <w:lang w:eastAsia="zh-CN" w:bidi="ar-SA"/>
        </w:rPr>
        <w:t>需要补充的其他内容：见投标人须知前附表。</w:t>
      </w:r>
    </w:p>
    <w:bookmarkEnd w:id="55"/>
    <w:bookmarkEnd w:id="56"/>
    <w:bookmarkEnd w:id="57"/>
    <w:bookmarkEnd w:id="58"/>
    <w:p w14:paraId="1ADB3321">
      <w:pPr>
        <w:snapToGrid w:val="0"/>
        <w:spacing w:before="240" w:beforeLines="100" w:after="240" w:afterLines="100"/>
        <w:ind w:firstLine="442" w:firstLineChars="200"/>
        <w:outlineLvl w:val="1"/>
        <w:rPr>
          <w:rFonts w:hint="eastAsia" w:ascii="宋体" w:hAnsi="宋体" w:eastAsia="宋体" w:cs="宋体"/>
          <w:b/>
          <w:color w:val="auto"/>
          <w:spacing w:val="-10"/>
          <w:lang w:eastAsia="zh-CN" w:bidi="ar-SA"/>
        </w:rPr>
      </w:pPr>
      <w:bookmarkStart w:id="398" w:name="_Toc32146878"/>
      <w:bookmarkStart w:id="399" w:name="_Toc27380"/>
      <w:r>
        <w:rPr>
          <w:rFonts w:ascii="宋体" w:hAnsi="宋体" w:eastAsia="宋体" w:cs="宋体"/>
          <w:b/>
          <w:color w:val="auto"/>
          <w:spacing w:val="-10"/>
          <w:lang w:eastAsia="zh-CN" w:bidi="ar-SA"/>
        </w:rPr>
        <w:t>附</w:t>
      </w:r>
      <w:r>
        <w:rPr>
          <w:rFonts w:hint="eastAsia" w:ascii="宋体" w:hAnsi="宋体" w:eastAsia="宋体" w:cs="宋体"/>
          <w:b/>
          <w:color w:val="auto"/>
          <w:spacing w:val="-10"/>
          <w:lang w:eastAsia="zh-CN" w:bidi="ar-SA"/>
        </w:rPr>
        <w:t>件一</w:t>
      </w:r>
      <w:r>
        <w:rPr>
          <w:rFonts w:ascii="宋体" w:hAnsi="宋体" w:eastAsia="宋体" w:cs="宋体"/>
          <w:b/>
          <w:color w:val="auto"/>
          <w:spacing w:val="-10"/>
          <w:lang w:eastAsia="zh-CN" w:bidi="ar-SA"/>
        </w:rPr>
        <w:t xml:space="preserve">  </w:t>
      </w:r>
      <w:r>
        <w:rPr>
          <w:rFonts w:hint="eastAsia" w:ascii="宋体" w:hAnsi="宋体" w:eastAsia="宋体" w:cs="宋体"/>
          <w:b/>
          <w:color w:val="auto"/>
          <w:spacing w:val="-10"/>
          <w:lang w:eastAsia="zh-CN" w:bidi="ar-SA"/>
        </w:rPr>
        <w:t>开标</w:t>
      </w:r>
      <w:r>
        <w:rPr>
          <w:rFonts w:ascii="宋体" w:hAnsi="宋体" w:eastAsia="宋体" w:cs="宋体"/>
          <w:b/>
          <w:color w:val="auto"/>
          <w:spacing w:val="-10"/>
          <w:lang w:eastAsia="zh-CN" w:bidi="ar-SA"/>
        </w:rPr>
        <w:t>记录表</w:t>
      </w:r>
      <w:bookmarkEnd w:id="398"/>
      <w:bookmarkEnd w:id="399"/>
    </w:p>
    <w:p w14:paraId="664530BC">
      <w:pPr>
        <w:wordWrap w:val="0"/>
        <w:spacing w:line="440" w:lineRule="exact"/>
        <w:jc w:val="center"/>
        <w:rPr>
          <w:rFonts w:eastAsia="黑体" w:cs="宋体"/>
          <w:color w:val="auto"/>
          <w:sz w:val="28"/>
          <w:szCs w:val="28"/>
          <w:lang w:eastAsia="zh-CN" w:bidi="ar-SA"/>
        </w:rPr>
      </w:pPr>
      <w:r>
        <w:rPr>
          <w:rFonts w:hint="eastAsia" w:eastAsia="黑体" w:cs="宋体"/>
          <w:color w:val="auto"/>
          <w:sz w:val="28"/>
          <w:szCs w:val="28"/>
          <w:lang w:eastAsia="zh-CN" w:bidi="ar-SA"/>
        </w:rPr>
        <w:t>新余市港口水运基础设施建设项目-袁河航道提升工程新余段库区工程第二标段监理招标</w:t>
      </w:r>
    </w:p>
    <w:p w14:paraId="076B7B89">
      <w:pPr>
        <w:wordWrap w:val="0"/>
        <w:spacing w:line="440" w:lineRule="exact"/>
        <w:jc w:val="center"/>
        <w:rPr>
          <w:rFonts w:eastAsia="黑体" w:cs="宋体"/>
          <w:color w:val="auto"/>
          <w:sz w:val="28"/>
          <w:szCs w:val="28"/>
          <w:lang w:eastAsia="zh-CN" w:bidi="ar-SA"/>
        </w:rPr>
      </w:pPr>
      <w:r>
        <w:rPr>
          <w:rFonts w:eastAsia="黑体" w:cs="宋体"/>
          <w:color w:val="auto"/>
          <w:sz w:val="28"/>
          <w:szCs w:val="28"/>
          <w:u w:val="single"/>
          <w:lang w:eastAsia="zh-CN" w:bidi="ar-SA"/>
        </w:rPr>
        <w:t xml:space="preserve">        </w:t>
      </w:r>
      <w:r>
        <w:rPr>
          <w:rFonts w:hint="eastAsia" w:eastAsia="黑体" w:cs="宋体"/>
          <w:color w:val="auto"/>
          <w:sz w:val="28"/>
          <w:szCs w:val="28"/>
          <w:lang w:eastAsia="zh-CN" w:bidi="ar-SA"/>
        </w:rPr>
        <w:t>标段</w:t>
      </w:r>
      <w:r>
        <w:rPr>
          <w:rFonts w:eastAsia="黑体" w:cs="宋体"/>
          <w:color w:val="auto"/>
          <w:sz w:val="28"/>
          <w:szCs w:val="28"/>
          <w:lang w:eastAsia="zh-CN" w:bidi="ar-SA"/>
        </w:rPr>
        <w:t>第一</w:t>
      </w:r>
      <w:r>
        <w:rPr>
          <w:rFonts w:hint="eastAsia" w:eastAsia="黑体" w:cs="宋体"/>
          <w:color w:val="auto"/>
          <w:sz w:val="28"/>
          <w:szCs w:val="28"/>
          <w:lang w:eastAsia="zh-CN" w:bidi="ar-SA"/>
        </w:rPr>
        <w:t>个</w:t>
      </w:r>
      <w:r>
        <w:rPr>
          <w:rFonts w:eastAsia="黑体" w:cs="宋体"/>
          <w:color w:val="auto"/>
          <w:sz w:val="28"/>
          <w:szCs w:val="28"/>
          <w:lang w:eastAsia="zh-CN" w:bidi="ar-SA"/>
        </w:rPr>
        <w:t>信封（商务</w:t>
      </w:r>
      <w:r>
        <w:rPr>
          <w:rFonts w:hint="eastAsia" w:eastAsia="黑体" w:cs="宋体"/>
          <w:color w:val="auto"/>
          <w:sz w:val="28"/>
          <w:szCs w:val="28"/>
          <w:lang w:eastAsia="zh-CN" w:bidi="ar-SA"/>
        </w:rPr>
        <w:t>及</w:t>
      </w:r>
      <w:r>
        <w:rPr>
          <w:rFonts w:eastAsia="黑体" w:cs="宋体"/>
          <w:color w:val="auto"/>
          <w:sz w:val="28"/>
          <w:szCs w:val="28"/>
          <w:lang w:eastAsia="zh-CN" w:bidi="ar-SA"/>
        </w:rPr>
        <w:t>技术文件）开</w:t>
      </w:r>
      <w:r>
        <w:rPr>
          <w:rFonts w:hint="eastAsia" w:eastAsia="黑体" w:cs="宋体"/>
          <w:color w:val="auto"/>
          <w:sz w:val="28"/>
          <w:szCs w:val="28"/>
          <w:lang w:eastAsia="zh-CN" w:bidi="ar-SA"/>
        </w:rPr>
        <w:t>标</w:t>
      </w:r>
      <w:r>
        <w:rPr>
          <w:rFonts w:eastAsia="黑体" w:cs="宋体"/>
          <w:color w:val="auto"/>
          <w:sz w:val="28"/>
          <w:szCs w:val="28"/>
          <w:lang w:eastAsia="zh-CN" w:bidi="ar-SA"/>
        </w:rPr>
        <w:t>记录表</w:t>
      </w:r>
    </w:p>
    <w:p w14:paraId="416EE513">
      <w:pPr>
        <w:wordWrap w:val="0"/>
        <w:spacing w:line="440" w:lineRule="exact"/>
        <w:ind w:right="-228"/>
        <w:jc w:val="center"/>
        <w:rPr>
          <w:rFonts w:eastAsia="宋体" w:cs="宋体"/>
          <w:color w:val="auto"/>
          <w:lang w:eastAsia="zh-CN" w:bidi="ar-SA"/>
        </w:rPr>
      </w:pPr>
      <w:r>
        <w:rPr>
          <w:rFonts w:hint="eastAsia" w:eastAsia="宋体" w:cs="宋体"/>
          <w:color w:val="auto"/>
          <w:lang w:eastAsia="zh-CN" w:bidi="ar-SA"/>
        </w:rPr>
        <w:t xml:space="preserve"> </w:t>
      </w:r>
      <w:r>
        <w:rPr>
          <w:rFonts w:eastAsia="宋体" w:cs="宋体"/>
          <w:color w:val="auto"/>
          <w:lang w:eastAsia="zh-CN" w:bidi="ar-SA"/>
        </w:rPr>
        <w:t xml:space="preserve">                                                                                         开标时间：</w:t>
      </w:r>
      <w:r>
        <w:rPr>
          <w:rFonts w:eastAsia="宋体" w:cs="宋体"/>
          <w:color w:val="auto"/>
          <w:u w:val="single"/>
          <w:lang w:eastAsia="zh-CN" w:bidi="ar-SA"/>
        </w:rPr>
        <w:t xml:space="preserve">   </w:t>
      </w:r>
      <w:r>
        <w:rPr>
          <w:rFonts w:eastAsia="宋体" w:cs="宋体"/>
          <w:color w:val="auto"/>
          <w:lang w:eastAsia="zh-CN" w:bidi="ar-SA"/>
        </w:rPr>
        <w:t>年</w:t>
      </w:r>
      <w:r>
        <w:rPr>
          <w:rFonts w:eastAsia="宋体" w:cs="宋体"/>
          <w:color w:val="auto"/>
          <w:u w:val="single"/>
          <w:lang w:eastAsia="zh-CN" w:bidi="ar-SA"/>
        </w:rPr>
        <w:t xml:space="preserve">   </w:t>
      </w:r>
      <w:r>
        <w:rPr>
          <w:rFonts w:eastAsia="宋体" w:cs="宋体"/>
          <w:color w:val="auto"/>
          <w:lang w:eastAsia="zh-CN" w:bidi="ar-SA"/>
        </w:rPr>
        <w:t xml:space="preserve"> 月</w:t>
      </w:r>
      <w:r>
        <w:rPr>
          <w:rFonts w:eastAsia="宋体" w:cs="宋体"/>
          <w:color w:val="auto"/>
          <w:u w:val="single"/>
          <w:lang w:eastAsia="zh-CN" w:bidi="ar-SA"/>
        </w:rPr>
        <w:t xml:space="preserve">   </w:t>
      </w:r>
      <w:r>
        <w:rPr>
          <w:rFonts w:eastAsia="宋体" w:cs="宋体"/>
          <w:color w:val="auto"/>
          <w:lang w:eastAsia="zh-CN" w:bidi="ar-SA"/>
        </w:rPr>
        <w:t xml:space="preserve"> 日</w:t>
      </w:r>
      <w:r>
        <w:rPr>
          <w:rFonts w:eastAsia="宋体" w:cs="宋体"/>
          <w:color w:val="auto"/>
          <w:u w:val="single"/>
          <w:lang w:eastAsia="zh-CN" w:bidi="ar-SA"/>
        </w:rPr>
        <w:t xml:space="preserve">   </w:t>
      </w:r>
      <w:r>
        <w:rPr>
          <w:rFonts w:eastAsia="宋体" w:cs="宋体"/>
          <w:color w:val="auto"/>
          <w:lang w:eastAsia="zh-CN" w:bidi="ar-SA"/>
        </w:rPr>
        <w:t xml:space="preserve"> 时</w:t>
      </w:r>
      <w:r>
        <w:rPr>
          <w:rFonts w:eastAsia="宋体" w:cs="宋体"/>
          <w:color w:val="auto"/>
          <w:u w:val="single"/>
          <w:lang w:eastAsia="zh-CN" w:bidi="ar-SA"/>
        </w:rPr>
        <w:t xml:space="preserve">   </w:t>
      </w:r>
      <w:r>
        <w:rPr>
          <w:rFonts w:eastAsia="宋体" w:cs="宋体"/>
          <w:color w:val="auto"/>
          <w:lang w:eastAsia="zh-CN" w:bidi="ar-SA"/>
        </w:rPr>
        <w:t xml:space="preserve"> 分</w:t>
      </w:r>
    </w:p>
    <w:tbl>
      <w:tblPr>
        <w:tblStyle w:val="47"/>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1134"/>
        <w:gridCol w:w="2126"/>
        <w:gridCol w:w="2410"/>
        <w:gridCol w:w="992"/>
        <w:gridCol w:w="1417"/>
      </w:tblGrid>
      <w:tr w14:paraId="6D9939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01" w:type="dxa"/>
            <w:vAlign w:val="center"/>
          </w:tcPr>
          <w:p w14:paraId="5656ED7B">
            <w:pPr>
              <w:wordWrap w:val="0"/>
              <w:spacing w:line="500" w:lineRule="exact"/>
              <w:jc w:val="center"/>
              <w:rPr>
                <w:rFonts w:eastAsia="宋体" w:cs="宋体"/>
                <w:color w:val="auto"/>
                <w:szCs w:val="21"/>
                <w:lang w:eastAsia="zh-CN" w:bidi="ar-SA"/>
              </w:rPr>
            </w:pPr>
            <w:r>
              <w:rPr>
                <w:rFonts w:eastAsia="宋体" w:cs="宋体"/>
                <w:color w:val="auto"/>
                <w:szCs w:val="21"/>
                <w:lang w:eastAsia="zh-CN" w:bidi="ar-SA"/>
              </w:rPr>
              <w:t>序号</w:t>
            </w:r>
          </w:p>
        </w:tc>
        <w:tc>
          <w:tcPr>
            <w:tcW w:w="1134" w:type="dxa"/>
            <w:vAlign w:val="center"/>
          </w:tcPr>
          <w:p w14:paraId="5FE170E2">
            <w:pPr>
              <w:wordWrap w:val="0"/>
              <w:spacing w:line="500" w:lineRule="exact"/>
              <w:jc w:val="center"/>
              <w:rPr>
                <w:rFonts w:eastAsia="宋体" w:cs="宋体"/>
                <w:color w:val="auto"/>
                <w:szCs w:val="21"/>
                <w:lang w:eastAsia="zh-CN" w:bidi="ar-SA"/>
              </w:rPr>
            </w:pPr>
            <w:r>
              <w:rPr>
                <w:rFonts w:eastAsia="宋体" w:cs="宋体"/>
                <w:color w:val="auto"/>
                <w:szCs w:val="21"/>
                <w:lang w:eastAsia="zh-CN" w:bidi="ar-SA"/>
              </w:rPr>
              <w:t>投标人</w:t>
            </w:r>
          </w:p>
        </w:tc>
        <w:tc>
          <w:tcPr>
            <w:tcW w:w="2126" w:type="dxa"/>
            <w:vAlign w:val="center"/>
          </w:tcPr>
          <w:p w14:paraId="66B468D6">
            <w:pPr>
              <w:wordWrap w:val="0"/>
              <w:spacing w:line="500" w:lineRule="exact"/>
              <w:jc w:val="center"/>
              <w:rPr>
                <w:rFonts w:eastAsia="宋体" w:cs="宋体"/>
                <w:color w:val="auto"/>
                <w:szCs w:val="21"/>
                <w:lang w:eastAsia="zh-CN" w:bidi="ar-SA"/>
              </w:rPr>
            </w:pPr>
            <w:r>
              <w:rPr>
                <w:rFonts w:hint="eastAsia" w:eastAsia="宋体" w:cs="宋体"/>
                <w:color w:val="auto"/>
                <w:szCs w:val="21"/>
                <w:lang w:eastAsia="zh-CN" w:bidi="ar-SA"/>
              </w:rPr>
              <w:t>解密</w:t>
            </w:r>
            <w:r>
              <w:rPr>
                <w:rFonts w:eastAsia="宋体" w:cs="宋体"/>
                <w:color w:val="auto"/>
                <w:szCs w:val="21"/>
                <w:lang w:eastAsia="zh-CN" w:bidi="ar-SA"/>
              </w:rPr>
              <w:t>情况</w:t>
            </w:r>
          </w:p>
        </w:tc>
        <w:tc>
          <w:tcPr>
            <w:tcW w:w="2410" w:type="dxa"/>
            <w:vAlign w:val="center"/>
          </w:tcPr>
          <w:p w14:paraId="3226D8AC">
            <w:pPr>
              <w:wordWrap w:val="0"/>
              <w:spacing w:line="360" w:lineRule="auto"/>
              <w:rPr>
                <w:rFonts w:eastAsia="宋体" w:cs="宋体"/>
                <w:color w:val="auto"/>
                <w:szCs w:val="21"/>
                <w:lang w:eastAsia="zh-CN" w:bidi="ar-SA"/>
              </w:rPr>
            </w:pPr>
            <w:r>
              <w:rPr>
                <w:rFonts w:hint="eastAsia" w:eastAsia="宋体" w:cs="宋体"/>
                <w:color w:val="auto"/>
                <w:szCs w:val="21"/>
                <w:lang w:eastAsia="zh-CN" w:bidi="ar-SA"/>
              </w:rPr>
              <w:t>投标保证金递交情况</w:t>
            </w:r>
          </w:p>
        </w:tc>
        <w:tc>
          <w:tcPr>
            <w:tcW w:w="992" w:type="dxa"/>
            <w:vAlign w:val="center"/>
          </w:tcPr>
          <w:p w14:paraId="17530CCA">
            <w:pPr>
              <w:wordWrap w:val="0"/>
              <w:spacing w:line="500" w:lineRule="exact"/>
              <w:jc w:val="center"/>
              <w:rPr>
                <w:rFonts w:eastAsia="宋体" w:cs="宋体"/>
                <w:color w:val="auto"/>
                <w:szCs w:val="21"/>
                <w:lang w:eastAsia="zh-CN" w:bidi="ar-SA"/>
              </w:rPr>
            </w:pPr>
            <w:r>
              <w:rPr>
                <w:rFonts w:eastAsia="宋体" w:cs="宋体"/>
                <w:color w:val="auto"/>
                <w:szCs w:val="21"/>
                <w:lang w:eastAsia="zh-CN" w:bidi="ar-SA"/>
              </w:rPr>
              <w:t>备注</w:t>
            </w:r>
          </w:p>
        </w:tc>
        <w:tc>
          <w:tcPr>
            <w:tcW w:w="1417" w:type="dxa"/>
            <w:vAlign w:val="center"/>
          </w:tcPr>
          <w:p w14:paraId="681E4DBD">
            <w:pPr>
              <w:wordWrap w:val="0"/>
              <w:spacing w:line="500" w:lineRule="exact"/>
              <w:jc w:val="center"/>
              <w:rPr>
                <w:rFonts w:eastAsia="宋体" w:cs="宋体"/>
                <w:color w:val="auto"/>
                <w:szCs w:val="21"/>
                <w:lang w:eastAsia="zh-CN" w:bidi="ar-SA"/>
              </w:rPr>
            </w:pPr>
            <w:r>
              <w:rPr>
                <w:rFonts w:eastAsia="宋体" w:cs="宋体"/>
                <w:color w:val="auto"/>
                <w:szCs w:val="21"/>
                <w:lang w:eastAsia="zh-CN" w:bidi="ar-SA"/>
              </w:rPr>
              <w:t>投标人代表签名</w:t>
            </w:r>
          </w:p>
        </w:tc>
      </w:tr>
      <w:tr w14:paraId="2B870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Align w:val="center"/>
          </w:tcPr>
          <w:p w14:paraId="2A4E4DFF">
            <w:pPr>
              <w:wordWrap w:val="0"/>
              <w:spacing w:line="440" w:lineRule="exact"/>
              <w:jc w:val="center"/>
              <w:rPr>
                <w:rFonts w:eastAsia="宋体" w:cs="宋体"/>
                <w:color w:val="auto"/>
                <w:lang w:eastAsia="zh-CN" w:bidi="ar-SA"/>
              </w:rPr>
            </w:pPr>
          </w:p>
        </w:tc>
        <w:tc>
          <w:tcPr>
            <w:tcW w:w="1134" w:type="dxa"/>
            <w:vAlign w:val="center"/>
          </w:tcPr>
          <w:p w14:paraId="191300C9">
            <w:pPr>
              <w:wordWrap w:val="0"/>
              <w:spacing w:line="440" w:lineRule="exact"/>
              <w:jc w:val="center"/>
              <w:rPr>
                <w:rFonts w:eastAsia="宋体" w:cs="宋体"/>
                <w:color w:val="auto"/>
                <w:lang w:eastAsia="zh-CN" w:bidi="ar-SA"/>
              </w:rPr>
            </w:pPr>
          </w:p>
        </w:tc>
        <w:tc>
          <w:tcPr>
            <w:tcW w:w="2126" w:type="dxa"/>
            <w:vAlign w:val="center"/>
          </w:tcPr>
          <w:p w14:paraId="0911EDFF">
            <w:pPr>
              <w:wordWrap w:val="0"/>
              <w:spacing w:line="440" w:lineRule="exact"/>
              <w:jc w:val="center"/>
              <w:rPr>
                <w:rFonts w:eastAsia="宋体" w:cs="宋体"/>
                <w:color w:val="auto"/>
                <w:lang w:eastAsia="zh-CN" w:bidi="ar-SA"/>
              </w:rPr>
            </w:pPr>
          </w:p>
        </w:tc>
        <w:tc>
          <w:tcPr>
            <w:tcW w:w="2410" w:type="dxa"/>
            <w:vAlign w:val="center"/>
          </w:tcPr>
          <w:p w14:paraId="0FE41459">
            <w:pPr>
              <w:wordWrap w:val="0"/>
              <w:spacing w:line="440" w:lineRule="exact"/>
              <w:jc w:val="center"/>
              <w:rPr>
                <w:rFonts w:eastAsia="宋体" w:cs="宋体"/>
                <w:color w:val="auto"/>
                <w:lang w:eastAsia="zh-CN" w:bidi="ar-SA"/>
              </w:rPr>
            </w:pPr>
          </w:p>
        </w:tc>
        <w:tc>
          <w:tcPr>
            <w:tcW w:w="992" w:type="dxa"/>
            <w:vAlign w:val="center"/>
          </w:tcPr>
          <w:p w14:paraId="3BED6376">
            <w:pPr>
              <w:wordWrap w:val="0"/>
              <w:spacing w:line="440" w:lineRule="exact"/>
              <w:jc w:val="center"/>
              <w:rPr>
                <w:rFonts w:eastAsia="宋体" w:cs="宋体"/>
                <w:color w:val="auto"/>
                <w:lang w:eastAsia="zh-CN" w:bidi="ar-SA"/>
              </w:rPr>
            </w:pPr>
          </w:p>
        </w:tc>
        <w:tc>
          <w:tcPr>
            <w:tcW w:w="1417" w:type="dxa"/>
            <w:vAlign w:val="center"/>
          </w:tcPr>
          <w:p w14:paraId="1D0D8A80">
            <w:pPr>
              <w:wordWrap w:val="0"/>
              <w:spacing w:line="440" w:lineRule="exact"/>
              <w:jc w:val="center"/>
              <w:rPr>
                <w:rFonts w:eastAsia="宋体" w:cs="宋体"/>
                <w:color w:val="auto"/>
                <w:lang w:eastAsia="zh-CN" w:bidi="ar-SA"/>
              </w:rPr>
            </w:pPr>
          </w:p>
        </w:tc>
      </w:tr>
      <w:tr w14:paraId="1C7710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Align w:val="center"/>
          </w:tcPr>
          <w:p w14:paraId="755D033D">
            <w:pPr>
              <w:wordWrap w:val="0"/>
              <w:spacing w:line="440" w:lineRule="exact"/>
              <w:jc w:val="center"/>
              <w:rPr>
                <w:rFonts w:eastAsia="宋体" w:cs="宋体"/>
                <w:color w:val="auto"/>
                <w:lang w:eastAsia="zh-CN" w:bidi="ar-SA"/>
              </w:rPr>
            </w:pPr>
          </w:p>
        </w:tc>
        <w:tc>
          <w:tcPr>
            <w:tcW w:w="1134" w:type="dxa"/>
            <w:vAlign w:val="center"/>
          </w:tcPr>
          <w:p w14:paraId="0C523F56">
            <w:pPr>
              <w:wordWrap w:val="0"/>
              <w:spacing w:line="440" w:lineRule="exact"/>
              <w:jc w:val="center"/>
              <w:rPr>
                <w:rFonts w:eastAsia="宋体" w:cs="宋体"/>
                <w:color w:val="auto"/>
                <w:lang w:eastAsia="zh-CN" w:bidi="ar-SA"/>
              </w:rPr>
            </w:pPr>
          </w:p>
        </w:tc>
        <w:tc>
          <w:tcPr>
            <w:tcW w:w="2126" w:type="dxa"/>
            <w:vAlign w:val="center"/>
          </w:tcPr>
          <w:p w14:paraId="4A54899A">
            <w:pPr>
              <w:wordWrap w:val="0"/>
              <w:spacing w:line="440" w:lineRule="exact"/>
              <w:jc w:val="center"/>
              <w:rPr>
                <w:rFonts w:eastAsia="宋体" w:cs="宋体"/>
                <w:color w:val="auto"/>
                <w:lang w:eastAsia="zh-CN" w:bidi="ar-SA"/>
              </w:rPr>
            </w:pPr>
          </w:p>
        </w:tc>
        <w:tc>
          <w:tcPr>
            <w:tcW w:w="2410" w:type="dxa"/>
            <w:vAlign w:val="center"/>
          </w:tcPr>
          <w:p w14:paraId="282FBE1A">
            <w:pPr>
              <w:wordWrap w:val="0"/>
              <w:spacing w:line="440" w:lineRule="exact"/>
              <w:jc w:val="center"/>
              <w:rPr>
                <w:rFonts w:eastAsia="宋体" w:cs="宋体"/>
                <w:color w:val="auto"/>
                <w:lang w:eastAsia="zh-CN" w:bidi="ar-SA"/>
              </w:rPr>
            </w:pPr>
          </w:p>
        </w:tc>
        <w:tc>
          <w:tcPr>
            <w:tcW w:w="992" w:type="dxa"/>
            <w:vAlign w:val="center"/>
          </w:tcPr>
          <w:p w14:paraId="4A9CA72A">
            <w:pPr>
              <w:wordWrap w:val="0"/>
              <w:spacing w:line="440" w:lineRule="exact"/>
              <w:jc w:val="center"/>
              <w:rPr>
                <w:rFonts w:eastAsia="宋体" w:cs="宋体"/>
                <w:color w:val="auto"/>
                <w:lang w:eastAsia="zh-CN" w:bidi="ar-SA"/>
              </w:rPr>
            </w:pPr>
          </w:p>
        </w:tc>
        <w:tc>
          <w:tcPr>
            <w:tcW w:w="1417" w:type="dxa"/>
            <w:vAlign w:val="center"/>
          </w:tcPr>
          <w:p w14:paraId="76C5C72D">
            <w:pPr>
              <w:wordWrap w:val="0"/>
              <w:spacing w:line="440" w:lineRule="exact"/>
              <w:jc w:val="center"/>
              <w:rPr>
                <w:rFonts w:eastAsia="宋体" w:cs="宋体"/>
                <w:color w:val="auto"/>
                <w:lang w:eastAsia="zh-CN" w:bidi="ar-SA"/>
              </w:rPr>
            </w:pPr>
          </w:p>
        </w:tc>
      </w:tr>
      <w:tr w14:paraId="0F9EAA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Align w:val="center"/>
          </w:tcPr>
          <w:p w14:paraId="1EB32C97">
            <w:pPr>
              <w:wordWrap w:val="0"/>
              <w:spacing w:line="440" w:lineRule="exact"/>
              <w:jc w:val="center"/>
              <w:rPr>
                <w:rFonts w:eastAsia="宋体" w:cs="宋体"/>
                <w:color w:val="auto"/>
                <w:lang w:eastAsia="zh-CN" w:bidi="ar-SA"/>
              </w:rPr>
            </w:pPr>
          </w:p>
        </w:tc>
        <w:tc>
          <w:tcPr>
            <w:tcW w:w="1134" w:type="dxa"/>
            <w:vAlign w:val="center"/>
          </w:tcPr>
          <w:p w14:paraId="5AC26BD4">
            <w:pPr>
              <w:wordWrap w:val="0"/>
              <w:spacing w:line="440" w:lineRule="exact"/>
              <w:jc w:val="center"/>
              <w:rPr>
                <w:rFonts w:eastAsia="宋体" w:cs="宋体"/>
                <w:color w:val="auto"/>
                <w:lang w:eastAsia="zh-CN" w:bidi="ar-SA"/>
              </w:rPr>
            </w:pPr>
          </w:p>
        </w:tc>
        <w:tc>
          <w:tcPr>
            <w:tcW w:w="2126" w:type="dxa"/>
            <w:vAlign w:val="center"/>
          </w:tcPr>
          <w:p w14:paraId="6FAF8F16">
            <w:pPr>
              <w:wordWrap w:val="0"/>
              <w:spacing w:line="440" w:lineRule="exact"/>
              <w:jc w:val="center"/>
              <w:rPr>
                <w:rFonts w:eastAsia="宋体" w:cs="宋体"/>
                <w:color w:val="auto"/>
                <w:lang w:eastAsia="zh-CN" w:bidi="ar-SA"/>
              </w:rPr>
            </w:pPr>
          </w:p>
        </w:tc>
        <w:tc>
          <w:tcPr>
            <w:tcW w:w="2410" w:type="dxa"/>
            <w:vAlign w:val="center"/>
          </w:tcPr>
          <w:p w14:paraId="3D112E7C">
            <w:pPr>
              <w:wordWrap w:val="0"/>
              <w:spacing w:line="440" w:lineRule="exact"/>
              <w:jc w:val="center"/>
              <w:rPr>
                <w:rFonts w:eastAsia="宋体" w:cs="宋体"/>
                <w:color w:val="auto"/>
                <w:lang w:eastAsia="zh-CN" w:bidi="ar-SA"/>
              </w:rPr>
            </w:pPr>
          </w:p>
        </w:tc>
        <w:tc>
          <w:tcPr>
            <w:tcW w:w="992" w:type="dxa"/>
            <w:vAlign w:val="center"/>
          </w:tcPr>
          <w:p w14:paraId="57312FAD">
            <w:pPr>
              <w:wordWrap w:val="0"/>
              <w:spacing w:line="440" w:lineRule="exact"/>
              <w:jc w:val="center"/>
              <w:rPr>
                <w:rFonts w:eastAsia="宋体" w:cs="宋体"/>
                <w:color w:val="auto"/>
                <w:lang w:eastAsia="zh-CN" w:bidi="ar-SA"/>
              </w:rPr>
            </w:pPr>
          </w:p>
        </w:tc>
        <w:tc>
          <w:tcPr>
            <w:tcW w:w="1417" w:type="dxa"/>
            <w:vAlign w:val="center"/>
          </w:tcPr>
          <w:p w14:paraId="14FED784">
            <w:pPr>
              <w:wordWrap w:val="0"/>
              <w:spacing w:line="440" w:lineRule="exact"/>
              <w:jc w:val="center"/>
              <w:rPr>
                <w:rFonts w:eastAsia="宋体" w:cs="宋体"/>
                <w:color w:val="auto"/>
                <w:lang w:eastAsia="zh-CN" w:bidi="ar-SA"/>
              </w:rPr>
            </w:pPr>
          </w:p>
        </w:tc>
      </w:tr>
      <w:tr w14:paraId="65A823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Align w:val="center"/>
          </w:tcPr>
          <w:p w14:paraId="54FA693B">
            <w:pPr>
              <w:wordWrap w:val="0"/>
              <w:spacing w:line="440" w:lineRule="exact"/>
              <w:jc w:val="center"/>
              <w:rPr>
                <w:rFonts w:eastAsia="宋体" w:cs="宋体"/>
                <w:color w:val="auto"/>
                <w:lang w:eastAsia="zh-CN" w:bidi="ar-SA"/>
              </w:rPr>
            </w:pPr>
          </w:p>
        </w:tc>
        <w:tc>
          <w:tcPr>
            <w:tcW w:w="1134" w:type="dxa"/>
            <w:vAlign w:val="center"/>
          </w:tcPr>
          <w:p w14:paraId="25A3E629">
            <w:pPr>
              <w:wordWrap w:val="0"/>
              <w:spacing w:line="440" w:lineRule="exact"/>
              <w:jc w:val="center"/>
              <w:rPr>
                <w:rFonts w:eastAsia="宋体" w:cs="宋体"/>
                <w:color w:val="auto"/>
                <w:lang w:eastAsia="zh-CN" w:bidi="ar-SA"/>
              </w:rPr>
            </w:pPr>
          </w:p>
        </w:tc>
        <w:tc>
          <w:tcPr>
            <w:tcW w:w="2126" w:type="dxa"/>
            <w:vAlign w:val="center"/>
          </w:tcPr>
          <w:p w14:paraId="1BC171B0">
            <w:pPr>
              <w:wordWrap w:val="0"/>
              <w:spacing w:line="440" w:lineRule="exact"/>
              <w:jc w:val="center"/>
              <w:rPr>
                <w:rFonts w:eastAsia="宋体" w:cs="宋体"/>
                <w:color w:val="auto"/>
                <w:lang w:eastAsia="zh-CN" w:bidi="ar-SA"/>
              </w:rPr>
            </w:pPr>
          </w:p>
        </w:tc>
        <w:tc>
          <w:tcPr>
            <w:tcW w:w="2410" w:type="dxa"/>
            <w:vAlign w:val="center"/>
          </w:tcPr>
          <w:p w14:paraId="673328A7">
            <w:pPr>
              <w:wordWrap w:val="0"/>
              <w:spacing w:line="440" w:lineRule="exact"/>
              <w:jc w:val="center"/>
              <w:rPr>
                <w:rFonts w:eastAsia="宋体" w:cs="宋体"/>
                <w:color w:val="auto"/>
                <w:lang w:eastAsia="zh-CN" w:bidi="ar-SA"/>
              </w:rPr>
            </w:pPr>
          </w:p>
        </w:tc>
        <w:tc>
          <w:tcPr>
            <w:tcW w:w="992" w:type="dxa"/>
            <w:vAlign w:val="center"/>
          </w:tcPr>
          <w:p w14:paraId="30AB85F4">
            <w:pPr>
              <w:wordWrap w:val="0"/>
              <w:spacing w:line="440" w:lineRule="exact"/>
              <w:jc w:val="center"/>
              <w:rPr>
                <w:rFonts w:eastAsia="宋体" w:cs="宋体"/>
                <w:color w:val="auto"/>
                <w:lang w:eastAsia="zh-CN" w:bidi="ar-SA"/>
              </w:rPr>
            </w:pPr>
          </w:p>
        </w:tc>
        <w:tc>
          <w:tcPr>
            <w:tcW w:w="1417" w:type="dxa"/>
            <w:vAlign w:val="center"/>
          </w:tcPr>
          <w:p w14:paraId="3F3EC213">
            <w:pPr>
              <w:wordWrap w:val="0"/>
              <w:spacing w:line="440" w:lineRule="exact"/>
              <w:jc w:val="center"/>
              <w:rPr>
                <w:rFonts w:eastAsia="宋体" w:cs="宋体"/>
                <w:color w:val="auto"/>
                <w:lang w:eastAsia="zh-CN" w:bidi="ar-SA"/>
              </w:rPr>
            </w:pPr>
          </w:p>
        </w:tc>
      </w:tr>
      <w:tr w14:paraId="6BBC26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Align w:val="center"/>
          </w:tcPr>
          <w:p w14:paraId="7E78F5D3">
            <w:pPr>
              <w:wordWrap w:val="0"/>
              <w:spacing w:line="440" w:lineRule="exact"/>
              <w:jc w:val="center"/>
              <w:rPr>
                <w:rFonts w:eastAsia="宋体" w:cs="宋体"/>
                <w:color w:val="auto"/>
                <w:lang w:eastAsia="zh-CN" w:bidi="ar-SA"/>
              </w:rPr>
            </w:pPr>
          </w:p>
        </w:tc>
        <w:tc>
          <w:tcPr>
            <w:tcW w:w="1134" w:type="dxa"/>
            <w:vAlign w:val="center"/>
          </w:tcPr>
          <w:p w14:paraId="017B8EDA">
            <w:pPr>
              <w:wordWrap w:val="0"/>
              <w:spacing w:line="440" w:lineRule="exact"/>
              <w:jc w:val="center"/>
              <w:rPr>
                <w:rFonts w:eastAsia="宋体" w:cs="宋体"/>
                <w:color w:val="auto"/>
                <w:lang w:eastAsia="zh-CN" w:bidi="ar-SA"/>
              </w:rPr>
            </w:pPr>
          </w:p>
        </w:tc>
        <w:tc>
          <w:tcPr>
            <w:tcW w:w="2126" w:type="dxa"/>
            <w:vAlign w:val="center"/>
          </w:tcPr>
          <w:p w14:paraId="7C23E396">
            <w:pPr>
              <w:wordWrap w:val="0"/>
              <w:spacing w:line="440" w:lineRule="exact"/>
              <w:jc w:val="center"/>
              <w:rPr>
                <w:rFonts w:eastAsia="宋体" w:cs="宋体"/>
                <w:color w:val="auto"/>
                <w:lang w:eastAsia="zh-CN" w:bidi="ar-SA"/>
              </w:rPr>
            </w:pPr>
          </w:p>
        </w:tc>
        <w:tc>
          <w:tcPr>
            <w:tcW w:w="2410" w:type="dxa"/>
            <w:vAlign w:val="center"/>
          </w:tcPr>
          <w:p w14:paraId="07DED9A6">
            <w:pPr>
              <w:wordWrap w:val="0"/>
              <w:spacing w:line="440" w:lineRule="exact"/>
              <w:jc w:val="center"/>
              <w:rPr>
                <w:rFonts w:eastAsia="宋体" w:cs="宋体"/>
                <w:color w:val="auto"/>
                <w:lang w:eastAsia="zh-CN" w:bidi="ar-SA"/>
              </w:rPr>
            </w:pPr>
          </w:p>
        </w:tc>
        <w:tc>
          <w:tcPr>
            <w:tcW w:w="992" w:type="dxa"/>
            <w:vAlign w:val="center"/>
          </w:tcPr>
          <w:p w14:paraId="0B506064">
            <w:pPr>
              <w:wordWrap w:val="0"/>
              <w:spacing w:line="440" w:lineRule="exact"/>
              <w:jc w:val="center"/>
              <w:rPr>
                <w:rFonts w:eastAsia="宋体" w:cs="宋体"/>
                <w:color w:val="auto"/>
                <w:lang w:eastAsia="zh-CN" w:bidi="ar-SA"/>
              </w:rPr>
            </w:pPr>
          </w:p>
        </w:tc>
        <w:tc>
          <w:tcPr>
            <w:tcW w:w="1417" w:type="dxa"/>
            <w:vAlign w:val="center"/>
          </w:tcPr>
          <w:p w14:paraId="258EA0D1">
            <w:pPr>
              <w:wordWrap w:val="0"/>
              <w:spacing w:line="440" w:lineRule="exact"/>
              <w:jc w:val="center"/>
              <w:rPr>
                <w:rFonts w:eastAsia="宋体" w:cs="宋体"/>
                <w:color w:val="auto"/>
                <w:lang w:eastAsia="zh-CN" w:bidi="ar-SA"/>
              </w:rPr>
            </w:pPr>
          </w:p>
        </w:tc>
      </w:tr>
      <w:tr w14:paraId="6106C9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Align w:val="center"/>
          </w:tcPr>
          <w:p w14:paraId="2C1070CC">
            <w:pPr>
              <w:wordWrap w:val="0"/>
              <w:spacing w:line="440" w:lineRule="exact"/>
              <w:jc w:val="center"/>
              <w:rPr>
                <w:rFonts w:eastAsia="宋体" w:cs="宋体"/>
                <w:color w:val="auto"/>
                <w:lang w:eastAsia="zh-CN" w:bidi="ar-SA"/>
              </w:rPr>
            </w:pPr>
          </w:p>
        </w:tc>
        <w:tc>
          <w:tcPr>
            <w:tcW w:w="1134" w:type="dxa"/>
            <w:vAlign w:val="center"/>
          </w:tcPr>
          <w:p w14:paraId="0DC418A8">
            <w:pPr>
              <w:wordWrap w:val="0"/>
              <w:spacing w:line="440" w:lineRule="exact"/>
              <w:jc w:val="center"/>
              <w:rPr>
                <w:rFonts w:eastAsia="宋体" w:cs="宋体"/>
                <w:color w:val="auto"/>
                <w:lang w:eastAsia="zh-CN" w:bidi="ar-SA"/>
              </w:rPr>
            </w:pPr>
          </w:p>
        </w:tc>
        <w:tc>
          <w:tcPr>
            <w:tcW w:w="2126" w:type="dxa"/>
            <w:vAlign w:val="center"/>
          </w:tcPr>
          <w:p w14:paraId="36F290A4">
            <w:pPr>
              <w:wordWrap w:val="0"/>
              <w:spacing w:line="440" w:lineRule="exact"/>
              <w:jc w:val="center"/>
              <w:rPr>
                <w:rFonts w:eastAsia="宋体" w:cs="宋体"/>
                <w:color w:val="auto"/>
                <w:lang w:eastAsia="zh-CN" w:bidi="ar-SA"/>
              </w:rPr>
            </w:pPr>
          </w:p>
        </w:tc>
        <w:tc>
          <w:tcPr>
            <w:tcW w:w="2410" w:type="dxa"/>
            <w:vAlign w:val="center"/>
          </w:tcPr>
          <w:p w14:paraId="12A3B27B">
            <w:pPr>
              <w:wordWrap w:val="0"/>
              <w:spacing w:line="440" w:lineRule="exact"/>
              <w:jc w:val="center"/>
              <w:rPr>
                <w:rFonts w:eastAsia="宋体" w:cs="宋体"/>
                <w:color w:val="auto"/>
                <w:lang w:eastAsia="zh-CN" w:bidi="ar-SA"/>
              </w:rPr>
            </w:pPr>
          </w:p>
        </w:tc>
        <w:tc>
          <w:tcPr>
            <w:tcW w:w="992" w:type="dxa"/>
            <w:vAlign w:val="center"/>
          </w:tcPr>
          <w:p w14:paraId="2D02D66D">
            <w:pPr>
              <w:wordWrap w:val="0"/>
              <w:spacing w:line="440" w:lineRule="exact"/>
              <w:jc w:val="center"/>
              <w:rPr>
                <w:rFonts w:eastAsia="宋体" w:cs="宋体"/>
                <w:color w:val="auto"/>
                <w:lang w:eastAsia="zh-CN" w:bidi="ar-SA"/>
              </w:rPr>
            </w:pPr>
          </w:p>
        </w:tc>
        <w:tc>
          <w:tcPr>
            <w:tcW w:w="1417" w:type="dxa"/>
            <w:vAlign w:val="center"/>
          </w:tcPr>
          <w:p w14:paraId="60E8E0D9">
            <w:pPr>
              <w:wordWrap w:val="0"/>
              <w:spacing w:line="440" w:lineRule="exact"/>
              <w:jc w:val="center"/>
              <w:rPr>
                <w:rFonts w:eastAsia="宋体" w:cs="宋体"/>
                <w:color w:val="auto"/>
                <w:lang w:eastAsia="zh-CN" w:bidi="ar-SA"/>
              </w:rPr>
            </w:pPr>
          </w:p>
        </w:tc>
      </w:tr>
      <w:tr w14:paraId="0E9972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Align w:val="center"/>
          </w:tcPr>
          <w:p w14:paraId="5C5D2C2E">
            <w:pPr>
              <w:wordWrap w:val="0"/>
              <w:spacing w:line="440" w:lineRule="exact"/>
              <w:jc w:val="center"/>
              <w:rPr>
                <w:rFonts w:eastAsia="宋体" w:cs="宋体"/>
                <w:color w:val="auto"/>
                <w:lang w:eastAsia="zh-CN" w:bidi="ar-SA"/>
              </w:rPr>
            </w:pPr>
          </w:p>
        </w:tc>
        <w:tc>
          <w:tcPr>
            <w:tcW w:w="1134" w:type="dxa"/>
            <w:vAlign w:val="center"/>
          </w:tcPr>
          <w:p w14:paraId="7D74BCB8">
            <w:pPr>
              <w:wordWrap w:val="0"/>
              <w:spacing w:line="440" w:lineRule="exact"/>
              <w:jc w:val="center"/>
              <w:rPr>
                <w:rFonts w:eastAsia="宋体" w:cs="宋体"/>
                <w:color w:val="auto"/>
                <w:lang w:eastAsia="zh-CN" w:bidi="ar-SA"/>
              </w:rPr>
            </w:pPr>
          </w:p>
        </w:tc>
        <w:tc>
          <w:tcPr>
            <w:tcW w:w="2126" w:type="dxa"/>
            <w:vAlign w:val="center"/>
          </w:tcPr>
          <w:p w14:paraId="0278E126">
            <w:pPr>
              <w:wordWrap w:val="0"/>
              <w:spacing w:line="440" w:lineRule="exact"/>
              <w:jc w:val="center"/>
              <w:rPr>
                <w:rFonts w:eastAsia="宋体" w:cs="宋体"/>
                <w:color w:val="auto"/>
                <w:lang w:eastAsia="zh-CN" w:bidi="ar-SA"/>
              </w:rPr>
            </w:pPr>
          </w:p>
        </w:tc>
        <w:tc>
          <w:tcPr>
            <w:tcW w:w="2410" w:type="dxa"/>
            <w:vAlign w:val="center"/>
          </w:tcPr>
          <w:p w14:paraId="72621D7B">
            <w:pPr>
              <w:wordWrap w:val="0"/>
              <w:spacing w:line="440" w:lineRule="exact"/>
              <w:jc w:val="center"/>
              <w:rPr>
                <w:rFonts w:eastAsia="宋体" w:cs="宋体"/>
                <w:color w:val="auto"/>
                <w:lang w:eastAsia="zh-CN" w:bidi="ar-SA"/>
              </w:rPr>
            </w:pPr>
          </w:p>
        </w:tc>
        <w:tc>
          <w:tcPr>
            <w:tcW w:w="992" w:type="dxa"/>
            <w:vAlign w:val="center"/>
          </w:tcPr>
          <w:p w14:paraId="3911FE1C">
            <w:pPr>
              <w:wordWrap w:val="0"/>
              <w:spacing w:line="440" w:lineRule="exact"/>
              <w:jc w:val="center"/>
              <w:rPr>
                <w:rFonts w:eastAsia="宋体" w:cs="宋体"/>
                <w:color w:val="auto"/>
                <w:lang w:eastAsia="zh-CN" w:bidi="ar-SA"/>
              </w:rPr>
            </w:pPr>
          </w:p>
        </w:tc>
        <w:tc>
          <w:tcPr>
            <w:tcW w:w="1417" w:type="dxa"/>
            <w:vAlign w:val="center"/>
          </w:tcPr>
          <w:p w14:paraId="024E3D7C">
            <w:pPr>
              <w:wordWrap w:val="0"/>
              <w:spacing w:line="440" w:lineRule="exact"/>
              <w:jc w:val="center"/>
              <w:rPr>
                <w:rFonts w:eastAsia="宋体" w:cs="宋体"/>
                <w:color w:val="auto"/>
                <w:lang w:eastAsia="zh-CN" w:bidi="ar-SA"/>
              </w:rPr>
            </w:pPr>
          </w:p>
        </w:tc>
      </w:tr>
      <w:tr w14:paraId="040491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Align w:val="center"/>
          </w:tcPr>
          <w:p w14:paraId="2FBED231">
            <w:pPr>
              <w:wordWrap w:val="0"/>
              <w:spacing w:line="440" w:lineRule="exact"/>
              <w:jc w:val="center"/>
              <w:rPr>
                <w:rFonts w:eastAsia="宋体" w:cs="宋体"/>
                <w:color w:val="auto"/>
                <w:lang w:eastAsia="zh-CN" w:bidi="ar-SA"/>
              </w:rPr>
            </w:pPr>
          </w:p>
        </w:tc>
        <w:tc>
          <w:tcPr>
            <w:tcW w:w="1134" w:type="dxa"/>
            <w:vAlign w:val="center"/>
          </w:tcPr>
          <w:p w14:paraId="46926D1B">
            <w:pPr>
              <w:wordWrap w:val="0"/>
              <w:spacing w:line="440" w:lineRule="exact"/>
              <w:jc w:val="center"/>
              <w:rPr>
                <w:rFonts w:eastAsia="宋体" w:cs="宋体"/>
                <w:color w:val="auto"/>
                <w:lang w:eastAsia="zh-CN" w:bidi="ar-SA"/>
              </w:rPr>
            </w:pPr>
          </w:p>
        </w:tc>
        <w:tc>
          <w:tcPr>
            <w:tcW w:w="2126" w:type="dxa"/>
            <w:vAlign w:val="center"/>
          </w:tcPr>
          <w:p w14:paraId="7A706D56">
            <w:pPr>
              <w:wordWrap w:val="0"/>
              <w:spacing w:line="440" w:lineRule="exact"/>
              <w:jc w:val="center"/>
              <w:rPr>
                <w:rFonts w:eastAsia="宋体" w:cs="宋体"/>
                <w:color w:val="auto"/>
                <w:lang w:eastAsia="zh-CN" w:bidi="ar-SA"/>
              </w:rPr>
            </w:pPr>
          </w:p>
        </w:tc>
        <w:tc>
          <w:tcPr>
            <w:tcW w:w="2410" w:type="dxa"/>
            <w:vAlign w:val="center"/>
          </w:tcPr>
          <w:p w14:paraId="461F75DA">
            <w:pPr>
              <w:wordWrap w:val="0"/>
              <w:spacing w:line="440" w:lineRule="exact"/>
              <w:jc w:val="center"/>
              <w:rPr>
                <w:rFonts w:eastAsia="宋体" w:cs="宋体"/>
                <w:color w:val="auto"/>
                <w:lang w:eastAsia="zh-CN" w:bidi="ar-SA"/>
              </w:rPr>
            </w:pPr>
          </w:p>
        </w:tc>
        <w:tc>
          <w:tcPr>
            <w:tcW w:w="992" w:type="dxa"/>
            <w:vAlign w:val="center"/>
          </w:tcPr>
          <w:p w14:paraId="3FF8FE8B">
            <w:pPr>
              <w:wordWrap w:val="0"/>
              <w:spacing w:line="440" w:lineRule="exact"/>
              <w:jc w:val="center"/>
              <w:rPr>
                <w:rFonts w:eastAsia="宋体" w:cs="宋体"/>
                <w:color w:val="auto"/>
                <w:lang w:eastAsia="zh-CN" w:bidi="ar-SA"/>
              </w:rPr>
            </w:pPr>
          </w:p>
        </w:tc>
        <w:tc>
          <w:tcPr>
            <w:tcW w:w="1417" w:type="dxa"/>
            <w:vAlign w:val="center"/>
          </w:tcPr>
          <w:p w14:paraId="4E49E5E0">
            <w:pPr>
              <w:wordWrap w:val="0"/>
              <w:spacing w:line="440" w:lineRule="exact"/>
              <w:jc w:val="center"/>
              <w:rPr>
                <w:rFonts w:eastAsia="宋体" w:cs="宋体"/>
                <w:color w:val="auto"/>
                <w:lang w:eastAsia="zh-CN" w:bidi="ar-SA"/>
              </w:rPr>
            </w:pPr>
          </w:p>
        </w:tc>
      </w:tr>
      <w:tr w14:paraId="0E92BF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Align w:val="center"/>
          </w:tcPr>
          <w:p w14:paraId="3E5D0D80">
            <w:pPr>
              <w:wordWrap w:val="0"/>
              <w:spacing w:line="440" w:lineRule="exact"/>
              <w:jc w:val="center"/>
              <w:rPr>
                <w:rFonts w:eastAsia="宋体" w:cs="宋体"/>
                <w:color w:val="auto"/>
                <w:lang w:eastAsia="zh-CN" w:bidi="ar-SA"/>
              </w:rPr>
            </w:pPr>
          </w:p>
        </w:tc>
        <w:tc>
          <w:tcPr>
            <w:tcW w:w="1134" w:type="dxa"/>
            <w:vAlign w:val="center"/>
          </w:tcPr>
          <w:p w14:paraId="12DBBA26">
            <w:pPr>
              <w:wordWrap w:val="0"/>
              <w:spacing w:line="440" w:lineRule="exact"/>
              <w:jc w:val="center"/>
              <w:rPr>
                <w:rFonts w:eastAsia="宋体" w:cs="宋体"/>
                <w:color w:val="auto"/>
                <w:lang w:eastAsia="zh-CN" w:bidi="ar-SA"/>
              </w:rPr>
            </w:pPr>
          </w:p>
        </w:tc>
        <w:tc>
          <w:tcPr>
            <w:tcW w:w="2126" w:type="dxa"/>
            <w:vAlign w:val="center"/>
          </w:tcPr>
          <w:p w14:paraId="128104B2">
            <w:pPr>
              <w:wordWrap w:val="0"/>
              <w:spacing w:line="440" w:lineRule="exact"/>
              <w:jc w:val="center"/>
              <w:rPr>
                <w:rFonts w:eastAsia="宋体" w:cs="宋体"/>
                <w:color w:val="auto"/>
                <w:lang w:eastAsia="zh-CN" w:bidi="ar-SA"/>
              </w:rPr>
            </w:pPr>
          </w:p>
        </w:tc>
        <w:tc>
          <w:tcPr>
            <w:tcW w:w="2410" w:type="dxa"/>
            <w:vAlign w:val="center"/>
          </w:tcPr>
          <w:p w14:paraId="7A9DDFAD">
            <w:pPr>
              <w:wordWrap w:val="0"/>
              <w:spacing w:line="440" w:lineRule="exact"/>
              <w:jc w:val="center"/>
              <w:rPr>
                <w:rFonts w:eastAsia="宋体" w:cs="宋体"/>
                <w:color w:val="auto"/>
                <w:lang w:eastAsia="zh-CN" w:bidi="ar-SA"/>
              </w:rPr>
            </w:pPr>
          </w:p>
        </w:tc>
        <w:tc>
          <w:tcPr>
            <w:tcW w:w="992" w:type="dxa"/>
            <w:vAlign w:val="center"/>
          </w:tcPr>
          <w:p w14:paraId="159AE6D6">
            <w:pPr>
              <w:wordWrap w:val="0"/>
              <w:spacing w:line="440" w:lineRule="exact"/>
              <w:jc w:val="center"/>
              <w:rPr>
                <w:rFonts w:eastAsia="宋体" w:cs="宋体"/>
                <w:color w:val="auto"/>
                <w:lang w:eastAsia="zh-CN" w:bidi="ar-SA"/>
              </w:rPr>
            </w:pPr>
          </w:p>
        </w:tc>
        <w:tc>
          <w:tcPr>
            <w:tcW w:w="1417" w:type="dxa"/>
            <w:vAlign w:val="center"/>
          </w:tcPr>
          <w:p w14:paraId="7296644C">
            <w:pPr>
              <w:wordWrap w:val="0"/>
              <w:spacing w:line="440" w:lineRule="exact"/>
              <w:jc w:val="center"/>
              <w:rPr>
                <w:rFonts w:eastAsia="宋体" w:cs="宋体"/>
                <w:color w:val="auto"/>
                <w:lang w:eastAsia="zh-CN" w:bidi="ar-SA"/>
              </w:rPr>
            </w:pPr>
          </w:p>
        </w:tc>
      </w:tr>
      <w:tr w14:paraId="342A84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Align w:val="center"/>
          </w:tcPr>
          <w:p w14:paraId="2ECA8B11">
            <w:pPr>
              <w:wordWrap w:val="0"/>
              <w:spacing w:line="440" w:lineRule="exact"/>
              <w:jc w:val="center"/>
              <w:rPr>
                <w:rFonts w:eastAsia="宋体" w:cs="宋体"/>
                <w:color w:val="auto"/>
                <w:lang w:eastAsia="zh-CN" w:bidi="ar-SA"/>
              </w:rPr>
            </w:pPr>
          </w:p>
        </w:tc>
        <w:tc>
          <w:tcPr>
            <w:tcW w:w="1134" w:type="dxa"/>
            <w:vAlign w:val="center"/>
          </w:tcPr>
          <w:p w14:paraId="2B45C9AB">
            <w:pPr>
              <w:wordWrap w:val="0"/>
              <w:spacing w:line="440" w:lineRule="exact"/>
              <w:jc w:val="center"/>
              <w:rPr>
                <w:rFonts w:eastAsia="宋体" w:cs="宋体"/>
                <w:color w:val="auto"/>
                <w:lang w:eastAsia="zh-CN" w:bidi="ar-SA"/>
              </w:rPr>
            </w:pPr>
          </w:p>
        </w:tc>
        <w:tc>
          <w:tcPr>
            <w:tcW w:w="2126" w:type="dxa"/>
            <w:vAlign w:val="center"/>
          </w:tcPr>
          <w:p w14:paraId="2F566B55">
            <w:pPr>
              <w:wordWrap w:val="0"/>
              <w:spacing w:line="440" w:lineRule="exact"/>
              <w:jc w:val="center"/>
              <w:rPr>
                <w:rFonts w:eastAsia="宋体" w:cs="宋体"/>
                <w:color w:val="auto"/>
                <w:lang w:eastAsia="zh-CN" w:bidi="ar-SA"/>
              </w:rPr>
            </w:pPr>
          </w:p>
        </w:tc>
        <w:tc>
          <w:tcPr>
            <w:tcW w:w="2410" w:type="dxa"/>
            <w:vAlign w:val="center"/>
          </w:tcPr>
          <w:p w14:paraId="216056ED">
            <w:pPr>
              <w:wordWrap w:val="0"/>
              <w:spacing w:line="440" w:lineRule="exact"/>
              <w:jc w:val="center"/>
              <w:rPr>
                <w:rFonts w:eastAsia="宋体" w:cs="宋体"/>
                <w:color w:val="auto"/>
                <w:lang w:eastAsia="zh-CN" w:bidi="ar-SA"/>
              </w:rPr>
            </w:pPr>
          </w:p>
        </w:tc>
        <w:tc>
          <w:tcPr>
            <w:tcW w:w="992" w:type="dxa"/>
            <w:vAlign w:val="center"/>
          </w:tcPr>
          <w:p w14:paraId="07F37AAC">
            <w:pPr>
              <w:wordWrap w:val="0"/>
              <w:spacing w:line="440" w:lineRule="exact"/>
              <w:jc w:val="center"/>
              <w:rPr>
                <w:rFonts w:eastAsia="宋体" w:cs="宋体"/>
                <w:color w:val="auto"/>
                <w:lang w:eastAsia="zh-CN" w:bidi="ar-SA"/>
              </w:rPr>
            </w:pPr>
          </w:p>
        </w:tc>
        <w:tc>
          <w:tcPr>
            <w:tcW w:w="1417" w:type="dxa"/>
            <w:vAlign w:val="center"/>
          </w:tcPr>
          <w:p w14:paraId="22B5D148">
            <w:pPr>
              <w:wordWrap w:val="0"/>
              <w:spacing w:line="440" w:lineRule="exact"/>
              <w:jc w:val="center"/>
              <w:rPr>
                <w:rFonts w:eastAsia="宋体" w:cs="宋体"/>
                <w:color w:val="auto"/>
                <w:lang w:eastAsia="zh-CN" w:bidi="ar-SA"/>
              </w:rPr>
            </w:pPr>
          </w:p>
        </w:tc>
      </w:tr>
      <w:tr w14:paraId="0907BF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Align w:val="center"/>
          </w:tcPr>
          <w:p w14:paraId="5E37AD42">
            <w:pPr>
              <w:wordWrap w:val="0"/>
              <w:spacing w:line="440" w:lineRule="exact"/>
              <w:jc w:val="center"/>
              <w:rPr>
                <w:rFonts w:eastAsia="宋体" w:cs="宋体"/>
                <w:color w:val="auto"/>
                <w:lang w:eastAsia="zh-CN" w:bidi="ar-SA"/>
              </w:rPr>
            </w:pPr>
          </w:p>
        </w:tc>
        <w:tc>
          <w:tcPr>
            <w:tcW w:w="1134" w:type="dxa"/>
            <w:vAlign w:val="center"/>
          </w:tcPr>
          <w:p w14:paraId="18FEA5CE">
            <w:pPr>
              <w:wordWrap w:val="0"/>
              <w:spacing w:line="440" w:lineRule="exact"/>
              <w:jc w:val="center"/>
              <w:rPr>
                <w:rFonts w:eastAsia="宋体" w:cs="宋体"/>
                <w:color w:val="auto"/>
                <w:lang w:eastAsia="zh-CN" w:bidi="ar-SA"/>
              </w:rPr>
            </w:pPr>
          </w:p>
        </w:tc>
        <w:tc>
          <w:tcPr>
            <w:tcW w:w="2126" w:type="dxa"/>
            <w:vAlign w:val="center"/>
          </w:tcPr>
          <w:p w14:paraId="7C2B87BB">
            <w:pPr>
              <w:wordWrap w:val="0"/>
              <w:spacing w:line="440" w:lineRule="exact"/>
              <w:jc w:val="center"/>
              <w:rPr>
                <w:rFonts w:eastAsia="宋体" w:cs="宋体"/>
                <w:color w:val="auto"/>
                <w:lang w:eastAsia="zh-CN" w:bidi="ar-SA"/>
              </w:rPr>
            </w:pPr>
          </w:p>
        </w:tc>
        <w:tc>
          <w:tcPr>
            <w:tcW w:w="2410" w:type="dxa"/>
            <w:vAlign w:val="center"/>
          </w:tcPr>
          <w:p w14:paraId="2D02FE1B">
            <w:pPr>
              <w:wordWrap w:val="0"/>
              <w:spacing w:line="440" w:lineRule="exact"/>
              <w:jc w:val="center"/>
              <w:rPr>
                <w:rFonts w:eastAsia="宋体" w:cs="宋体"/>
                <w:color w:val="auto"/>
                <w:lang w:eastAsia="zh-CN" w:bidi="ar-SA"/>
              </w:rPr>
            </w:pPr>
          </w:p>
        </w:tc>
        <w:tc>
          <w:tcPr>
            <w:tcW w:w="992" w:type="dxa"/>
            <w:vAlign w:val="center"/>
          </w:tcPr>
          <w:p w14:paraId="66DB1E4F">
            <w:pPr>
              <w:wordWrap w:val="0"/>
              <w:spacing w:line="440" w:lineRule="exact"/>
              <w:jc w:val="center"/>
              <w:rPr>
                <w:rFonts w:eastAsia="宋体" w:cs="宋体"/>
                <w:color w:val="auto"/>
                <w:lang w:eastAsia="zh-CN" w:bidi="ar-SA"/>
              </w:rPr>
            </w:pPr>
          </w:p>
        </w:tc>
        <w:tc>
          <w:tcPr>
            <w:tcW w:w="1417" w:type="dxa"/>
            <w:vAlign w:val="center"/>
          </w:tcPr>
          <w:p w14:paraId="7F26A7FE">
            <w:pPr>
              <w:wordWrap w:val="0"/>
              <w:spacing w:line="440" w:lineRule="exact"/>
              <w:jc w:val="center"/>
              <w:rPr>
                <w:rFonts w:eastAsia="宋体" w:cs="宋体"/>
                <w:color w:val="auto"/>
                <w:lang w:eastAsia="zh-CN" w:bidi="ar-SA"/>
              </w:rPr>
            </w:pPr>
          </w:p>
        </w:tc>
      </w:tr>
      <w:tr w14:paraId="27EFC8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Align w:val="center"/>
          </w:tcPr>
          <w:p w14:paraId="095101D4">
            <w:pPr>
              <w:wordWrap w:val="0"/>
              <w:spacing w:line="440" w:lineRule="exact"/>
              <w:jc w:val="center"/>
              <w:rPr>
                <w:rFonts w:eastAsia="宋体" w:cs="宋体"/>
                <w:color w:val="auto"/>
                <w:lang w:eastAsia="zh-CN" w:bidi="ar-SA"/>
              </w:rPr>
            </w:pPr>
          </w:p>
        </w:tc>
        <w:tc>
          <w:tcPr>
            <w:tcW w:w="1134" w:type="dxa"/>
            <w:vAlign w:val="center"/>
          </w:tcPr>
          <w:p w14:paraId="03BFDB6A">
            <w:pPr>
              <w:wordWrap w:val="0"/>
              <w:spacing w:line="440" w:lineRule="exact"/>
              <w:jc w:val="center"/>
              <w:rPr>
                <w:rFonts w:eastAsia="宋体" w:cs="宋体"/>
                <w:color w:val="auto"/>
                <w:lang w:eastAsia="zh-CN" w:bidi="ar-SA"/>
              </w:rPr>
            </w:pPr>
          </w:p>
        </w:tc>
        <w:tc>
          <w:tcPr>
            <w:tcW w:w="2126" w:type="dxa"/>
            <w:vAlign w:val="center"/>
          </w:tcPr>
          <w:p w14:paraId="72512A3A">
            <w:pPr>
              <w:wordWrap w:val="0"/>
              <w:spacing w:line="440" w:lineRule="exact"/>
              <w:jc w:val="center"/>
              <w:rPr>
                <w:rFonts w:eastAsia="宋体" w:cs="宋体"/>
                <w:color w:val="auto"/>
                <w:lang w:eastAsia="zh-CN" w:bidi="ar-SA"/>
              </w:rPr>
            </w:pPr>
          </w:p>
        </w:tc>
        <w:tc>
          <w:tcPr>
            <w:tcW w:w="2410" w:type="dxa"/>
            <w:vAlign w:val="center"/>
          </w:tcPr>
          <w:p w14:paraId="2ECDE02B">
            <w:pPr>
              <w:wordWrap w:val="0"/>
              <w:spacing w:line="440" w:lineRule="exact"/>
              <w:jc w:val="center"/>
              <w:rPr>
                <w:rFonts w:eastAsia="宋体" w:cs="宋体"/>
                <w:color w:val="auto"/>
                <w:lang w:eastAsia="zh-CN" w:bidi="ar-SA"/>
              </w:rPr>
            </w:pPr>
          </w:p>
        </w:tc>
        <w:tc>
          <w:tcPr>
            <w:tcW w:w="992" w:type="dxa"/>
            <w:vAlign w:val="center"/>
          </w:tcPr>
          <w:p w14:paraId="2B1D9715">
            <w:pPr>
              <w:wordWrap w:val="0"/>
              <w:spacing w:line="440" w:lineRule="exact"/>
              <w:jc w:val="center"/>
              <w:rPr>
                <w:rFonts w:eastAsia="宋体" w:cs="宋体"/>
                <w:color w:val="auto"/>
                <w:lang w:eastAsia="zh-CN" w:bidi="ar-SA"/>
              </w:rPr>
            </w:pPr>
          </w:p>
        </w:tc>
        <w:tc>
          <w:tcPr>
            <w:tcW w:w="1417" w:type="dxa"/>
            <w:vAlign w:val="center"/>
          </w:tcPr>
          <w:p w14:paraId="2939C2B8">
            <w:pPr>
              <w:wordWrap w:val="0"/>
              <w:spacing w:line="440" w:lineRule="exact"/>
              <w:jc w:val="center"/>
              <w:rPr>
                <w:rFonts w:eastAsia="宋体" w:cs="宋体"/>
                <w:color w:val="auto"/>
                <w:lang w:eastAsia="zh-CN" w:bidi="ar-SA"/>
              </w:rPr>
            </w:pPr>
          </w:p>
        </w:tc>
      </w:tr>
      <w:tr w14:paraId="030A7C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Align w:val="center"/>
          </w:tcPr>
          <w:p w14:paraId="34E28DC1">
            <w:pPr>
              <w:wordWrap w:val="0"/>
              <w:spacing w:line="440" w:lineRule="exact"/>
              <w:jc w:val="center"/>
              <w:rPr>
                <w:rFonts w:eastAsia="宋体" w:cs="宋体"/>
                <w:color w:val="auto"/>
                <w:lang w:eastAsia="zh-CN" w:bidi="ar-SA"/>
              </w:rPr>
            </w:pPr>
          </w:p>
        </w:tc>
        <w:tc>
          <w:tcPr>
            <w:tcW w:w="1134" w:type="dxa"/>
            <w:vAlign w:val="center"/>
          </w:tcPr>
          <w:p w14:paraId="7264EFAA">
            <w:pPr>
              <w:wordWrap w:val="0"/>
              <w:spacing w:line="440" w:lineRule="exact"/>
              <w:jc w:val="center"/>
              <w:rPr>
                <w:rFonts w:eastAsia="宋体" w:cs="宋体"/>
                <w:color w:val="auto"/>
                <w:lang w:eastAsia="zh-CN" w:bidi="ar-SA"/>
              </w:rPr>
            </w:pPr>
          </w:p>
        </w:tc>
        <w:tc>
          <w:tcPr>
            <w:tcW w:w="2126" w:type="dxa"/>
            <w:vAlign w:val="center"/>
          </w:tcPr>
          <w:p w14:paraId="254B42B2">
            <w:pPr>
              <w:wordWrap w:val="0"/>
              <w:spacing w:line="440" w:lineRule="exact"/>
              <w:jc w:val="center"/>
              <w:rPr>
                <w:rFonts w:eastAsia="宋体" w:cs="宋体"/>
                <w:color w:val="auto"/>
                <w:lang w:eastAsia="zh-CN" w:bidi="ar-SA"/>
              </w:rPr>
            </w:pPr>
          </w:p>
        </w:tc>
        <w:tc>
          <w:tcPr>
            <w:tcW w:w="2410" w:type="dxa"/>
            <w:vAlign w:val="center"/>
          </w:tcPr>
          <w:p w14:paraId="534A7CE8">
            <w:pPr>
              <w:wordWrap w:val="0"/>
              <w:spacing w:line="440" w:lineRule="exact"/>
              <w:jc w:val="center"/>
              <w:rPr>
                <w:rFonts w:eastAsia="宋体" w:cs="宋体"/>
                <w:color w:val="auto"/>
                <w:lang w:eastAsia="zh-CN" w:bidi="ar-SA"/>
              </w:rPr>
            </w:pPr>
          </w:p>
        </w:tc>
        <w:tc>
          <w:tcPr>
            <w:tcW w:w="992" w:type="dxa"/>
            <w:vAlign w:val="center"/>
          </w:tcPr>
          <w:p w14:paraId="6BA6ACBE">
            <w:pPr>
              <w:wordWrap w:val="0"/>
              <w:spacing w:line="440" w:lineRule="exact"/>
              <w:jc w:val="center"/>
              <w:rPr>
                <w:rFonts w:eastAsia="宋体" w:cs="宋体"/>
                <w:color w:val="auto"/>
                <w:lang w:eastAsia="zh-CN" w:bidi="ar-SA"/>
              </w:rPr>
            </w:pPr>
          </w:p>
        </w:tc>
        <w:tc>
          <w:tcPr>
            <w:tcW w:w="1417" w:type="dxa"/>
            <w:vAlign w:val="center"/>
          </w:tcPr>
          <w:p w14:paraId="743DD468">
            <w:pPr>
              <w:wordWrap w:val="0"/>
              <w:spacing w:line="440" w:lineRule="exact"/>
              <w:jc w:val="center"/>
              <w:rPr>
                <w:rFonts w:eastAsia="宋体" w:cs="宋体"/>
                <w:color w:val="auto"/>
                <w:lang w:eastAsia="zh-CN" w:bidi="ar-SA"/>
              </w:rPr>
            </w:pPr>
          </w:p>
        </w:tc>
      </w:tr>
      <w:tr w14:paraId="212A75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Align w:val="center"/>
          </w:tcPr>
          <w:p w14:paraId="44559D40">
            <w:pPr>
              <w:wordWrap w:val="0"/>
              <w:spacing w:line="440" w:lineRule="exact"/>
              <w:jc w:val="center"/>
              <w:rPr>
                <w:rFonts w:eastAsia="宋体" w:cs="宋体"/>
                <w:color w:val="auto"/>
                <w:lang w:eastAsia="zh-CN" w:bidi="ar-SA"/>
              </w:rPr>
            </w:pPr>
          </w:p>
        </w:tc>
        <w:tc>
          <w:tcPr>
            <w:tcW w:w="1134" w:type="dxa"/>
            <w:vAlign w:val="center"/>
          </w:tcPr>
          <w:p w14:paraId="237E66B0">
            <w:pPr>
              <w:wordWrap w:val="0"/>
              <w:spacing w:line="440" w:lineRule="exact"/>
              <w:jc w:val="center"/>
              <w:rPr>
                <w:rFonts w:eastAsia="宋体" w:cs="宋体"/>
                <w:color w:val="auto"/>
                <w:lang w:eastAsia="zh-CN" w:bidi="ar-SA"/>
              </w:rPr>
            </w:pPr>
          </w:p>
        </w:tc>
        <w:tc>
          <w:tcPr>
            <w:tcW w:w="2126" w:type="dxa"/>
            <w:vAlign w:val="center"/>
          </w:tcPr>
          <w:p w14:paraId="43362E87">
            <w:pPr>
              <w:wordWrap w:val="0"/>
              <w:spacing w:line="440" w:lineRule="exact"/>
              <w:jc w:val="center"/>
              <w:rPr>
                <w:rFonts w:eastAsia="宋体" w:cs="宋体"/>
                <w:color w:val="auto"/>
                <w:lang w:eastAsia="zh-CN" w:bidi="ar-SA"/>
              </w:rPr>
            </w:pPr>
          </w:p>
        </w:tc>
        <w:tc>
          <w:tcPr>
            <w:tcW w:w="2410" w:type="dxa"/>
            <w:vAlign w:val="center"/>
          </w:tcPr>
          <w:p w14:paraId="10A3BA8D">
            <w:pPr>
              <w:wordWrap w:val="0"/>
              <w:spacing w:line="440" w:lineRule="exact"/>
              <w:jc w:val="center"/>
              <w:rPr>
                <w:rFonts w:eastAsia="宋体" w:cs="宋体"/>
                <w:color w:val="auto"/>
                <w:lang w:eastAsia="zh-CN" w:bidi="ar-SA"/>
              </w:rPr>
            </w:pPr>
          </w:p>
        </w:tc>
        <w:tc>
          <w:tcPr>
            <w:tcW w:w="992" w:type="dxa"/>
            <w:vAlign w:val="center"/>
          </w:tcPr>
          <w:p w14:paraId="74386DF7">
            <w:pPr>
              <w:wordWrap w:val="0"/>
              <w:spacing w:line="440" w:lineRule="exact"/>
              <w:jc w:val="center"/>
              <w:rPr>
                <w:rFonts w:eastAsia="宋体" w:cs="宋体"/>
                <w:color w:val="auto"/>
                <w:lang w:eastAsia="zh-CN" w:bidi="ar-SA"/>
              </w:rPr>
            </w:pPr>
          </w:p>
        </w:tc>
        <w:tc>
          <w:tcPr>
            <w:tcW w:w="1417" w:type="dxa"/>
            <w:vAlign w:val="center"/>
          </w:tcPr>
          <w:p w14:paraId="33DF8628">
            <w:pPr>
              <w:wordWrap w:val="0"/>
              <w:spacing w:line="440" w:lineRule="exact"/>
              <w:jc w:val="center"/>
              <w:rPr>
                <w:rFonts w:eastAsia="宋体" w:cs="宋体"/>
                <w:color w:val="auto"/>
                <w:lang w:eastAsia="zh-CN" w:bidi="ar-SA"/>
              </w:rPr>
            </w:pPr>
          </w:p>
        </w:tc>
      </w:tr>
    </w:tbl>
    <w:p w14:paraId="74F958A2">
      <w:pPr>
        <w:wordWrap w:val="0"/>
        <w:spacing w:line="440" w:lineRule="exact"/>
        <w:jc w:val="right"/>
        <w:rPr>
          <w:rFonts w:eastAsia="宋体" w:cs="宋体"/>
          <w:color w:val="auto"/>
          <w:lang w:eastAsia="zh-CN" w:bidi="ar-SA"/>
        </w:rPr>
      </w:pPr>
    </w:p>
    <w:p w14:paraId="1CCA3085">
      <w:pPr>
        <w:wordWrap w:val="0"/>
        <w:spacing w:line="620" w:lineRule="exact"/>
        <w:jc w:val="both"/>
        <w:rPr>
          <w:rFonts w:eastAsia="宋体" w:cs="宋体"/>
          <w:color w:val="auto"/>
          <w:szCs w:val="21"/>
          <w:u w:val="single"/>
          <w:lang w:eastAsia="zh-CN" w:bidi="ar-SA"/>
        </w:rPr>
      </w:pPr>
      <w:r>
        <w:rPr>
          <w:rFonts w:eastAsia="宋体" w:cs="宋体"/>
          <w:color w:val="auto"/>
          <w:szCs w:val="21"/>
          <w:lang w:eastAsia="zh-CN" w:bidi="ar-SA"/>
        </w:rPr>
        <w:t>招标人</w:t>
      </w:r>
      <w:r>
        <w:rPr>
          <w:rFonts w:hint="eastAsia" w:eastAsia="宋体" w:cs="宋体"/>
          <w:color w:val="auto"/>
          <w:szCs w:val="21"/>
          <w:lang w:eastAsia="zh-CN" w:bidi="ar-SA"/>
        </w:rPr>
        <w:t>代表</w:t>
      </w:r>
      <w:r>
        <w:rPr>
          <w:rFonts w:eastAsia="宋体" w:cs="宋体"/>
          <w:color w:val="auto"/>
          <w:szCs w:val="21"/>
          <w:lang w:eastAsia="zh-CN" w:bidi="ar-SA"/>
        </w:rPr>
        <w:t>：</w:t>
      </w:r>
      <w:r>
        <w:rPr>
          <w:rFonts w:eastAsia="宋体" w:cs="宋体"/>
          <w:color w:val="auto"/>
          <w:szCs w:val="21"/>
          <w:u w:val="single"/>
          <w:lang w:eastAsia="zh-CN" w:bidi="ar-SA"/>
        </w:rPr>
        <w:t xml:space="preserve">       </w:t>
      </w:r>
      <w:r>
        <w:rPr>
          <w:rFonts w:hint="eastAsia" w:eastAsia="宋体" w:cs="宋体"/>
          <w:color w:val="auto"/>
          <w:szCs w:val="21"/>
          <w:u w:val="single"/>
          <w:lang w:eastAsia="zh-CN" w:bidi="ar-SA"/>
        </w:rPr>
        <w:t xml:space="preserve">     </w:t>
      </w:r>
      <w:r>
        <w:rPr>
          <w:rFonts w:hint="eastAsia" w:eastAsia="宋体" w:cs="宋体"/>
          <w:color w:val="auto"/>
          <w:szCs w:val="21"/>
          <w:lang w:eastAsia="zh-CN" w:bidi="ar-SA"/>
        </w:rPr>
        <w:t xml:space="preserve">     </w:t>
      </w:r>
      <w:r>
        <w:rPr>
          <w:rFonts w:eastAsia="宋体" w:cs="宋体"/>
          <w:color w:val="auto"/>
          <w:szCs w:val="21"/>
          <w:lang w:eastAsia="zh-CN" w:bidi="ar-SA"/>
        </w:rPr>
        <w:t>记录人：</w:t>
      </w:r>
      <w:r>
        <w:rPr>
          <w:rFonts w:eastAsia="宋体" w:cs="宋体"/>
          <w:color w:val="auto"/>
          <w:szCs w:val="21"/>
          <w:u w:val="single"/>
          <w:lang w:eastAsia="zh-CN" w:bidi="ar-SA"/>
        </w:rPr>
        <w:t xml:space="preserve">    </w:t>
      </w:r>
      <w:r>
        <w:rPr>
          <w:rFonts w:hint="eastAsia" w:eastAsia="宋体" w:cs="宋体"/>
          <w:color w:val="auto"/>
          <w:szCs w:val="21"/>
          <w:u w:val="single"/>
          <w:lang w:eastAsia="zh-CN" w:bidi="ar-SA"/>
        </w:rPr>
        <w:t xml:space="preserve">       </w:t>
      </w:r>
      <w:r>
        <w:rPr>
          <w:rFonts w:eastAsia="宋体" w:cs="宋体"/>
          <w:color w:val="auto"/>
          <w:szCs w:val="21"/>
          <w:u w:val="single"/>
          <w:lang w:eastAsia="zh-CN" w:bidi="ar-SA"/>
        </w:rPr>
        <w:t xml:space="preserve">     </w:t>
      </w:r>
      <w:r>
        <w:rPr>
          <w:rFonts w:hint="eastAsia" w:eastAsia="宋体" w:cs="宋体"/>
          <w:color w:val="auto"/>
          <w:szCs w:val="21"/>
          <w:lang w:eastAsia="zh-CN" w:bidi="ar-SA"/>
        </w:rPr>
        <w:t xml:space="preserve">     </w:t>
      </w:r>
      <w:r>
        <w:rPr>
          <w:rFonts w:eastAsia="宋体" w:cs="宋体"/>
          <w:color w:val="auto"/>
          <w:szCs w:val="21"/>
          <w:lang w:eastAsia="zh-CN" w:bidi="ar-SA"/>
        </w:rPr>
        <w:t>监标人：</w:t>
      </w:r>
      <w:r>
        <w:rPr>
          <w:rFonts w:eastAsia="宋体" w:cs="宋体"/>
          <w:color w:val="auto"/>
          <w:szCs w:val="21"/>
          <w:u w:val="single"/>
          <w:lang w:eastAsia="zh-CN" w:bidi="ar-SA"/>
        </w:rPr>
        <w:t xml:space="preserve">               </w:t>
      </w:r>
      <w:r>
        <w:rPr>
          <w:rFonts w:eastAsia="宋体" w:cs="宋体"/>
          <w:color w:val="auto"/>
          <w:szCs w:val="21"/>
          <w:lang w:eastAsia="zh-CN" w:bidi="ar-SA"/>
        </w:rPr>
        <w:t xml:space="preserve"> </w:t>
      </w:r>
      <w:r>
        <w:rPr>
          <w:rFonts w:hint="eastAsia" w:eastAsia="宋体" w:cs="宋体"/>
          <w:color w:val="auto"/>
          <w:szCs w:val="21"/>
          <w:lang w:eastAsia="zh-CN" w:bidi="ar-SA"/>
        </w:rPr>
        <w:t xml:space="preserve">      公证员：</w:t>
      </w:r>
      <w:r>
        <w:rPr>
          <w:rFonts w:eastAsia="宋体" w:cs="宋体"/>
          <w:color w:val="auto"/>
          <w:szCs w:val="21"/>
          <w:u w:val="single"/>
          <w:lang w:eastAsia="zh-CN" w:bidi="ar-SA"/>
        </w:rPr>
        <w:t xml:space="preserve">   </w:t>
      </w:r>
      <w:r>
        <w:rPr>
          <w:rFonts w:hint="eastAsia" w:eastAsia="宋体" w:cs="宋体"/>
          <w:color w:val="auto"/>
          <w:szCs w:val="21"/>
          <w:u w:val="single"/>
          <w:lang w:eastAsia="zh-CN" w:bidi="ar-SA"/>
        </w:rPr>
        <w:t xml:space="preserve">         </w:t>
      </w:r>
      <w:r>
        <w:rPr>
          <w:rFonts w:eastAsia="宋体" w:cs="宋体"/>
          <w:color w:val="auto"/>
          <w:szCs w:val="21"/>
          <w:u w:val="single"/>
          <w:lang w:eastAsia="zh-CN" w:bidi="ar-SA"/>
        </w:rPr>
        <w:t xml:space="preserve"> </w:t>
      </w:r>
      <w:r>
        <w:rPr>
          <w:rFonts w:eastAsia="宋体" w:cs="宋体"/>
          <w:b/>
          <w:color w:val="auto"/>
          <w:u w:val="single"/>
          <w:lang w:eastAsia="zh-CN" w:bidi="ar-SA"/>
        </w:rPr>
        <w:t xml:space="preserve"> </w:t>
      </w:r>
    </w:p>
    <w:p w14:paraId="13B426ED">
      <w:pPr>
        <w:wordWrap w:val="0"/>
        <w:spacing w:line="620" w:lineRule="exact"/>
        <w:jc w:val="right"/>
        <w:rPr>
          <w:rFonts w:eastAsia="宋体" w:cs="宋体"/>
          <w:color w:val="auto"/>
          <w:szCs w:val="21"/>
          <w:u w:val="single"/>
          <w:lang w:eastAsia="zh-CN" w:bidi="ar-SA"/>
        </w:rPr>
      </w:pPr>
    </w:p>
    <w:p w14:paraId="6AD72002">
      <w:pPr>
        <w:spacing w:line="620" w:lineRule="exact"/>
        <w:jc w:val="right"/>
        <w:rPr>
          <w:rFonts w:eastAsia="宋体" w:cs="宋体"/>
          <w:color w:val="auto"/>
          <w:szCs w:val="21"/>
          <w:lang w:eastAsia="zh-CN" w:bidi="ar-SA"/>
        </w:rPr>
        <w:sectPr>
          <w:footnotePr>
            <w:numFmt w:val="decimalEnclosedCircleChinese"/>
            <w:numRestart w:val="eachPage"/>
          </w:footnotePr>
          <w:pgSz w:w="11906" w:h="16838"/>
          <w:pgMar w:top="1418" w:right="1588" w:bottom="1418" w:left="1588" w:header="680" w:footer="992" w:gutter="0"/>
          <w:cols w:space="720" w:num="1"/>
          <w:docGrid w:linePitch="326" w:charSpace="0"/>
        </w:sectPr>
      </w:pPr>
      <w:r>
        <w:rPr>
          <w:rFonts w:eastAsia="宋体" w:cs="宋体"/>
          <w:color w:val="auto"/>
          <w:szCs w:val="21"/>
          <w:u w:val="single"/>
          <w:lang w:eastAsia="zh-CN" w:bidi="ar-SA"/>
        </w:rPr>
        <w:t xml:space="preserve">          </w:t>
      </w:r>
      <w:r>
        <w:rPr>
          <w:rFonts w:eastAsia="宋体" w:cs="宋体"/>
          <w:color w:val="auto"/>
          <w:szCs w:val="21"/>
          <w:lang w:eastAsia="zh-CN" w:bidi="ar-SA"/>
        </w:rPr>
        <w:t xml:space="preserve">年 </w:t>
      </w:r>
      <w:r>
        <w:rPr>
          <w:rFonts w:eastAsia="宋体" w:cs="宋体"/>
          <w:color w:val="auto"/>
          <w:szCs w:val="21"/>
          <w:u w:val="single"/>
          <w:lang w:eastAsia="zh-CN" w:bidi="ar-SA"/>
        </w:rPr>
        <w:t xml:space="preserve">      </w:t>
      </w:r>
      <w:r>
        <w:rPr>
          <w:rFonts w:eastAsia="宋体" w:cs="宋体"/>
          <w:color w:val="auto"/>
          <w:szCs w:val="21"/>
          <w:lang w:eastAsia="zh-CN" w:bidi="ar-SA"/>
        </w:rPr>
        <w:t xml:space="preserve"> 月</w:t>
      </w:r>
      <w:r>
        <w:rPr>
          <w:rFonts w:eastAsia="宋体" w:cs="宋体"/>
          <w:color w:val="auto"/>
          <w:szCs w:val="21"/>
          <w:u w:val="single"/>
          <w:lang w:eastAsia="zh-CN" w:bidi="ar-SA"/>
        </w:rPr>
        <w:t xml:space="preserve">         </w:t>
      </w:r>
      <w:r>
        <w:rPr>
          <w:rFonts w:eastAsia="宋体" w:cs="宋体"/>
          <w:color w:val="auto"/>
          <w:szCs w:val="21"/>
          <w:lang w:eastAsia="zh-CN" w:bidi="ar-SA"/>
        </w:rPr>
        <w:t>日</w:t>
      </w:r>
    </w:p>
    <w:p w14:paraId="765F096D">
      <w:pPr>
        <w:wordWrap w:val="0"/>
        <w:spacing w:line="440" w:lineRule="exact"/>
        <w:jc w:val="center"/>
        <w:rPr>
          <w:rFonts w:eastAsia="黑体" w:cs="宋体"/>
          <w:color w:val="auto"/>
          <w:sz w:val="28"/>
          <w:szCs w:val="28"/>
          <w:lang w:eastAsia="zh-CN" w:bidi="ar-SA"/>
        </w:rPr>
      </w:pPr>
      <w:r>
        <w:rPr>
          <w:rFonts w:hint="eastAsia" w:eastAsia="黑体" w:cs="宋体"/>
          <w:color w:val="auto"/>
          <w:sz w:val="28"/>
          <w:szCs w:val="28"/>
          <w:lang w:eastAsia="zh-CN" w:bidi="ar-SA"/>
        </w:rPr>
        <w:t>新余市港口水运基础设施建设项目-袁河航道提升工程新余段库区工程第二标段监理招标</w:t>
      </w:r>
    </w:p>
    <w:p w14:paraId="36F985BF">
      <w:pPr>
        <w:wordWrap w:val="0"/>
        <w:spacing w:line="440" w:lineRule="exact"/>
        <w:jc w:val="center"/>
        <w:rPr>
          <w:rFonts w:eastAsia="黑体" w:cs="宋体"/>
          <w:color w:val="auto"/>
          <w:sz w:val="28"/>
          <w:szCs w:val="28"/>
          <w:lang w:eastAsia="zh-CN" w:bidi="ar-SA"/>
        </w:rPr>
      </w:pPr>
      <w:r>
        <w:rPr>
          <w:rFonts w:eastAsia="黑体" w:cs="宋体"/>
          <w:color w:val="auto"/>
          <w:sz w:val="28"/>
          <w:szCs w:val="28"/>
          <w:u w:val="single"/>
          <w:lang w:eastAsia="zh-CN" w:bidi="ar-SA"/>
        </w:rPr>
        <w:t xml:space="preserve">        </w:t>
      </w:r>
      <w:r>
        <w:rPr>
          <w:rFonts w:hint="eastAsia" w:eastAsia="黑体" w:cs="宋体"/>
          <w:color w:val="auto"/>
          <w:sz w:val="28"/>
          <w:szCs w:val="28"/>
          <w:lang w:eastAsia="zh-CN" w:bidi="ar-SA"/>
        </w:rPr>
        <w:t>标段第二个</w:t>
      </w:r>
      <w:r>
        <w:rPr>
          <w:rFonts w:eastAsia="黑体" w:cs="宋体"/>
          <w:color w:val="auto"/>
          <w:sz w:val="28"/>
          <w:szCs w:val="28"/>
          <w:lang w:eastAsia="zh-CN" w:bidi="ar-SA"/>
        </w:rPr>
        <w:t>信封（</w:t>
      </w:r>
      <w:r>
        <w:rPr>
          <w:rFonts w:hint="eastAsia" w:eastAsia="黑体" w:cs="宋体"/>
          <w:color w:val="auto"/>
          <w:sz w:val="28"/>
          <w:szCs w:val="28"/>
          <w:lang w:eastAsia="zh-CN" w:bidi="ar-SA"/>
        </w:rPr>
        <w:t>报价文件</w:t>
      </w:r>
      <w:r>
        <w:rPr>
          <w:rFonts w:eastAsia="黑体" w:cs="宋体"/>
          <w:color w:val="auto"/>
          <w:sz w:val="28"/>
          <w:szCs w:val="28"/>
          <w:lang w:eastAsia="zh-CN" w:bidi="ar-SA"/>
        </w:rPr>
        <w:t>）开标记录表</w:t>
      </w:r>
    </w:p>
    <w:p w14:paraId="1D8CCC07">
      <w:pPr>
        <w:wordWrap w:val="0"/>
        <w:spacing w:line="440" w:lineRule="exact"/>
        <w:jc w:val="right"/>
        <w:rPr>
          <w:rFonts w:eastAsia="宋体" w:cs="宋体"/>
          <w:color w:val="auto"/>
          <w:lang w:eastAsia="zh-CN" w:bidi="ar-SA"/>
        </w:rPr>
      </w:pPr>
      <w:r>
        <w:rPr>
          <w:rFonts w:eastAsia="宋体" w:cs="宋体"/>
          <w:color w:val="auto"/>
          <w:lang w:eastAsia="zh-CN" w:bidi="ar-SA"/>
        </w:rPr>
        <w:t>开标时间：</w:t>
      </w:r>
      <w:r>
        <w:rPr>
          <w:rFonts w:eastAsia="宋体" w:cs="宋体"/>
          <w:color w:val="auto"/>
          <w:u w:val="single"/>
          <w:lang w:eastAsia="zh-CN" w:bidi="ar-SA"/>
        </w:rPr>
        <w:t xml:space="preserve">   </w:t>
      </w:r>
      <w:r>
        <w:rPr>
          <w:rFonts w:eastAsia="宋体" w:cs="宋体"/>
          <w:color w:val="auto"/>
          <w:lang w:eastAsia="zh-CN" w:bidi="ar-SA"/>
        </w:rPr>
        <w:t>年</w:t>
      </w:r>
      <w:r>
        <w:rPr>
          <w:rFonts w:eastAsia="宋体" w:cs="宋体"/>
          <w:color w:val="auto"/>
          <w:u w:val="single"/>
          <w:lang w:eastAsia="zh-CN" w:bidi="ar-SA"/>
        </w:rPr>
        <w:t xml:space="preserve">   </w:t>
      </w:r>
      <w:r>
        <w:rPr>
          <w:rFonts w:eastAsia="宋体" w:cs="宋体"/>
          <w:color w:val="auto"/>
          <w:lang w:eastAsia="zh-CN" w:bidi="ar-SA"/>
        </w:rPr>
        <w:t xml:space="preserve"> 月</w:t>
      </w:r>
      <w:r>
        <w:rPr>
          <w:rFonts w:eastAsia="宋体" w:cs="宋体"/>
          <w:color w:val="auto"/>
          <w:u w:val="single"/>
          <w:lang w:eastAsia="zh-CN" w:bidi="ar-SA"/>
        </w:rPr>
        <w:t xml:space="preserve">   </w:t>
      </w:r>
      <w:r>
        <w:rPr>
          <w:rFonts w:eastAsia="宋体" w:cs="宋体"/>
          <w:color w:val="auto"/>
          <w:lang w:eastAsia="zh-CN" w:bidi="ar-SA"/>
        </w:rPr>
        <w:t xml:space="preserve"> 日</w:t>
      </w:r>
      <w:r>
        <w:rPr>
          <w:rFonts w:eastAsia="宋体" w:cs="宋体"/>
          <w:color w:val="auto"/>
          <w:u w:val="single"/>
          <w:lang w:eastAsia="zh-CN" w:bidi="ar-SA"/>
        </w:rPr>
        <w:t xml:space="preserve">   </w:t>
      </w:r>
      <w:r>
        <w:rPr>
          <w:rFonts w:eastAsia="宋体" w:cs="宋体"/>
          <w:color w:val="auto"/>
          <w:lang w:eastAsia="zh-CN" w:bidi="ar-SA"/>
        </w:rPr>
        <w:t xml:space="preserve"> 时</w:t>
      </w:r>
      <w:r>
        <w:rPr>
          <w:rFonts w:eastAsia="宋体" w:cs="宋体"/>
          <w:color w:val="auto"/>
          <w:u w:val="single"/>
          <w:lang w:eastAsia="zh-CN" w:bidi="ar-SA"/>
        </w:rPr>
        <w:t xml:space="preserve">   </w:t>
      </w:r>
      <w:r>
        <w:rPr>
          <w:rFonts w:eastAsia="宋体" w:cs="宋体"/>
          <w:color w:val="auto"/>
          <w:lang w:eastAsia="zh-CN" w:bidi="ar-SA"/>
        </w:rPr>
        <w:t xml:space="preserve"> 分</w:t>
      </w:r>
    </w:p>
    <w:tbl>
      <w:tblPr>
        <w:tblStyle w:val="47"/>
        <w:tblW w:w="9094"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17"/>
        <w:gridCol w:w="1276"/>
        <w:gridCol w:w="1276"/>
        <w:gridCol w:w="1701"/>
        <w:gridCol w:w="1559"/>
        <w:gridCol w:w="992"/>
        <w:gridCol w:w="1473"/>
      </w:tblGrid>
      <w:tr w14:paraId="6B166E0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817" w:type="dxa"/>
            <w:tcBorders>
              <w:top w:val="single" w:color="auto" w:sz="4" w:space="0"/>
              <w:left w:val="single" w:color="auto" w:sz="4" w:space="0"/>
              <w:bottom w:val="single" w:color="auto" w:sz="4" w:space="0"/>
              <w:right w:val="single" w:color="auto" w:sz="4" w:space="0"/>
            </w:tcBorders>
            <w:vAlign w:val="center"/>
          </w:tcPr>
          <w:p w14:paraId="3D7BE1A4">
            <w:pPr>
              <w:wordWrap w:val="0"/>
              <w:spacing w:line="500" w:lineRule="exact"/>
              <w:jc w:val="center"/>
              <w:rPr>
                <w:rFonts w:eastAsia="宋体" w:cs="宋体"/>
                <w:color w:val="auto"/>
                <w:szCs w:val="21"/>
                <w:lang w:eastAsia="zh-CN" w:bidi="ar-SA"/>
              </w:rPr>
            </w:pPr>
            <w:r>
              <w:rPr>
                <w:rFonts w:eastAsia="宋体" w:cs="宋体"/>
                <w:color w:val="auto"/>
                <w:szCs w:val="21"/>
                <w:lang w:eastAsia="zh-CN" w:bidi="ar-SA"/>
              </w:rPr>
              <w:t>序号</w:t>
            </w:r>
          </w:p>
        </w:tc>
        <w:tc>
          <w:tcPr>
            <w:tcW w:w="1276" w:type="dxa"/>
            <w:tcBorders>
              <w:top w:val="single" w:color="auto" w:sz="4" w:space="0"/>
              <w:left w:val="single" w:color="auto" w:sz="4" w:space="0"/>
              <w:bottom w:val="single" w:color="auto" w:sz="4" w:space="0"/>
              <w:right w:val="single" w:color="auto" w:sz="4" w:space="0"/>
            </w:tcBorders>
            <w:vAlign w:val="center"/>
          </w:tcPr>
          <w:p w14:paraId="548C13CA">
            <w:pPr>
              <w:wordWrap w:val="0"/>
              <w:spacing w:line="500" w:lineRule="exact"/>
              <w:jc w:val="center"/>
              <w:rPr>
                <w:rFonts w:eastAsia="宋体" w:cs="宋体"/>
                <w:color w:val="auto"/>
                <w:szCs w:val="21"/>
                <w:lang w:eastAsia="zh-CN" w:bidi="ar-SA"/>
              </w:rPr>
            </w:pPr>
            <w:r>
              <w:rPr>
                <w:rFonts w:eastAsia="宋体" w:cs="宋体"/>
                <w:color w:val="auto"/>
                <w:szCs w:val="21"/>
                <w:lang w:eastAsia="zh-CN" w:bidi="ar-SA"/>
              </w:rPr>
              <w:t>投标人</w:t>
            </w:r>
          </w:p>
        </w:tc>
        <w:tc>
          <w:tcPr>
            <w:tcW w:w="1276" w:type="dxa"/>
            <w:tcBorders>
              <w:top w:val="single" w:color="auto" w:sz="4" w:space="0"/>
              <w:left w:val="single" w:color="auto" w:sz="4" w:space="0"/>
              <w:bottom w:val="single" w:color="auto" w:sz="4" w:space="0"/>
              <w:right w:val="single" w:color="auto" w:sz="4" w:space="0"/>
            </w:tcBorders>
            <w:vAlign w:val="center"/>
          </w:tcPr>
          <w:p w14:paraId="1CE0039A">
            <w:pPr>
              <w:wordWrap w:val="0"/>
              <w:spacing w:line="500" w:lineRule="exact"/>
              <w:jc w:val="center"/>
              <w:rPr>
                <w:rFonts w:eastAsia="宋体" w:cs="宋体"/>
                <w:color w:val="auto"/>
                <w:szCs w:val="21"/>
                <w:lang w:eastAsia="zh-CN" w:bidi="ar-SA"/>
              </w:rPr>
            </w:pPr>
            <w:r>
              <w:rPr>
                <w:rFonts w:hint="eastAsia" w:eastAsia="宋体" w:cs="宋体"/>
                <w:color w:val="auto"/>
                <w:szCs w:val="21"/>
                <w:lang w:eastAsia="zh-CN" w:bidi="ar-SA"/>
              </w:rPr>
              <w:t>解密</w:t>
            </w:r>
            <w:r>
              <w:rPr>
                <w:rFonts w:eastAsia="宋体" w:cs="宋体"/>
                <w:color w:val="auto"/>
                <w:szCs w:val="21"/>
                <w:lang w:eastAsia="zh-CN" w:bidi="ar-SA"/>
              </w:rPr>
              <w:t>情况</w:t>
            </w:r>
          </w:p>
        </w:tc>
        <w:tc>
          <w:tcPr>
            <w:tcW w:w="1701" w:type="dxa"/>
            <w:tcBorders>
              <w:top w:val="single" w:color="auto" w:sz="4" w:space="0"/>
              <w:left w:val="single" w:color="auto" w:sz="4" w:space="0"/>
              <w:bottom w:val="single" w:color="auto" w:sz="4" w:space="0"/>
              <w:right w:val="single" w:color="auto" w:sz="4" w:space="0"/>
            </w:tcBorders>
            <w:vAlign w:val="center"/>
          </w:tcPr>
          <w:p w14:paraId="58F6EEE7">
            <w:pPr>
              <w:spacing w:line="500" w:lineRule="exact"/>
              <w:jc w:val="center"/>
              <w:rPr>
                <w:rFonts w:eastAsia="宋体" w:cs="宋体"/>
                <w:color w:val="auto"/>
                <w:szCs w:val="21"/>
                <w:lang w:eastAsia="zh-CN" w:bidi="ar-SA"/>
              </w:rPr>
            </w:pPr>
            <w:r>
              <w:rPr>
                <w:rFonts w:hint="eastAsia" w:eastAsia="宋体" w:cs="宋体"/>
                <w:color w:val="auto"/>
                <w:szCs w:val="21"/>
                <w:lang w:eastAsia="zh-CN" w:bidi="ar-SA"/>
              </w:rPr>
              <w:t>投标报价</w:t>
            </w:r>
          </w:p>
        </w:tc>
        <w:tc>
          <w:tcPr>
            <w:tcW w:w="1559" w:type="dxa"/>
            <w:tcBorders>
              <w:top w:val="single" w:color="auto" w:sz="4" w:space="0"/>
              <w:left w:val="single" w:color="auto" w:sz="4" w:space="0"/>
              <w:bottom w:val="single" w:color="auto" w:sz="4" w:space="0"/>
              <w:right w:val="single" w:color="auto" w:sz="4" w:space="0"/>
            </w:tcBorders>
            <w:vAlign w:val="center"/>
          </w:tcPr>
          <w:p w14:paraId="14380A75">
            <w:pPr>
              <w:wordWrap w:val="0"/>
              <w:spacing w:line="500" w:lineRule="exact"/>
              <w:jc w:val="center"/>
              <w:rPr>
                <w:rFonts w:eastAsia="宋体" w:cs="宋体"/>
                <w:color w:val="auto"/>
                <w:szCs w:val="21"/>
                <w:lang w:eastAsia="zh-CN" w:bidi="ar-SA"/>
              </w:rPr>
            </w:pPr>
            <w:r>
              <w:rPr>
                <w:rFonts w:hint="eastAsia" w:eastAsia="宋体" w:cs="宋体"/>
                <w:color w:val="auto"/>
                <w:szCs w:val="21"/>
                <w:lang w:eastAsia="zh-CN" w:bidi="ar-SA"/>
              </w:rPr>
              <w:t>是否超过最高投标限价</w:t>
            </w:r>
          </w:p>
        </w:tc>
        <w:tc>
          <w:tcPr>
            <w:tcW w:w="992" w:type="dxa"/>
            <w:tcBorders>
              <w:top w:val="single" w:color="auto" w:sz="4" w:space="0"/>
              <w:left w:val="single" w:color="auto" w:sz="4" w:space="0"/>
              <w:bottom w:val="single" w:color="auto" w:sz="4" w:space="0"/>
              <w:right w:val="single" w:color="auto" w:sz="4" w:space="0"/>
            </w:tcBorders>
            <w:vAlign w:val="center"/>
          </w:tcPr>
          <w:p w14:paraId="44F5EB9E">
            <w:pPr>
              <w:wordWrap w:val="0"/>
              <w:spacing w:line="500" w:lineRule="exact"/>
              <w:jc w:val="center"/>
              <w:rPr>
                <w:rFonts w:eastAsia="宋体" w:cs="宋体"/>
                <w:color w:val="auto"/>
                <w:szCs w:val="21"/>
                <w:lang w:eastAsia="zh-CN" w:bidi="ar-SA"/>
              </w:rPr>
            </w:pPr>
            <w:r>
              <w:rPr>
                <w:rFonts w:eastAsia="宋体" w:cs="宋体"/>
                <w:color w:val="auto"/>
                <w:szCs w:val="21"/>
                <w:lang w:eastAsia="zh-CN" w:bidi="ar-SA"/>
              </w:rPr>
              <w:t>备注</w:t>
            </w:r>
          </w:p>
        </w:tc>
        <w:tc>
          <w:tcPr>
            <w:tcW w:w="1473" w:type="dxa"/>
            <w:tcBorders>
              <w:top w:val="single" w:color="auto" w:sz="4" w:space="0"/>
              <w:left w:val="single" w:color="auto" w:sz="4" w:space="0"/>
              <w:bottom w:val="single" w:color="auto" w:sz="4" w:space="0"/>
              <w:right w:val="single" w:color="auto" w:sz="4" w:space="0"/>
            </w:tcBorders>
            <w:vAlign w:val="center"/>
          </w:tcPr>
          <w:p w14:paraId="295CE052">
            <w:pPr>
              <w:wordWrap w:val="0"/>
              <w:spacing w:line="500" w:lineRule="exact"/>
              <w:jc w:val="center"/>
              <w:rPr>
                <w:rFonts w:eastAsia="宋体" w:cs="宋体"/>
                <w:color w:val="auto"/>
                <w:szCs w:val="21"/>
                <w:lang w:eastAsia="zh-CN" w:bidi="ar-SA"/>
              </w:rPr>
            </w:pPr>
            <w:r>
              <w:rPr>
                <w:rFonts w:hint="eastAsia" w:eastAsia="宋体" w:cs="宋体"/>
                <w:color w:val="auto"/>
                <w:szCs w:val="21"/>
                <w:lang w:eastAsia="zh-CN" w:bidi="ar-SA"/>
              </w:rPr>
              <w:t>投标人代表</w:t>
            </w:r>
            <w:r>
              <w:rPr>
                <w:rFonts w:eastAsia="宋体" w:cs="宋体"/>
                <w:color w:val="auto"/>
                <w:szCs w:val="21"/>
                <w:lang w:eastAsia="zh-CN" w:bidi="ar-SA"/>
              </w:rPr>
              <w:t>签名</w:t>
            </w:r>
          </w:p>
        </w:tc>
      </w:tr>
      <w:tr w14:paraId="15E63F1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817" w:type="dxa"/>
            <w:tcBorders>
              <w:top w:val="single" w:color="auto" w:sz="4" w:space="0"/>
              <w:left w:val="single" w:color="auto" w:sz="4" w:space="0"/>
              <w:bottom w:val="single" w:color="auto" w:sz="4" w:space="0"/>
              <w:right w:val="single" w:color="auto" w:sz="4" w:space="0"/>
            </w:tcBorders>
            <w:vAlign w:val="center"/>
          </w:tcPr>
          <w:p w14:paraId="5688AE68">
            <w:pPr>
              <w:wordWrap w:val="0"/>
              <w:spacing w:line="440" w:lineRule="exact"/>
              <w:jc w:val="center"/>
              <w:rPr>
                <w:rFonts w:eastAsia="宋体" w:cs="宋体"/>
                <w:color w:val="auto"/>
                <w:lang w:eastAsia="zh-CN" w:bidi="ar-SA"/>
              </w:rPr>
            </w:pPr>
          </w:p>
        </w:tc>
        <w:tc>
          <w:tcPr>
            <w:tcW w:w="1276" w:type="dxa"/>
            <w:tcBorders>
              <w:top w:val="single" w:color="auto" w:sz="4" w:space="0"/>
              <w:left w:val="single" w:color="auto" w:sz="4" w:space="0"/>
              <w:bottom w:val="single" w:color="auto" w:sz="4" w:space="0"/>
              <w:right w:val="single" w:color="auto" w:sz="4" w:space="0"/>
            </w:tcBorders>
            <w:vAlign w:val="center"/>
          </w:tcPr>
          <w:p w14:paraId="5497A2EC">
            <w:pPr>
              <w:wordWrap w:val="0"/>
              <w:spacing w:line="440" w:lineRule="exact"/>
              <w:jc w:val="center"/>
              <w:rPr>
                <w:rFonts w:eastAsia="宋体" w:cs="宋体"/>
                <w:color w:val="auto"/>
                <w:lang w:eastAsia="zh-CN" w:bidi="ar-SA"/>
              </w:rPr>
            </w:pPr>
          </w:p>
        </w:tc>
        <w:tc>
          <w:tcPr>
            <w:tcW w:w="1276" w:type="dxa"/>
            <w:tcBorders>
              <w:top w:val="single" w:color="auto" w:sz="4" w:space="0"/>
              <w:left w:val="single" w:color="auto" w:sz="4" w:space="0"/>
              <w:bottom w:val="single" w:color="auto" w:sz="4" w:space="0"/>
              <w:right w:val="single" w:color="auto" w:sz="4" w:space="0"/>
            </w:tcBorders>
            <w:vAlign w:val="center"/>
          </w:tcPr>
          <w:p w14:paraId="58521B17">
            <w:pPr>
              <w:wordWrap w:val="0"/>
              <w:spacing w:line="440" w:lineRule="exact"/>
              <w:jc w:val="center"/>
              <w:rPr>
                <w:rFonts w:eastAsia="宋体" w:cs="宋体"/>
                <w:color w:val="auto"/>
                <w:lang w:eastAsia="zh-CN" w:bidi="ar-SA"/>
              </w:rPr>
            </w:pPr>
          </w:p>
        </w:tc>
        <w:tc>
          <w:tcPr>
            <w:tcW w:w="1701" w:type="dxa"/>
            <w:tcBorders>
              <w:top w:val="single" w:color="auto" w:sz="4" w:space="0"/>
              <w:left w:val="single" w:color="auto" w:sz="4" w:space="0"/>
              <w:bottom w:val="single" w:color="auto" w:sz="4" w:space="0"/>
              <w:right w:val="single" w:color="auto" w:sz="4" w:space="0"/>
            </w:tcBorders>
            <w:vAlign w:val="center"/>
          </w:tcPr>
          <w:p w14:paraId="60E615A6">
            <w:pPr>
              <w:wordWrap w:val="0"/>
              <w:spacing w:line="440" w:lineRule="exact"/>
              <w:jc w:val="center"/>
              <w:rPr>
                <w:rFonts w:eastAsia="宋体" w:cs="宋体"/>
                <w:color w:val="auto"/>
                <w:lang w:eastAsia="zh-CN" w:bidi="ar-SA"/>
              </w:rPr>
            </w:pPr>
          </w:p>
        </w:tc>
        <w:tc>
          <w:tcPr>
            <w:tcW w:w="1559" w:type="dxa"/>
            <w:tcBorders>
              <w:top w:val="single" w:color="auto" w:sz="4" w:space="0"/>
              <w:left w:val="single" w:color="auto" w:sz="4" w:space="0"/>
              <w:bottom w:val="single" w:color="auto" w:sz="4" w:space="0"/>
              <w:right w:val="single" w:color="auto" w:sz="4" w:space="0"/>
            </w:tcBorders>
            <w:vAlign w:val="center"/>
          </w:tcPr>
          <w:p w14:paraId="75D96867">
            <w:pPr>
              <w:wordWrap w:val="0"/>
              <w:spacing w:line="440" w:lineRule="exact"/>
              <w:jc w:val="center"/>
              <w:rPr>
                <w:rFonts w:eastAsia="宋体" w:cs="宋体"/>
                <w:color w:val="auto"/>
                <w:lang w:eastAsia="zh-CN" w:bidi="ar-SA"/>
              </w:rPr>
            </w:pPr>
          </w:p>
        </w:tc>
        <w:tc>
          <w:tcPr>
            <w:tcW w:w="992" w:type="dxa"/>
            <w:tcBorders>
              <w:top w:val="single" w:color="auto" w:sz="4" w:space="0"/>
              <w:left w:val="single" w:color="auto" w:sz="4" w:space="0"/>
              <w:bottom w:val="single" w:color="auto" w:sz="4" w:space="0"/>
              <w:right w:val="single" w:color="auto" w:sz="4" w:space="0"/>
            </w:tcBorders>
            <w:vAlign w:val="center"/>
          </w:tcPr>
          <w:p w14:paraId="30873539">
            <w:pPr>
              <w:wordWrap w:val="0"/>
              <w:spacing w:line="440" w:lineRule="exact"/>
              <w:jc w:val="center"/>
              <w:rPr>
                <w:rFonts w:eastAsia="宋体" w:cs="宋体"/>
                <w:color w:val="auto"/>
                <w:lang w:eastAsia="zh-CN" w:bidi="ar-SA"/>
              </w:rPr>
            </w:pPr>
          </w:p>
        </w:tc>
        <w:tc>
          <w:tcPr>
            <w:tcW w:w="1473" w:type="dxa"/>
            <w:tcBorders>
              <w:top w:val="single" w:color="auto" w:sz="4" w:space="0"/>
              <w:left w:val="single" w:color="auto" w:sz="4" w:space="0"/>
              <w:bottom w:val="single" w:color="auto" w:sz="4" w:space="0"/>
              <w:right w:val="single" w:color="auto" w:sz="4" w:space="0"/>
            </w:tcBorders>
            <w:vAlign w:val="center"/>
          </w:tcPr>
          <w:p w14:paraId="4E11A4A5">
            <w:pPr>
              <w:wordWrap w:val="0"/>
              <w:spacing w:line="440" w:lineRule="exact"/>
              <w:jc w:val="center"/>
              <w:rPr>
                <w:rFonts w:eastAsia="宋体" w:cs="宋体"/>
                <w:color w:val="auto"/>
                <w:lang w:eastAsia="zh-CN" w:bidi="ar-SA"/>
              </w:rPr>
            </w:pPr>
          </w:p>
        </w:tc>
      </w:tr>
      <w:tr w14:paraId="035C833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817" w:type="dxa"/>
            <w:tcBorders>
              <w:top w:val="single" w:color="auto" w:sz="4" w:space="0"/>
              <w:left w:val="single" w:color="auto" w:sz="4" w:space="0"/>
              <w:bottom w:val="single" w:color="auto" w:sz="4" w:space="0"/>
              <w:right w:val="single" w:color="auto" w:sz="4" w:space="0"/>
            </w:tcBorders>
            <w:vAlign w:val="center"/>
          </w:tcPr>
          <w:p w14:paraId="3D0EED1C">
            <w:pPr>
              <w:wordWrap w:val="0"/>
              <w:spacing w:line="440" w:lineRule="exact"/>
              <w:jc w:val="center"/>
              <w:rPr>
                <w:rFonts w:eastAsia="宋体" w:cs="宋体"/>
                <w:color w:val="auto"/>
                <w:lang w:eastAsia="zh-CN" w:bidi="ar-SA"/>
              </w:rPr>
            </w:pPr>
          </w:p>
        </w:tc>
        <w:tc>
          <w:tcPr>
            <w:tcW w:w="1276" w:type="dxa"/>
            <w:tcBorders>
              <w:top w:val="single" w:color="auto" w:sz="4" w:space="0"/>
              <w:left w:val="single" w:color="auto" w:sz="4" w:space="0"/>
              <w:bottom w:val="single" w:color="auto" w:sz="4" w:space="0"/>
              <w:right w:val="single" w:color="auto" w:sz="4" w:space="0"/>
            </w:tcBorders>
            <w:vAlign w:val="center"/>
          </w:tcPr>
          <w:p w14:paraId="00AB14E8">
            <w:pPr>
              <w:wordWrap w:val="0"/>
              <w:spacing w:line="440" w:lineRule="exact"/>
              <w:jc w:val="center"/>
              <w:rPr>
                <w:rFonts w:eastAsia="宋体" w:cs="宋体"/>
                <w:color w:val="auto"/>
                <w:lang w:eastAsia="zh-CN" w:bidi="ar-SA"/>
              </w:rPr>
            </w:pPr>
          </w:p>
        </w:tc>
        <w:tc>
          <w:tcPr>
            <w:tcW w:w="1276" w:type="dxa"/>
            <w:tcBorders>
              <w:top w:val="single" w:color="auto" w:sz="4" w:space="0"/>
              <w:left w:val="single" w:color="auto" w:sz="4" w:space="0"/>
              <w:bottom w:val="single" w:color="auto" w:sz="4" w:space="0"/>
              <w:right w:val="single" w:color="auto" w:sz="4" w:space="0"/>
            </w:tcBorders>
            <w:vAlign w:val="center"/>
          </w:tcPr>
          <w:p w14:paraId="3E4DB191">
            <w:pPr>
              <w:wordWrap w:val="0"/>
              <w:spacing w:line="440" w:lineRule="exact"/>
              <w:jc w:val="center"/>
              <w:rPr>
                <w:rFonts w:eastAsia="宋体" w:cs="宋体"/>
                <w:color w:val="auto"/>
                <w:lang w:eastAsia="zh-CN" w:bidi="ar-SA"/>
              </w:rPr>
            </w:pPr>
          </w:p>
        </w:tc>
        <w:tc>
          <w:tcPr>
            <w:tcW w:w="1701" w:type="dxa"/>
            <w:tcBorders>
              <w:top w:val="single" w:color="auto" w:sz="4" w:space="0"/>
              <w:left w:val="single" w:color="auto" w:sz="4" w:space="0"/>
              <w:bottom w:val="single" w:color="auto" w:sz="4" w:space="0"/>
              <w:right w:val="single" w:color="auto" w:sz="4" w:space="0"/>
            </w:tcBorders>
            <w:vAlign w:val="center"/>
          </w:tcPr>
          <w:p w14:paraId="45A1E4BD">
            <w:pPr>
              <w:wordWrap w:val="0"/>
              <w:spacing w:line="440" w:lineRule="exact"/>
              <w:jc w:val="center"/>
              <w:rPr>
                <w:rFonts w:eastAsia="宋体" w:cs="宋体"/>
                <w:color w:val="auto"/>
                <w:lang w:eastAsia="zh-CN" w:bidi="ar-SA"/>
              </w:rPr>
            </w:pPr>
          </w:p>
        </w:tc>
        <w:tc>
          <w:tcPr>
            <w:tcW w:w="1559" w:type="dxa"/>
            <w:tcBorders>
              <w:top w:val="single" w:color="auto" w:sz="4" w:space="0"/>
              <w:left w:val="single" w:color="auto" w:sz="4" w:space="0"/>
              <w:bottom w:val="single" w:color="auto" w:sz="4" w:space="0"/>
              <w:right w:val="single" w:color="auto" w:sz="4" w:space="0"/>
            </w:tcBorders>
            <w:vAlign w:val="center"/>
          </w:tcPr>
          <w:p w14:paraId="6ED0FC87">
            <w:pPr>
              <w:wordWrap w:val="0"/>
              <w:spacing w:line="440" w:lineRule="exact"/>
              <w:jc w:val="center"/>
              <w:rPr>
                <w:rFonts w:eastAsia="宋体" w:cs="宋体"/>
                <w:color w:val="auto"/>
                <w:lang w:eastAsia="zh-CN" w:bidi="ar-SA"/>
              </w:rPr>
            </w:pPr>
          </w:p>
        </w:tc>
        <w:tc>
          <w:tcPr>
            <w:tcW w:w="992" w:type="dxa"/>
            <w:tcBorders>
              <w:top w:val="single" w:color="auto" w:sz="4" w:space="0"/>
              <w:left w:val="single" w:color="auto" w:sz="4" w:space="0"/>
              <w:bottom w:val="single" w:color="auto" w:sz="4" w:space="0"/>
              <w:right w:val="single" w:color="auto" w:sz="4" w:space="0"/>
            </w:tcBorders>
            <w:vAlign w:val="center"/>
          </w:tcPr>
          <w:p w14:paraId="6274A706">
            <w:pPr>
              <w:wordWrap w:val="0"/>
              <w:spacing w:line="440" w:lineRule="exact"/>
              <w:jc w:val="center"/>
              <w:rPr>
                <w:rFonts w:eastAsia="宋体" w:cs="宋体"/>
                <w:color w:val="auto"/>
                <w:lang w:eastAsia="zh-CN" w:bidi="ar-SA"/>
              </w:rPr>
            </w:pPr>
          </w:p>
        </w:tc>
        <w:tc>
          <w:tcPr>
            <w:tcW w:w="1473" w:type="dxa"/>
            <w:tcBorders>
              <w:top w:val="single" w:color="auto" w:sz="4" w:space="0"/>
              <w:left w:val="single" w:color="auto" w:sz="4" w:space="0"/>
              <w:bottom w:val="single" w:color="auto" w:sz="4" w:space="0"/>
              <w:right w:val="single" w:color="auto" w:sz="4" w:space="0"/>
            </w:tcBorders>
            <w:vAlign w:val="center"/>
          </w:tcPr>
          <w:p w14:paraId="3038853F">
            <w:pPr>
              <w:wordWrap w:val="0"/>
              <w:spacing w:line="440" w:lineRule="exact"/>
              <w:jc w:val="center"/>
              <w:rPr>
                <w:rFonts w:eastAsia="宋体" w:cs="宋体"/>
                <w:color w:val="auto"/>
                <w:lang w:eastAsia="zh-CN" w:bidi="ar-SA"/>
              </w:rPr>
            </w:pPr>
          </w:p>
        </w:tc>
      </w:tr>
      <w:tr w14:paraId="27F4866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817" w:type="dxa"/>
            <w:tcBorders>
              <w:top w:val="single" w:color="auto" w:sz="4" w:space="0"/>
              <w:left w:val="single" w:color="auto" w:sz="4" w:space="0"/>
              <w:bottom w:val="single" w:color="auto" w:sz="4" w:space="0"/>
              <w:right w:val="single" w:color="auto" w:sz="4" w:space="0"/>
            </w:tcBorders>
            <w:vAlign w:val="center"/>
          </w:tcPr>
          <w:p w14:paraId="0F230A89">
            <w:pPr>
              <w:wordWrap w:val="0"/>
              <w:spacing w:line="440" w:lineRule="exact"/>
              <w:jc w:val="center"/>
              <w:rPr>
                <w:rFonts w:eastAsia="宋体" w:cs="宋体"/>
                <w:color w:val="auto"/>
                <w:lang w:eastAsia="zh-CN" w:bidi="ar-SA"/>
              </w:rPr>
            </w:pPr>
          </w:p>
        </w:tc>
        <w:tc>
          <w:tcPr>
            <w:tcW w:w="1276" w:type="dxa"/>
            <w:tcBorders>
              <w:top w:val="single" w:color="auto" w:sz="4" w:space="0"/>
              <w:left w:val="single" w:color="auto" w:sz="4" w:space="0"/>
              <w:bottom w:val="single" w:color="auto" w:sz="4" w:space="0"/>
              <w:right w:val="single" w:color="auto" w:sz="4" w:space="0"/>
            </w:tcBorders>
            <w:vAlign w:val="center"/>
          </w:tcPr>
          <w:p w14:paraId="4E57E1AA">
            <w:pPr>
              <w:wordWrap w:val="0"/>
              <w:spacing w:line="440" w:lineRule="exact"/>
              <w:jc w:val="center"/>
              <w:rPr>
                <w:rFonts w:eastAsia="宋体" w:cs="宋体"/>
                <w:color w:val="auto"/>
                <w:lang w:eastAsia="zh-CN" w:bidi="ar-SA"/>
              </w:rPr>
            </w:pPr>
          </w:p>
        </w:tc>
        <w:tc>
          <w:tcPr>
            <w:tcW w:w="1276" w:type="dxa"/>
            <w:tcBorders>
              <w:top w:val="single" w:color="auto" w:sz="4" w:space="0"/>
              <w:left w:val="single" w:color="auto" w:sz="4" w:space="0"/>
              <w:bottom w:val="single" w:color="auto" w:sz="4" w:space="0"/>
              <w:right w:val="single" w:color="auto" w:sz="4" w:space="0"/>
            </w:tcBorders>
            <w:vAlign w:val="center"/>
          </w:tcPr>
          <w:p w14:paraId="1C7923EE">
            <w:pPr>
              <w:wordWrap w:val="0"/>
              <w:spacing w:line="440" w:lineRule="exact"/>
              <w:jc w:val="center"/>
              <w:rPr>
                <w:rFonts w:eastAsia="宋体" w:cs="宋体"/>
                <w:color w:val="auto"/>
                <w:lang w:eastAsia="zh-CN" w:bidi="ar-SA"/>
              </w:rPr>
            </w:pPr>
          </w:p>
        </w:tc>
        <w:tc>
          <w:tcPr>
            <w:tcW w:w="1701" w:type="dxa"/>
            <w:tcBorders>
              <w:top w:val="single" w:color="auto" w:sz="4" w:space="0"/>
              <w:left w:val="single" w:color="auto" w:sz="4" w:space="0"/>
              <w:bottom w:val="single" w:color="auto" w:sz="4" w:space="0"/>
              <w:right w:val="single" w:color="auto" w:sz="4" w:space="0"/>
            </w:tcBorders>
            <w:vAlign w:val="center"/>
          </w:tcPr>
          <w:p w14:paraId="6E642DE3">
            <w:pPr>
              <w:wordWrap w:val="0"/>
              <w:spacing w:line="440" w:lineRule="exact"/>
              <w:jc w:val="center"/>
              <w:rPr>
                <w:rFonts w:eastAsia="宋体" w:cs="宋体"/>
                <w:color w:val="auto"/>
                <w:lang w:eastAsia="zh-CN" w:bidi="ar-SA"/>
              </w:rPr>
            </w:pPr>
          </w:p>
        </w:tc>
        <w:tc>
          <w:tcPr>
            <w:tcW w:w="1559" w:type="dxa"/>
            <w:tcBorders>
              <w:top w:val="single" w:color="auto" w:sz="4" w:space="0"/>
              <w:left w:val="single" w:color="auto" w:sz="4" w:space="0"/>
              <w:bottom w:val="single" w:color="auto" w:sz="4" w:space="0"/>
              <w:right w:val="single" w:color="auto" w:sz="4" w:space="0"/>
            </w:tcBorders>
            <w:vAlign w:val="center"/>
          </w:tcPr>
          <w:p w14:paraId="144141CC">
            <w:pPr>
              <w:wordWrap w:val="0"/>
              <w:spacing w:line="440" w:lineRule="exact"/>
              <w:jc w:val="center"/>
              <w:rPr>
                <w:rFonts w:eastAsia="宋体" w:cs="宋体"/>
                <w:color w:val="auto"/>
                <w:lang w:eastAsia="zh-CN" w:bidi="ar-SA"/>
              </w:rPr>
            </w:pPr>
          </w:p>
        </w:tc>
        <w:tc>
          <w:tcPr>
            <w:tcW w:w="992" w:type="dxa"/>
            <w:tcBorders>
              <w:top w:val="single" w:color="auto" w:sz="4" w:space="0"/>
              <w:left w:val="single" w:color="auto" w:sz="4" w:space="0"/>
              <w:bottom w:val="single" w:color="auto" w:sz="4" w:space="0"/>
              <w:right w:val="single" w:color="auto" w:sz="4" w:space="0"/>
            </w:tcBorders>
            <w:vAlign w:val="center"/>
          </w:tcPr>
          <w:p w14:paraId="2685EAFB">
            <w:pPr>
              <w:wordWrap w:val="0"/>
              <w:spacing w:line="440" w:lineRule="exact"/>
              <w:jc w:val="center"/>
              <w:rPr>
                <w:rFonts w:eastAsia="宋体" w:cs="宋体"/>
                <w:color w:val="auto"/>
                <w:lang w:eastAsia="zh-CN" w:bidi="ar-SA"/>
              </w:rPr>
            </w:pPr>
          </w:p>
        </w:tc>
        <w:tc>
          <w:tcPr>
            <w:tcW w:w="1473" w:type="dxa"/>
            <w:tcBorders>
              <w:top w:val="single" w:color="auto" w:sz="4" w:space="0"/>
              <w:left w:val="single" w:color="auto" w:sz="4" w:space="0"/>
              <w:bottom w:val="single" w:color="auto" w:sz="4" w:space="0"/>
              <w:right w:val="single" w:color="auto" w:sz="4" w:space="0"/>
            </w:tcBorders>
            <w:vAlign w:val="center"/>
          </w:tcPr>
          <w:p w14:paraId="7A9457AD">
            <w:pPr>
              <w:wordWrap w:val="0"/>
              <w:spacing w:line="440" w:lineRule="exact"/>
              <w:jc w:val="center"/>
              <w:rPr>
                <w:rFonts w:eastAsia="宋体" w:cs="宋体"/>
                <w:color w:val="auto"/>
                <w:lang w:eastAsia="zh-CN" w:bidi="ar-SA"/>
              </w:rPr>
            </w:pPr>
          </w:p>
        </w:tc>
      </w:tr>
      <w:tr w14:paraId="743850F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817" w:type="dxa"/>
            <w:tcBorders>
              <w:top w:val="single" w:color="auto" w:sz="4" w:space="0"/>
              <w:left w:val="single" w:color="auto" w:sz="4" w:space="0"/>
              <w:bottom w:val="single" w:color="auto" w:sz="4" w:space="0"/>
              <w:right w:val="single" w:color="auto" w:sz="4" w:space="0"/>
            </w:tcBorders>
            <w:vAlign w:val="center"/>
          </w:tcPr>
          <w:p w14:paraId="6AD4EF50">
            <w:pPr>
              <w:wordWrap w:val="0"/>
              <w:spacing w:line="440" w:lineRule="exact"/>
              <w:jc w:val="center"/>
              <w:rPr>
                <w:rFonts w:eastAsia="宋体" w:cs="宋体"/>
                <w:color w:val="auto"/>
                <w:lang w:eastAsia="zh-CN" w:bidi="ar-SA"/>
              </w:rPr>
            </w:pPr>
          </w:p>
        </w:tc>
        <w:tc>
          <w:tcPr>
            <w:tcW w:w="1276" w:type="dxa"/>
            <w:tcBorders>
              <w:top w:val="single" w:color="auto" w:sz="4" w:space="0"/>
              <w:left w:val="single" w:color="auto" w:sz="4" w:space="0"/>
              <w:bottom w:val="single" w:color="auto" w:sz="4" w:space="0"/>
              <w:right w:val="single" w:color="auto" w:sz="4" w:space="0"/>
            </w:tcBorders>
            <w:vAlign w:val="center"/>
          </w:tcPr>
          <w:p w14:paraId="05EDBE5C">
            <w:pPr>
              <w:wordWrap w:val="0"/>
              <w:spacing w:line="440" w:lineRule="exact"/>
              <w:jc w:val="center"/>
              <w:rPr>
                <w:rFonts w:eastAsia="宋体" w:cs="宋体"/>
                <w:color w:val="auto"/>
                <w:lang w:eastAsia="zh-CN" w:bidi="ar-SA"/>
              </w:rPr>
            </w:pPr>
          </w:p>
        </w:tc>
        <w:tc>
          <w:tcPr>
            <w:tcW w:w="1276" w:type="dxa"/>
            <w:tcBorders>
              <w:top w:val="single" w:color="auto" w:sz="4" w:space="0"/>
              <w:left w:val="single" w:color="auto" w:sz="4" w:space="0"/>
              <w:bottom w:val="single" w:color="auto" w:sz="4" w:space="0"/>
              <w:right w:val="single" w:color="auto" w:sz="4" w:space="0"/>
            </w:tcBorders>
            <w:vAlign w:val="center"/>
          </w:tcPr>
          <w:p w14:paraId="0CAC914A">
            <w:pPr>
              <w:wordWrap w:val="0"/>
              <w:spacing w:line="440" w:lineRule="exact"/>
              <w:jc w:val="center"/>
              <w:rPr>
                <w:rFonts w:eastAsia="宋体" w:cs="宋体"/>
                <w:color w:val="auto"/>
                <w:lang w:eastAsia="zh-CN" w:bidi="ar-SA"/>
              </w:rPr>
            </w:pPr>
          </w:p>
        </w:tc>
        <w:tc>
          <w:tcPr>
            <w:tcW w:w="1701" w:type="dxa"/>
            <w:tcBorders>
              <w:top w:val="single" w:color="auto" w:sz="4" w:space="0"/>
              <w:left w:val="single" w:color="auto" w:sz="4" w:space="0"/>
              <w:bottom w:val="single" w:color="auto" w:sz="4" w:space="0"/>
              <w:right w:val="single" w:color="auto" w:sz="4" w:space="0"/>
            </w:tcBorders>
            <w:vAlign w:val="center"/>
          </w:tcPr>
          <w:p w14:paraId="534E6A65">
            <w:pPr>
              <w:wordWrap w:val="0"/>
              <w:spacing w:line="440" w:lineRule="exact"/>
              <w:jc w:val="center"/>
              <w:rPr>
                <w:rFonts w:eastAsia="宋体" w:cs="宋体"/>
                <w:color w:val="auto"/>
                <w:lang w:eastAsia="zh-CN" w:bidi="ar-SA"/>
              </w:rPr>
            </w:pPr>
          </w:p>
        </w:tc>
        <w:tc>
          <w:tcPr>
            <w:tcW w:w="1559" w:type="dxa"/>
            <w:tcBorders>
              <w:top w:val="single" w:color="auto" w:sz="4" w:space="0"/>
              <w:left w:val="single" w:color="auto" w:sz="4" w:space="0"/>
              <w:bottom w:val="single" w:color="auto" w:sz="4" w:space="0"/>
              <w:right w:val="single" w:color="auto" w:sz="4" w:space="0"/>
            </w:tcBorders>
            <w:vAlign w:val="center"/>
          </w:tcPr>
          <w:p w14:paraId="02548C79">
            <w:pPr>
              <w:wordWrap w:val="0"/>
              <w:spacing w:line="440" w:lineRule="exact"/>
              <w:jc w:val="center"/>
              <w:rPr>
                <w:rFonts w:eastAsia="宋体" w:cs="宋体"/>
                <w:color w:val="auto"/>
                <w:lang w:eastAsia="zh-CN" w:bidi="ar-SA"/>
              </w:rPr>
            </w:pPr>
          </w:p>
        </w:tc>
        <w:tc>
          <w:tcPr>
            <w:tcW w:w="992" w:type="dxa"/>
            <w:tcBorders>
              <w:top w:val="single" w:color="auto" w:sz="4" w:space="0"/>
              <w:left w:val="single" w:color="auto" w:sz="4" w:space="0"/>
              <w:bottom w:val="single" w:color="auto" w:sz="4" w:space="0"/>
              <w:right w:val="single" w:color="auto" w:sz="4" w:space="0"/>
            </w:tcBorders>
            <w:vAlign w:val="center"/>
          </w:tcPr>
          <w:p w14:paraId="009DA107">
            <w:pPr>
              <w:wordWrap w:val="0"/>
              <w:spacing w:line="440" w:lineRule="exact"/>
              <w:jc w:val="center"/>
              <w:rPr>
                <w:rFonts w:eastAsia="宋体" w:cs="宋体"/>
                <w:color w:val="auto"/>
                <w:lang w:eastAsia="zh-CN" w:bidi="ar-SA"/>
              </w:rPr>
            </w:pPr>
          </w:p>
        </w:tc>
        <w:tc>
          <w:tcPr>
            <w:tcW w:w="1473" w:type="dxa"/>
            <w:tcBorders>
              <w:top w:val="single" w:color="auto" w:sz="4" w:space="0"/>
              <w:left w:val="single" w:color="auto" w:sz="4" w:space="0"/>
              <w:bottom w:val="single" w:color="auto" w:sz="4" w:space="0"/>
              <w:right w:val="single" w:color="auto" w:sz="4" w:space="0"/>
            </w:tcBorders>
            <w:vAlign w:val="center"/>
          </w:tcPr>
          <w:p w14:paraId="3A373D52">
            <w:pPr>
              <w:wordWrap w:val="0"/>
              <w:spacing w:line="440" w:lineRule="exact"/>
              <w:jc w:val="center"/>
              <w:rPr>
                <w:rFonts w:eastAsia="宋体" w:cs="宋体"/>
                <w:color w:val="auto"/>
                <w:lang w:eastAsia="zh-CN" w:bidi="ar-SA"/>
              </w:rPr>
            </w:pPr>
          </w:p>
        </w:tc>
      </w:tr>
      <w:tr w14:paraId="453D861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817" w:type="dxa"/>
            <w:tcBorders>
              <w:top w:val="single" w:color="auto" w:sz="4" w:space="0"/>
              <w:left w:val="single" w:color="auto" w:sz="4" w:space="0"/>
              <w:bottom w:val="single" w:color="auto" w:sz="4" w:space="0"/>
              <w:right w:val="single" w:color="auto" w:sz="4" w:space="0"/>
            </w:tcBorders>
            <w:vAlign w:val="center"/>
          </w:tcPr>
          <w:p w14:paraId="2F870D31">
            <w:pPr>
              <w:wordWrap w:val="0"/>
              <w:spacing w:line="440" w:lineRule="exact"/>
              <w:jc w:val="center"/>
              <w:rPr>
                <w:rFonts w:eastAsia="宋体" w:cs="宋体"/>
                <w:color w:val="auto"/>
                <w:lang w:eastAsia="zh-CN" w:bidi="ar-SA"/>
              </w:rPr>
            </w:pPr>
          </w:p>
        </w:tc>
        <w:tc>
          <w:tcPr>
            <w:tcW w:w="1276" w:type="dxa"/>
            <w:tcBorders>
              <w:top w:val="single" w:color="auto" w:sz="4" w:space="0"/>
              <w:left w:val="single" w:color="auto" w:sz="4" w:space="0"/>
              <w:bottom w:val="single" w:color="auto" w:sz="4" w:space="0"/>
              <w:right w:val="single" w:color="auto" w:sz="4" w:space="0"/>
            </w:tcBorders>
            <w:vAlign w:val="center"/>
          </w:tcPr>
          <w:p w14:paraId="6B11D535">
            <w:pPr>
              <w:wordWrap w:val="0"/>
              <w:spacing w:line="440" w:lineRule="exact"/>
              <w:jc w:val="center"/>
              <w:rPr>
                <w:rFonts w:eastAsia="宋体" w:cs="宋体"/>
                <w:color w:val="auto"/>
                <w:lang w:eastAsia="zh-CN" w:bidi="ar-SA"/>
              </w:rPr>
            </w:pPr>
          </w:p>
        </w:tc>
        <w:tc>
          <w:tcPr>
            <w:tcW w:w="1276" w:type="dxa"/>
            <w:tcBorders>
              <w:top w:val="single" w:color="auto" w:sz="4" w:space="0"/>
              <w:left w:val="single" w:color="auto" w:sz="4" w:space="0"/>
              <w:bottom w:val="single" w:color="auto" w:sz="4" w:space="0"/>
              <w:right w:val="single" w:color="auto" w:sz="4" w:space="0"/>
            </w:tcBorders>
            <w:vAlign w:val="center"/>
          </w:tcPr>
          <w:p w14:paraId="262D4C3D">
            <w:pPr>
              <w:wordWrap w:val="0"/>
              <w:spacing w:line="440" w:lineRule="exact"/>
              <w:jc w:val="center"/>
              <w:rPr>
                <w:rFonts w:eastAsia="宋体" w:cs="宋体"/>
                <w:color w:val="auto"/>
                <w:lang w:eastAsia="zh-CN" w:bidi="ar-SA"/>
              </w:rPr>
            </w:pPr>
          </w:p>
        </w:tc>
        <w:tc>
          <w:tcPr>
            <w:tcW w:w="1701" w:type="dxa"/>
            <w:tcBorders>
              <w:top w:val="single" w:color="auto" w:sz="4" w:space="0"/>
              <w:left w:val="single" w:color="auto" w:sz="4" w:space="0"/>
              <w:bottom w:val="single" w:color="auto" w:sz="4" w:space="0"/>
              <w:right w:val="single" w:color="auto" w:sz="4" w:space="0"/>
            </w:tcBorders>
            <w:vAlign w:val="center"/>
          </w:tcPr>
          <w:p w14:paraId="32D28EE9">
            <w:pPr>
              <w:wordWrap w:val="0"/>
              <w:spacing w:line="440" w:lineRule="exact"/>
              <w:jc w:val="center"/>
              <w:rPr>
                <w:rFonts w:eastAsia="宋体" w:cs="宋体"/>
                <w:color w:val="auto"/>
                <w:lang w:eastAsia="zh-CN" w:bidi="ar-SA"/>
              </w:rPr>
            </w:pPr>
          </w:p>
        </w:tc>
        <w:tc>
          <w:tcPr>
            <w:tcW w:w="1559" w:type="dxa"/>
            <w:tcBorders>
              <w:top w:val="single" w:color="auto" w:sz="4" w:space="0"/>
              <w:left w:val="single" w:color="auto" w:sz="4" w:space="0"/>
              <w:bottom w:val="single" w:color="auto" w:sz="4" w:space="0"/>
              <w:right w:val="single" w:color="auto" w:sz="4" w:space="0"/>
            </w:tcBorders>
            <w:vAlign w:val="center"/>
          </w:tcPr>
          <w:p w14:paraId="52C156D0">
            <w:pPr>
              <w:wordWrap w:val="0"/>
              <w:spacing w:line="440" w:lineRule="exact"/>
              <w:jc w:val="center"/>
              <w:rPr>
                <w:rFonts w:eastAsia="宋体" w:cs="宋体"/>
                <w:color w:val="auto"/>
                <w:lang w:eastAsia="zh-CN" w:bidi="ar-SA"/>
              </w:rPr>
            </w:pPr>
          </w:p>
        </w:tc>
        <w:tc>
          <w:tcPr>
            <w:tcW w:w="992" w:type="dxa"/>
            <w:tcBorders>
              <w:top w:val="single" w:color="auto" w:sz="4" w:space="0"/>
              <w:left w:val="single" w:color="auto" w:sz="4" w:space="0"/>
              <w:bottom w:val="single" w:color="auto" w:sz="4" w:space="0"/>
              <w:right w:val="single" w:color="auto" w:sz="4" w:space="0"/>
            </w:tcBorders>
            <w:vAlign w:val="center"/>
          </w:tcPr>
          <w:p w14:paraId="5E2C3F0E">
            <w:pPr>
              <w:wordWrap w:val="0"/>
              <w:spacing w:line="440" w:lineRule="exact"/>
              <w:jc w:val="center"/>
              <w:rPr>
                <w:rFonts w:eastAsia="宋体" w:cs="宋体"/>
                <w:color w:val="auto"/>
                <w:lang w:eastAsia="zh-CN" w:bidi="ar-SA"/>
              </w:rPr>
            </w:pPr>
          </w:p>
        </w:tc>
        <w:tc>
          <w:tcPr>
            <w:tcW w:w="1473" w:type="dxa"/>
            <w:tcBorders>
              <w:top w:val="single" w:color="auto" w:sz="4" w:space="0"/>
              <w:left w:val="single" w:color="auto" w:sz="4" w:space="0"/>
              <w:bottom w:val="single" w:color="auto" w:sz="4" w:space="0"/>
              <w:right w:val="single" w:color="auto" w:sz="4" w:space="0"/>
            </w:tcBorders>
            <w:vAlign w:val="center"/>
          </w:tcPr>
          <w:p w14:paraId="627BDF97">
            <w:pPr>
              <w:wordWrap w:val="0"/>
              <w:spacing w:line="440" w:lineRule="exact"/>
              <w:jc w:val="center"/>
              <w:rPr>
                <w:rFonts w:eastAsia="宋体" w:cs="宋体"/>
                <w:color w:val="auto"/>
                <w:lang w:eastAsia="zh-CN" w:bidi="ar-SA"/>
              </w:rPr>
            </w:pPr>
          </w:p>
        </w:tc>
      </w:tr>
      <w:tr w14:paraId="454E6A9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817" w:type="dxa"/>
            <w:tcBorders>
              <w:top w:val="single" w:color="auto" w:sz="4" w:space="0"/>
              <w:left w:val="single" w:color="auto" w:sz="4" w:space="0"/>
              <w:bottom w:val="single" w:color="auto" w:sz="4" w:space="0"/>
              <w:right w:val="single" w:color="auto" w:sz="4" w:space="0"/>
            </w:tcBorders>
            <w:vAlign w:val="center"/>
          </w:tcPr>
          <w:p w14:paraId="644DD8D9">
            <w:pPr>
              <w:wordWrap w:val="0"/>
              <w:spacing w:line="440" w:lineRule="exact"/>
              <w:jc w:val="center"/>
              <w:rPr>
                <w:rFonts w:eastAsia="宋体" w:cs="宋体"/>
                <w:color w:val="auto"/>
                <w:lang w:eastAsia="zh-CN" w:bidi="ar-SA"/>
              </w:rPr>
            </w:pPr>
          </w:p>
        </w:tc>
        <w:tc>
          <w:tcPr>
            <w:tcW w:w="1276" w:type="dxa"/>
            <w:tcBorders>
              <w:top w:val="single" w:color="auto" w:sz="4" w:space="0"/>
              <w:left w:val="single" w:color="auto" w:sz="4" w:space="0"/>
              <w:bottom w:val="single" w:color="auto" w:sz="4" w:space="0"/>
              <w:right w:val="single" w:color="auto" w:sz="4" w:space="0"/>
            </w:tcBorders>
            <w:vAlign w:val="center"/>
          </w:tcPr>
          <w:p w14:paraId="1984FB63">
            <w:pPr>
              <w:wordWrap w:val="0"/>
              <w:spacing w:line="440" w:lineRule="exact"/>
              <w:jc w:val="center"/>
              <w:rPr>
                <w:rFonts w:eastAsia="宋体" w:cs="宋体"/>
                <w:color w:val="auto"/>
                <w:lang w:eastAsia="zh-CN" w:bidi="ar-SA"/>
              </w:rPr>
            </w:pPr>
          </w:p>
        </w:tc>
        <w:tc>
          <w:tcPr>
            <w:tcW w:w="1276" w:type="dxa"/>
            <w:tcBorders>
              <w:top w:val="single" w:color="auto" w:sz="4" w:space="0"/>
              <w:left w:val="single" w:color="auto" w:sz="4" w:space="0"/>
              <w:bottom w:val="single" w:color="auto" w:sz="4" w:space="0"/>
              <w:right w:val="single" w:color="auto" w:sz="4" w:space="0"/>
            </w:tcBorders>
            <w:vAlign w:val="center"/>
          </w:tcPr>
          <w:p w14:paraId="1DACD6CA">
            <w:pPr>
              <w:wordWrap w:val="0"/>
              <w:spacing w:line="440" w:lineRule="exact"/>
              <w:jc w:val="center"/>
              <w:rPr>
                <w:rFonts w:eastAsia="宋体" w:cs="宋体"/>
                <w:color w:val="auto"/>
                <w:lang w:eastAsia="zh-CN" w:bidi="ar-SA"/>
              </w:rPr>
            </w:pPr>
          </w:p>
        </w:tc>
        <w:tc>
          <w:tcPr>
            <w:tcW w:w="1701" w:type="dxa"/>
            <w:tcBorders>
              <w:top w:val="single" w:color="auto" w:sz="4" w:space="0"/>
              <w:left w:val="single" w:color="auto" w:sz="4" w:space="0"/>
              <w:bottom w:val="single" w:color="auto" w:sz="4" w:space="0"/>
              <w:right w:val="single" w:color="auto" w:sz="4" w:space="0"/>
            </w:tcBorders>
            <w:vAlign w:val="center"/>
          </w:tcPr>
          <w:p w14:paraId="0AB8C459">
            <w:pPr>
              <w:wordWrap w:val="0"/>
              <w:spacing w:line="440" w:lineRule="exact"/>
              <w:jc w:val="center"/>
              <w:rPr>
                <w:rFonts w:eastAsia="宋体" w:cs="宋体"/>
                <w:color w:val="auto"/>
                <w:lang w:eastAsia="zh-CN" w:bidi="ar-SA"/>
              </w:rPr>
            </w:pPr>
          </w:p>
        </w:tc>
        <w:tc>
          <w:tcPr>
            <w:tcW w:w="1559" w:type="dxa"/>
            <w:tcBorders>
              <w:top w:val="single" w:color="auto" w:sz="4" w:space="0"/>
              <w:left w:val="single" w:color="auto" w:sz="4" w:space="0"/>
              <w:bottom w:val="single" w:color="auto" w:sz="4" w:space="0"/>
              <w:right w:val="single" w:color="auto" w:sz="4" w:space="0"/>
            </w:tcBorders>
            <w:vAlign w:val="center"/>
          </w:tcPr>
          <w:p w14:paraId="6D515050">
            <w:pPr>
              <w:wordWrap w:val="0"/>
              <w:spacing w:line="440" w:lineRule="exact"/>
              <w:jc w:val="center"/>
              <w:rPr>
                <w:rFonts w:eastAsia="宋体" w:cs="宋体"/>
                <w:color w:val="auto"/>
                <w:lang w:eastAsia="zh-CN" w:bidi="ar-SA"/>
              </w:rPr>
            </w:pPr>
          </w:p>
        </w:tc>
        <w:tc>
          <w:tcPr>
            <w:tcW w:w="992" w:type="dxa"/>
            <w:tcBorders>
              <w:top w:val="single" w:color="auto" w:sz="4" w:space="0"/>
              <w:left w:val="single" w:color="auto" w:sz="4" w:space="0"/>
              <w:bottom w:val="single" w:color="auto" w:sz="4" w:space="0"/>
              <w:right w:val="single" w:color="auto" w:sz="4" w:space="0"/>
            </w:tcBorders>
            <w:vAlign w:val="center"/>
          </w:tcPr>
          <w:p w14:paraId="6382FFED">
            <w:pPr>
              <w:wordWrap w:val="0"/>
              <w:spacing w:line="440" w:lineRule="exact"/>
              <w:jc w:val="center"/>
              <w:rPr>
                <w:rFonts w:eastAsia="宋体" w:cs="宋体"/>
                <w:color w:val="auto"/>
                <w:lang w:eastAsia="zh-CN" w:bidi="ar-SA"/>
              </w:rPr>
            </w:pPr>
          </w:p>
        </w:tc>
        <w:tc>
          <w:tcPr>
            <w:tcW w:w="1473" w:type="dxa"/>
            <w:tcBorders>
              <w:top w:val="single" w:color="auto" w:sz="4" w:space="0"/>
              <w:left w:val="single" w:color="auto" w:sz="4" w:space="0"/>
              <w:bottom w:val="single" w:color="auto" w:sz="4" w:space="0"/>
              <w:right w:val="single" w:color="auto" w:sz="4" w:space="0"/>
            </w:tcBorders>
            <w:vAlign w:val="center"/>
          </w:tcPr>
          <w:p w14:paraId="33A11279">
            <w:pPr>
              <w:wordWrap w:val="0"/>
              <w:spacing w:line="440" w:lineRule="exact"/>
              <w:jc w:val="center"/>
              <w:rPr>
                <w:rFonts w:eastAsia="宋体" w:cs="宋体"/>
                <w:color w:val="auto"/>
                <w:lang w:eastAsia="zh-CN" w:bidi="ar-SA"/>
              </w:rPr>
            </w:pPr>
          </w:p>
        </w:tc>
      </w:tr>
      <w:tr w14:paraId="024FB6E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817" w:type="dxa"/>
            <w:tcBorders>
              <w:top w:val="single" w:color="auto" w:sz="4" w:space="0"/>
              <w:left w:val="single" w:color="auto" w:sz="4" w:space="0"/>
              <w:bottom w:val="single" w:color="auto" w:sz="4" w:space="0"/>
              <w:right w:val="single" w:color="auto" w:sz="4" w:space="0"/>
            </w:tcBorders>
            <w:vAlign w:val="center"/>
          </w:tcPr>
          <w:p w14:paraId="6C5C43B9">
            <w:pPr>
              <w:wordWrap w:val="0"/>
              <w:spacing w:line="440" w:lineRule="exact"/>
              <w:jc w:val="center"/>
              <w:rPr>
                <w:rFonts w:eastAsia="宋体" w:cs="宋体"/>
                <w:color w:val="auto"/>
                <w:lang w:eastAsia="zh-CN" w:bidi="ar-SA"/>
              </w:rPr>
            </w:pPr>
          </w:p>
        </w:tc>
        <w:tc>
          <w:tcPr>
            <w:tcW w:w="1276" w:type="dxa"/>
            <w:tcBorders>
              <w:top w:val="single" w:color="auto" w:sz="4" w:space="0"/>
              <w:left w:val="single" w:color="auto" w:sz="4" w:space="0"/>
              <w:bottom w:val="single" w:color="auto" w:sz="4" w:space="0"/>
              <w:right w:val="single" w:color="auto" w:sz="4" w:space="0"/>
            </w:tcBorders>
            <w:vAlign w:val="center"/>
          </w:tcPr>
          <w:p w14:paraId="2A9F0FBD">
            <w:pPr>
              <w:wordWrap w:val="0"/>
              <w:spacing w:line="440" w:lineRule="exact"/>
              <w:jc w:val="center"/>
              <w:rPr>
                <w:rFonts w:eastAsia="宋体" w:cs="宋体"/>
                <w:color w:val="auto"/>
                <w:lang w:eastAsia="zh-CN" w:bidi="ar-SA"/>
              </w:rPr>
            </w:pPr>
          </w:p>
        </w:tc>
        <w:tc>
          <w:tcPr>
            <w:tcW w:w="1276" w:type="dxa"/>
            <w:tcBorders>
              <w:top w:val="single" w:color="auto" w:sz="4" w:space="0"/>
              <w:left w:val="single" w:color="auto" w:sz="4" w:space="0"/>
              <w:bottom w:val="single" w:color="auto" w:sz="4" w:space="0"/>
              <w:right w:val="single" w:color="auto" w:sz="4" w:space="0"/>
            </w:tcBorders>
            <w:vAlign w:val="center"/>
          </w:tcPr>
          <w:p w14:paraId="332B7F22">
            <w:pPr>
              <w:wordWrap w:val="0"/>
              <w:spacing w:line="440" w:lineRule="exact"/>
              <w:jc w:val="center"/>
              <w:rPr>
                <w:rFonts w:eastAsia="宋体" w:cs="宋体"/>
                <w:color w:val="auto"/>
                <w:lang w:eastAsia="zh-CN" w:bidi="ar-SA"/>
              </w:rPr>
            </w:pPr>
          </w:p>
        </w:tc>
        <w:tc>
          <w:tcPr>
            <w:tcW w:w="1701" w:type="dxa"/>
            <w:tcBorders>
              <w:top w:val="single" w:color="auto" w:sz="4" w:space="0"/>
              <w:left w:val="single" w:color="auto" w:sz="4" w:space="0"/>
              <w:bottom w:val="single" w:color="auto" w:sz="4" w:space="0"/>
              <w:right w:val="single" w:color="auto" w:sz="4" w:space="0"/>
            </w:tcBorders>
            <w:vAlign w:val="center"/>
          </w:tcPr>
          <w:p w14:paraId="26B8FB0B">
            <w:pPr>
              <w:wordWrap w:val="0"/>
              <w:spacing w:line="440" w:lineRule="exact"/>
              <w:jc w:val="center"/>
              <w:rPr>
                <w:rFonts w:eastAsia="宋体" w:cs="宋体"/>
                <w:color w:val="auto"/>
                <w:lang w:eastAsia="zh-CN" w:bidi="ar-SA"/>
              </w:rPr>
            </w:pPr>
          </w:p>
        </w:tc>
        <w:tc>
          <w:tcPr>
            <w:tcW w:w="1559" w:type="dxa"/>
            <w:tcBorders>
              <w:top w:val="single" w:color="auto" w:sz="4" w:space="0"/>
              <w:left w:val="single" w:color="auto" w:sz="4" w:space="0"/>
              <w:bottom w:val="single" w:color="auto" w:sz="4" w:space="0"/>
              <w:right w:val="single" w:color="auto" w:sz="4" w:space="0"/>
            </w:tcBorders>
            <w:vAlign w:val="center"/>
          </w:tcPr>
          <w:p w14:paraId="2183979C">
            <w:pPr>
              <w:wordWrap w:val="0"/>
              <w:spacing w:line="440" w:lineRule="exact"/>
              <w:jc w:val="center"/>
              <w:rPr>
                <w:rFonts w:eastAsia="宋体" w:cs="宋体"/>
                <w:color w:val="auto"/>
                <w:lang w:eastAsia="zh-CN" w:bidi="ar-SA"/>
              </w:rPr>
            </w:pPr>
          </w:p>
        </w:tc>
        <w:tc>
          <w:tcPr>
            <w:tcW w:w="992" w:type="dxa"/>
            <w:tcBorders>
              <w:top w:val="single" w:color="auto" w:sz="4" w:space="0"/>
              <w:left w:val="single" w:color="auto" w:sz="4" w:space="0"/>
              <w:bottom w:val="single" w:color="auto" w:sz="4" w:space="0"/>
              <w:right w:val="single" w:color="auto" w:sz="4" w:space="0"/>
            </w:tcBorders>
            <w:vAlign w:val="center"/>
          </w:tcPr>
          <w:p w14:paraId="505C0181">
            <w:pPr>
              <w:wordWrap w:val="0"/>
              <w:spacing w:line="440" w:lineRule="exact"/>
              <w:jc w:val="center"/>
              <w:rPr>
                <w:rFonts w:eastAsia="宋体" w:cs="宋体"/>
                <w:color w:val="auto"/>
                <w:lang w:eastAsia="zh-CN" w:bidi="ar-SA"/>
              </w:rPr>
            </w:pPr>
          </w:p>
        </w:tc>
        <w:tc>
          <w:tcPr>
            <w:tcW w:w="1473" w:type="dxa"/>
            <w:tcBorders>
              <w:top w:val="single" w:color="auto" w:sz="4" w:space="0"/>
              <w:left w:val="single" w:color="auto" w:sz="4" w:space="0"/>
              <w:bottom w:val="single" w:color="auto" w:sz="4" w:space="0"/>
              <w:right w:val="single" w:color="auto" w:sz="4" w:space="0"/>
            </w:tcBorders>
            <w:vAlign w:val="center"/>
          </w:tcPr>
          <w:p w14:paraId="74B296CA">
            <w:pPr>
              <w:wordWrap w:val="0"/>
              <w:spacing w:line="440" w:lineRule="exact"/>
              <w:jc w:val="center"/>
              <w:rPr>
                <w:rFonts w:eastAsia="宋体" w:cs="宋体"/>
                <w:color w:val="auto"/>
                <w:lang w:eastAsia="zh-CN" w:bidi="ar-SA"/>
              </w:rPr>
            </w:pPr>
          </w:p>
        </w:tc>
      </w:tr>
      <w:tr w14:paraId="2BCF380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817" w:type="dxa"/>
            <w:tcBorders>
              <w:top w:val="single" w:color="auto" w:sz="4" w:space="0"/>
              <w:left w:val="single" w:color="auto" w:sz="4" w:space="0"/>
              <w:bottom w:val="single" w:color="auto" w:sz="4" w:space="0"/>
              <w:right w:val="single" w:color="auto" w:sz="4" w:space="0"/>
            </w:tcBorders>
            <w:vAlign w:val="center"/>
          </w:tcPr>
          <w:p w14:paraId="4729592B">
            <w:pPr>
              <w:wordWrap w:val="0"/>
              <w:spacing w:line="440" w:lineRule="exact"/>
              <w:jc w:val="center"/>
              <w:rPr>
                <w:rFonts w:eastAsia="宋体" w:cs="宋体"/>
                <w:color w:val="auto"/>
                <w:lang w:eastAsia="zh-CN" w:bidi="ar-SA"/>
              </w:rPr>
            </w:pPr>
          </w:p>
        </w:tc>
        <w:tc>
          <w:tcPr>
            <w:tcW w:w="1276" w:type="dxa"/>
            <w:tcBorders>
              <w:top w:val="single" w:color="auto" w:sz="4" w:space="0"/>
              <w:left w:val="single" w:color="auto" w:sz="4" w:space="0"/>
              <w:bottom w:val="single" w:color="auto" w:sz="4" w:space="0"/>
              <w:right w:val="single" w:color="auto" w:sz="4" w:space="0"/>
            </w:tcBorders>
            <w:vAlign w:val="center"/>
          </w:tcPr>
          <w:p w14:paraId="184EB3DF">
            <w:pPr>
              <w:wordWrap w:val="0"/>
              <w:spacing w:line="440" w:lineRule="exact"/>
              <w:jc w:val="center"/>
              <w:rPr>
                <w:rFonts w:eastAsia="宋体" w:cs="宋体"/>
                <w:color w:val="auto"/>
                <w:lang w:eastAsia="zh-CN" w:bidi="ar-SA"/>
              </w:rPr>
            </w:pPr>
          </w:p>
        </w:tc>
        <w:tc>
          <w:tcPr>
            <w:tcW w:w="1276" w:type="dxa"/>
            <w:tcBorders>
              <w:top w:val="single" w:color="auto" w:sz="4" w:space="0"/>
              <w:left w:val="single" w:color="auto" w:sz="4" w:space="0"/>
              <w:bottom w:val="single" w:color="auto" w:sz="4" w:space="0"/>
              <w:right w:val="single" w:color="auto" w:sz="4" w:space="0"/>
            </w:tcBorders>
            <w:vAlign w:val="center"/>
          </w:tcPr>
          <w:p w14:paraId="1E57360D">
            <w:pPr>
              <w:wordWrap w:val="0"/>
              <w:spacing w:line="440" w:lineRule="exact"/>
              <w:jc w:val="center"/>
              <w:rPr>
                <w:rFonts w:eastAsia="宋体" w:cs="宋体"/>
                <w:color w:val="auto"/>
                <w:lang w:eastAsia="zh-CN" w:bidi="ar-SA"/>
              </w:rPr>
            </w:pPr>
          </w:p>
        </w:tc>
        <w:tc>
          <w:tcPr>
            <w:tcW w:w="1701" w:type="dxa"/>
            <w:tcBorders>
              <w:top w:val="single" w:color="auto" w:sz="4" w:space="0"/>
              <w:left w:val="single" w:color="auto" w:sz="4" w:space="0"/>
              <w:bottom w:val="single" w:color="auto" w:sz="4" w:space="0"/>
              <w:right w:val="single" w:color="auto" w:sz="4" w:space="0"/>
            </w:tcBorders>
            <w:vAlign w:val="center"/>
          </w:tcPr>
          <w:p w14:paraId="12C14181">
            <w:pPr>
              <w:wordWrap w:val="0"/>
              <w:spacing w:line="440" w:lineRule="exact"/>
              <w:jc w:val="center"/>
              <w:rPr>
                <w:rFonts w:eastAsia="宋体" w:cs="宋体"/>
                <w:color w:val="auto"/>
                <w:lang w:eastAsia="zh-CN" w:bidi="ar-SA"/>
              </w:rPr>
            </w:pPr>
          </w:p>
        </w:tc>
        <w:tc>
          <w:tcPr>
            <w:tcW w:w="1559" w:type="dxa"/>
            <w:tcBorders>
              <w:top w:val="single" w:color="auto" w:sz="4" w:space="0"/>
              <w:left w:val="single" w:color="auto" w:sz="4" w:space="0"/>
              <w:bottom w:val="single" w:color="auto" w:sz="4" w:space="0"/>
              <w:right w:val="single" w:color="auto" w:sz="4" w:space="0"/>
            </w:tcBorders>
            <w:vAlign w:val="center"/>
          </w:tcPr>
          <w:p w14:paraId="1AFAAEDC">
            <w:pPr>
              <w:wordWrap w:val="0"/>
              <w:spacing w:line="440" w:lineRule="exact"/>
              <w:jc w:val="center"/>
              <w:rPr>
                <w:rFonts w:eastAsia="宋体" w:cs="宋体"/>
                <w:color w:val="auto"/>
                <w:lang w:eastAsia="zh-CN" w:bidi="ar-SA"/>
              </w:rPr>
            </w:pPr>
          </w:p>
        </w:tc>
        <w:tc>
          <w:tcPr>
            <w:tcW w:w="992" w:type="dxa"/>
            <w:tcBorders>
              <w:top w:val="single" w:color="auto" w:sz="4" w:space="0"/>
              <w:left w:val="single" w:color="auto" w:sz="4" w:space="0"/>
              <w:bottom w:val="single" w:color="auto" w:sz="4" w:space="0"/>
              <w:right w:val="single" w:color="auto" w:sz="4" w:space="0"/>
            </w:tcBorders>
            <w:vAlign w:val="center"/>
          </w:tcPr>
          <w:p w14:paraId="1E12DBDB">
            <w:pPr>
              <w:wordWrap w:val="0"/>
              <w:spacing w:line="440" w:lineRule="exact"/>
              <w:jc w:val="center"/>
              <w:rPr>
                <w:rFonts w:eastAsia="宋体" w:cs="宋体"/>
                <w:color w:val="auto"/>
                <w:lang w:eastAsia="zh-CN" w:bidi="ar-SA"/>
              </w:rPr>
            </w:pPr>
          </w:p>
        </w:tc>
        <w:tc>
          <w:tcPr>
            <w:tcW w:w="1473" w:type="dxa"/>
            <w:tcBorders>
              <w:top w:val="single" w:color="auto" w:sz="4" w:space="0"/>
              <w:left w:val="single" w:color="auto" w:sz="4" w:space="0"/>
              <w:bottom w:val="single" w:color="auto" w:sz="4" w:space="0"/>
              <w:right w:val="single" w:color="auto" w:sz="4" w:space="0"/>
            </w:tcBorders>
            <w:vAlign w:val="center"/>
          </w:tcPr>
          <w:p w14:paraId="5489214C">
            <w:pPr>
              <w:wordWrap w:val="0"/>
              <w:spacing w:line="440" w:lineRule="exact"/>
              <w:jc w:val="center"/>
              <w:rPr>
                <w:rFonts w:eastAsia="宋体" w:cs="宋体"/>
                <w:color w:val="auto"/>
                <w:lang w:eastAsia="zh-CN" w:bidi="ar-SA"/>
              </w:rPr>
            </w:pPr>
          </w:p>
        </w:tc>
      </w:tr>
      <w:tr w14:paraId="0810B52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817" w:type="dxa"/>
            <w:tcBorders>
              <w:top w:val="single" w:color="auto" w:sz="4" w:space="0"/>
              <w:left w:val="single" w:color="auto" w:sz="4" w:space="0"/>
              <w:bottom w:val="single" w:color="auto" w:sz="4" w:space="0"/>
              <w:right w:val="single" w:color="auto" w:sz="4" w:space="0"/>
            </w:tcBorders>
            <w:vAlign w:val="center"/>
          </w:tcPr>
          <w:p w14:paraId="47A62396">
            <w:pPr>
              <w:wordWrap w:val="0"/>
              <w:spacing w:line="440" w:lineRule="exact"/>
              <w:jc w:val="center"/>
              <w:rPr>
                <w:rFonts w:eastAsia="宋体" w:cs="宋体"/>
                <w:color w:val="auto"/>
                <w:lang w:eastAsia="zh-CN" w:bidi="ar-SA"/>
              </w:rPr>
            </w:pPr>
          </w:p>
        </w:tc>
        <w:tc>
          <w:tcPr>
            <w:tcW w:w="1276" w:type="dxa"/>
            <w:tcBorders>
              <w:top w:val="single" w:color="auto" w:sz="4" w:space="0"/>
              <w:left w:val="single" w:color="auto" w:sz="4" w:space="0"/>
              <w:bottom w:val="single" w:color="auto" w:sz="4" w:space="0"/>
              <w:right w:val="single" w:color="auto" w:sz="4" w:space="0"/>
            </w:tcBorders>
            <w:vAlign w:val="center"/>
          </w:tcPr>
          <w:p w14:paraId="4BB01BAA">
            <w:pPr>
              <w:wordWrap w:val="0"/>
              <w:spacing w:line="440" w:lineRule="exact"/>
              <w:jc w:val="center"/>
              <w:rPr>
                <w:rFonts w:eastAsia="宋体" w:cs="宋体"/>
                <w:color w:val="auto"/>
                <w:lang w:eastAsia="zh-CN" w:bidi="ar-SA"/>
              </w:rPr>
            </w:pPr>
          </w:p>
        </w:tc>
        <w:tc>
          <w:tcPr>
            <w:tcW w:w="1276" w:type="dxa"/>
            <w:tcBorders>
              <w:top w:val="single" w:color="auto" w:sz="4" w:space="0"/>
              <w:left w:val="single" w:color="auto" w:sz="4" w:space="0"/>
              <w:bottom w:val="single" w:color="auto" w:sz="4" w:space="0"/>
              <w:right w:val="single" w:color="auto" w:sz="4" w:space="0"/>
            </w:tcBorders>
            <w:vAlign w:val="center"/>
          </w:tcPr>
          <w:p w14:paraId="3E22315C">
            <w:pPr>
              <w:wordWrap w:val="0"/>
              <w:spacing w:line="440" w:lineRule="exact"/>
              <w:jc w:val="center"/>
              <w:rPr>
                <w:rFonts w:eastAsia="宋体" w:cs="宋体"/>
                <w:color w:val="auto"/>
                <w:lang w:eastAsia="zh-CN" w:bidi="ar-SA"/>
              </w:rPr>
            </w:pPr>
          </w:p>
        </w:tc>
        <w:tc>
          <w:tcPr>
            <w:tcW w:w="1701" w:type="dxa"/>
            <w:tcBorders>
              <w:top w:val="single" w:color="auto" w:sz="4" w:space="0"/>
              <w:left w:val="single" w:color="auto" w:sz="4" w:space="0"/>
              <w:bottom w:val="single" w:color="auto" w:sz="4" w:space="0"/>
              <w:right w:val="single" w:color="auto" w:sz="4" w:space="0"/>
            </w:tcBorders>
            <w:vAlign w:val="center"/>
          </w:tcPr>
          <w:p w14:paraId="40CC5FC7">
            <w:pPr>
              <w:wordWrap w:val="0"/>
              <w:spacing w:line="440" w:lineRule="exact"/>
              <w:jc w:val="center"/>
              <w:rPr>
                <w:rFonts w:eastAsia="宋体" w:cs="宋体"/>
                <w:color w:val="auto"/>
                <w:lang w:eastAsia="zh-CN" w:bidi="ar-SA"/>
              </w:rPr>
            </w:pPr>
          </w:p>
        </w:tc>
        <w:tc>
          <w:tcPr>
            <w:tcW w:w="1559" w:type="dxa"/>
            <w:tcBorders>
              <w:top w:val="single" w:color="auto" w:sz="4" w:space="0"/>
              <w:left w:val="single" w:color="auto" w:sz="4" w:space="0"/>
              <w:bottom w:val="single" w:color="auto" w:sz="4" w:space="0"/>
              <w:right w:val="single" w:color="auto" w:sz="4" w:space="0"/>
            </w:tcBorders>
            <w:vAlign w:val="center"/>
          </w:tcPr>
          <w:p w14:paraId="7B832876">
            <w:pPr>
              <w:wordWrap w:val="0"/>
              <w:spacing w:line="440" w:lineRule="exact"/>
              <w:jc w:val="center"/>
              <w:rPr>
                <w:rFonts w:eastAsia="宋体" w:cs="宋体"/>
                <w:color w:val="auto"/>
                <w:lang w:eastAsia="zh-CN" w:bidi="ar-SA"/>
              </w:rPr>
            </w:pPr>
          </w:p>
        </w:tc>
        <w:tc>
          <w:tcPr>
            <w:tcW w:w="992" w:type="dxa"/>
            <w:tcBorders>
              <w:top w:val="single" w:color="auto" w:sz="4" w:space="0"/>
              <w:left w:val="single" w:color="auto" w:sz="4" w:space="0"/>
              <w:bottom w:val="single" w:color="auto" w:sz="4" w:space="0"/>
              <w:right w:val="single" w:color="auto" w:sz="4" w:space="0"/>
            </w:tcBorders>
            <w:vAlign w:val="center"/>
          </w:tcPr>
          <w:p w14:paraId="71B42888">
            <w:pPr>
              <w:wordWrap w:val="0"/>
              <w:spacing w:line="440" w:lineRule="exact"/>
              <w:jc w:val="center"/>
              <w:rPr>
                <w:rFonts w:eastAsia="宋体" w:cs="宋体"/>
                <w:color w:val="auto"/>
                <w:lang w:eastAsia="zh-CN" w:bidi="ar-SA"/>
              </w:rPr>
            </w:pPr>
          </w:p>
        </w:tc>
        <w:tc>
          <w:tcPr>
            <w:tcW w:w="1473" w:type="dxa"/>
            <w:tcBorders>
              <w:top w:val="single" w:color="auto" w:sz="4" w:space="0"/>
              <w:left w:val="single" w:color="auto" w:sz="4" w:space="0"/>
              <w:bottom w:val="single" w:color="auto" w:sz="4" w:space="0"/>
              <w:right w:val="single" w:color="auto" w:sz="4" w:space="0"/>
            </w:tcBorders>
            <w:vAlign w:val="center"/>
          </w:tcPr>
          <w:p w14:paraId="2783D860">
            <w:pPr>
              <w:wordWrap w:val="0"/>
              <w:spacing w:line="440" w:lineRule="exact"/>
              <w:jc w:val="center"/>
              <w:rPr>
                <w:rFonts w:eastAsia="宋体" w:cs="宋体"/>
                <w:color w:val="auto"/>
                <w:lang w:eastAsia="zh-CN" w:bidi="ar-SA"/>
              </w:rPr>
            </w:pPr>
          </w:p>
        </w:tc>
      </w:tr>
      <w:tr w14:paraId="3514E50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817" w:type="dxa"/>
            <w:tcBorders>
              <w:top w:val="single" w:color="auto" w:sz="4" w:space="0"/>
              <w:left w:val="single" w:color="auto" w:sz="4" w:space="0"/>
              <w:bottom w:val="single" w:color="auto" w:sz="4" w:space="0"/>
              <w:right w:val="single" w:color="auto" w:sz="4" w:space="0"/>
            </w:tcBorders>
            <w:vAlign w:val="center"/>
          </w:tcPr>
          <w:p w14:paraId="0402E161">
            <w:pPr>
              <w:wordWrap w:val="0"/>
              <w:spacing w:line="440" w:lineRule="exact"/>
              <w:jc w:val="center"/>
              <w:rPr>
                <w:rFonts w:eastAsia="宋体" w:cs="宋体"/>
                <w:color w:val="auto"/>
                <w:lang w:eastAsia="zh-CN" w:bidi="ar-SA"/>
              </w:rPr>
            </w:pPr>
          </w:p>
        </w:tc>
        <w:tc>
          <w:tcPr>
            <w:tcW w:w="1276" w:type="dxa"/>
            <w:tcBorders>
              <w:top w:val="single" w:color="auto" w:sz="4" w:space="0"/>
              <w:left w:val="single" w:color="auto" w:sz="4" w:space="0"/>
              <w:bottom w:val="single" w:color="auto" w:sz="4" w:space="0"/>
              <w:right w:val="single" w:color="auto" w:sz="4" w:space="0"/>
            </w:tcBorders>
            <w:vAlign w:val="center"/>
          </w:tcPr>
          <w:p w14:paraId="7D8D06E6">
            <w:pPr>
              <w:wordWrap w:val="0"/>
              <w:spacing w:line="440" w:lineRule="exact"/>
              <w:jc w:val="center"/>
              <w:rPr>
                <w:rFonts w:eastAsia="宋体" w:cs="宋体"/>
                <w:color w:val="auto"/>
                <w:lang w:eastAsia="zh-CN" w:bidi="ar-SA"/>
              </w:rPr>
            </w:pPr>
          </w:p>
        </w:tc>
        <w:tc>
          <w:tcPr>
            <w:tcW w:w="1276" w:type="dxa"/>
            <w:tcBorders>
              <w:top w:val="single" w:color="auto" w:sz="4" w:space="0"/>
              <w:left w:val="single" w:color="auto" w:sz="4" w:space="0"/>
              <w:bottom w:val="single" w:color="auto" w:sz="4" w:space="0"/>
              <w:right w:val="single" w:color="auto" w:sz="4" w:space="0"/>
            </w:tcBorders>
            <w:vAlign w:val="center"/>
          </w:tcPr>
          <w:p w14:paraId="264E9C65">
            <w:pPr>
              <w:wordWrap w:val="0"/>
              <w:spacing w:line="440" w:lineRule="exact"/>
              <w:jc w:val="center"/>
              <w:rPr>
                <w:rFonts w:eastAsia="宋体" w:cs="宋体"/>
                <w:color w:val="auto"/>
                <w:lang w:eastAsia="zh-CN" w:bidi="ar-SA"/>
              </w:rPr>
            </w:pPr>
          </w:p>
        </w:tc>
        <w:tc>
          <w:tcPr>
            <w:tcW w:w="1701" w:type="dxa"/>
            <w:tcBorders>
              <w:top w:val="single" w:color="auto" w:sz="4" w:space="0"/>
              <w:left w:val="single" w:color="auto" w:sz="4" w:space="0"/>
              <w:bottom w:val="single" w:color="auto" w:sz="4" w:space="0"/>
              <w:right w:val="single" w:color="auto" w:sz="4" w:space="0"/>
            </w:tcBorders>
            <w:vAlign w:val="center"/>
          </w:tcPr>
          <w:p w14:paraId="30D28577">
            <w:pPr>
              <w:wordWrap w:val="0"/>
              <w:spacing w:line="440" w:lineRule="exact"/>
              <w:jc w:val="center"/>
              <w:rPr>
                <w:rFonts w:eastAsia="宋体" w:cs="宋体"/>
                <w:color w:val="auto"/>
                <w:lang w:eastAsia="zh-CN" w:bidi="ar-SA"/>
              </w:rPr>
            </w:pPr>
          </w:p>
        </w:tc>
        <w:tc>
          <w:tcPr>
            <w:tcW w:w="1559" w:type="dxa"/>
            <w:tcBorders>
              <w:top w:val="single" w:color="auto" w:sz="4" w:space="0"/>
              <w:left w:val="single" w:color="auto" w:sz="4" w:space="0"/>
              <w:bottom w:val="single" w:color="auto" w:sz="4" w:space="0"/>
              <w:right w:val="single" w:color="auto" w:sz="4" w:space="0"/>
            </w:tcBorders>
            <w:vAlign w:val="center"/>
          </w:tcPr>
          <w:p w14:paraId="1756F79B">
            <w:pPr>
              <w:wordWrap w:val="0"/>
              <w:spacing w:line="440" w:lineRule="exact"/>
              <w:jc w:val="center"/>
              <w:rPr>
                <w:rFonts w:eastAsia="宋体" w:cs="宋体"/>
                <w:color w:val="auto"/>
                <w:lang w:eastAsia="zh-CN" w:bidi="ar-SA"/>
              </w:rPr>
            </w:pPr>
          </w:p>
        </w:tc>
        <w:tc>
          <w:tcPr>
            <w:tcW w:w="992" w:type="dxa"/>
            <w:tcBorders>
              <w:top w:val="single" w:color="auto" w:sz="4" w:space="0"/>
              <w:left w:val="single" w:color="auto" w:sz="4" w:space="0"/>
              <w:bottom w:val="single" w:color="auto" w:sz="4" w:space="0"/>
              <w:right w:val="single" w:color="auto" w:sz="4" w:space="0"/>
            </w:tcBorders>
            <w:vAlign w:val="center"/>
          </w:tcPr>
          <w:p w14:paraId="7E65B2D2">
            <w:pPr>
              <w:wordWrap w:val="0"/>
              <w:spacing w:line="440" w:lineRule="exact"/>
              <w:jc w:val="center"/>
              <w:rPr>
                <w:rFonts w:eastAsia="宋体" w:cs="宋体"/>
                <w:color w:val="auto"/>
                <w:lang w:eastAsia="zh-CN" w:bidi="ar-SA"/>
              </w:rPr>
            </w:pPr>
          </w:p>
        </w:tc>
        <w:tc>
          <w:tcPr>
            <w:tcW w:w="1473" w:type="dxa"/>
            <w:tcBorders>
              <w:top w:val="single" w:color="auto" w:sz="4" w:space="0"/>
              <w:left w:val="single" w:color="auto" w:sz="4" w:space="0"/>
              <w:bottom w:val="single" w:color="auto" w:sz="4" w:space="0"/>
              <w:right w:val="single" w:color="auto" w:sz="4" w:space="0"/>
            </w:tcBorders>
            <w:vAlign w:val="center"/>
          </w:tcPr>
          <w:p w14:paraId="1E8A275D">
            <w:pPr>
              <w:wordWrap w:val="0"/>
              <w:spacing w:line="440" w:lineRule="exact"/>
              <w:jc w:val="center"/>
              <w:rPr>
                <w:rFonts w:eastAsia="宋体" w:cs="宋体"/>
                <w:color w:val="auto"/>
                <w:lang w:eastAsia="zh-CN" w:bidi="ar-SA"/>
              </w:rPr>
            </w:pPr>
          </w:p>
        </w:tc>
      </w:tr>
      <w:tr w14:paraId="672B2A1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817" w:type="dxa"/>
            <w:tcBorders>
              <w:top w:val="single" w:color="auto" w:sz="4" w:space="0"/>
              <w:left w:val="single" w:color="auto" w:sz="4" w:space="0"/>
              <w:bottom w:val="single" w:color="auto" w:sz="4" w:space="0"/>
              <w:right w:val="single" w:color="auto" w:sz="4" w:space="0"/>
            </w:tcBorders>
            <w:vAlign w:val="center"/>
          </w:tcPr>
          <w:p w14:paraId="7DA38AB1">
            <w:pPr>
              <w:wordWrap w:val="0"/>
              <w:spacing w:line="440" w:lineRule="exact"/>
              <w:jc w:val="center"/>
              <w:rPr>
                <w:rFonts w:eastAsia="宋体" w:cs="宋体"/>
                <w:color w:val="auto"/>
                <w:lang w:eastAsia="zh-CN" w:bidi="ar-SA"/>
              </w:rPr>
            </w:pPr>
          </w:p>
        </w:tc>
        <w:tc>
          <w:tcPr>
            <w:tcW w:w="1276" w:type="dxa"/>
            <w:tcBorders>
              <w:top w:val="single" w:color="auto" w:sz="4" w:space="0"/>
              <w:left w:val="single" w:color="auto" w:sz="4" w:space="0"/>
              <w:bottom w:val="single" w:color="auto" w:sz="4" w:space="0"/>
              <w:right w:val="single" w:color="auto" w:sz="4" w:space="0"/>
            </w:tcBorders>
            <w:vAlign w:val="center"/>
          </w:tcPr>
          <w:p w14:paraId="060CB53F">
            <w:pPr>
              <w:wordWrap w:val="0"/>
              <w:spacing w:line="440" w:lineRule="exact"/>
              <w:jc w:val="center"/>
              <w:rPr>
                <w:rFonts w:eastAsia="宋体" w:cs="宋体"/>
                <w:color w:val="auto"/>
                <w:lang w:eastAsia="zh-CN" w:bidi="ar-SA"/>
              </w:rPr>
            </w:pPr>
          </w:p>
        </w:tc>
        <w:tc>
          <w:tcPr>
            <w:tcW w:w="1276" w:type="dxa"/>
            <w:tcBorders>
              <w:top w:val="single" w:color="auto" w:sz="4" w:space="0"/>
              <w:left w:val="single" w:color="auto" w:sz="4" w:space="0"/>
              <w:bottom w:val="single" w:color="auto" w:sz="4" w:space="0"/>
              <w:right w:val="single" w:color="auto" w:sz="4" w:space="0"/>
            </w:tcBorders>
            <w:vAlign w:val="center"/>
          </w:tcPr>
          <w:p w14:paraId="3091D8A0">
            <w:pPr>
              <w:wordWrap w:val="0"/>
              <w:spacing w:line="440" w:lineRule="exact"/>
              <w:jc w:val="center"/>
              <w:rPr>
                <w:rFonts w:eastAsia="宋体" w:cs="宋体"/>
                <w:color w:val="auto"/>
                <w:lang w:eastAsia="zh-CN" w:bidi="ar-SA"/>
              </w:rPr>
            </w:pPr>
          </w:p>
        </w:tc>
        <w:tc>
          <w:tcPr>
            <w:tcW w:w="1701" w:type="dxa"/>
            <w:tcBorders>
              <w:top w:val="single" w:color="auto" w:sz="4" w:space="0"/>
              <w:left w:val="single" w:color="auto" w:sz="4" w:space="0"/>
              <w:bottom w:val="single" w:color="auto" w:sz="4" w:space="0"/>
              <w:right w:val="single" w:color="auto" w:sz="4" w:space="0"/>
            </w:tcBorders>
            <w:vAlign w:val="center"/>
          </w:tcPr>
          <w:p w14:paraId="66304871">
            <w:pPr>
              <w:wordWrap w:val="0"/>
              <w:spacing w:line="440" w:lineRule="exact"/>
              <w:jc w:val="center"/>
              <w:rPr>
                <w:rFonts w:eastAsia="宋体" w:cs="宋体"/>
                <w:color w:val="auto"/>
                <w:lang w:eastAsia="zh-CN" w:bidi="ar-SA"/>
              </w:rPr>
            </w:pPr>
          </w:p>
        </w:tc>
        <w:tc>
          <w:tcPr>
            <w:tcW w:w="1559" w:type="dxa"/>
            <w:tcBorders>
              <w:top w:val="single" w:color="auto" w:sz="4" w:space="0"/>
              <w:left w:val="single" w:color="auto" w:sz="4" w:space="0"/>
              <w:bottom w:val="single" w:color="auto" w:sz="4" w:space="0"/>
              <w:right w:val="single" w:color="auto" w:sz="4" w:space="0"/>
            </w:tcBorders>
            <w:vAlign w:val="center"/>
          </w:tcPr>
          <w:p w14:paraId="6557FA7B">
            <w:pPr>
              <w:wordWrap w:val="0"/>
              <w:spacing w:line="440" w:lineRule="exact"/>
              <w:jc w:val="center"/>
              <w:rPr>
                <w:rFonts w:eastAsia="宋体" w:cs="宋体"/>
                <w:color w:val="auto"/>
                <w:lang w:eastAsia="zh-CN" w:bidi="ar-SA"/>
              </w:rPr>
            </w:pPr>
          </w:p>
        </w:tc>
        <w:tc>
          <w:tcPr>
            <w:tcW w:w="992" w:type="dxa"/>
            <w:tcBorders>
              <w:top w:val="single" w:color="auto" w:sz="4" w:space="0"/>
              <w:left w:val="single" w:color="auto" w:sz="4" w:space="0"/>
              <w:bottom w:val="single" w:color="auto" w:sz="4" w:space="0"/>
              <w:right w:val="single" w:color="auto" w:sz="4" w:space="0"/>
            </w:tcBorders>
            <w:vAlign w:val="center"/>
          </w:tcPr>
          <w:p w14:paraId="7B311BF1">
            <w:pPr>
              <w:wordWrap w:val="0"/>
              <w:spacing w:line="440" w:lineRule="exact"/>
              <w:jc w:val="center"/>
              <w:rPr>
                <w:rFonts w:eastAsia="宋体" w:cs="宋体"/>
                <w:color w:val="auto"/>
                <w:lang w:eastAsia="zh-CN" w:bidi="ar-SA"/>
              </w:rPr>
            </w:pPr>
          </w:p>
        </w:tc>
        <w:tc>
          <w:tcPr>
            <w:tcW w:w="1473" w:type="dxa"/>
            <w:tcBorders>
              <w:top w:val="single" w:color="auto" w:sz="4" w:space="0"/>
              <w:left w:val="single" w:color="auto" w:sz="4" w:space="0"/>
              <w:bottom w:val="single" w:color="auto" w:sz="4" w:space="0"/>
              <w:right w:val="single" w:color="auto" w:sz="4" w:space="0"/>
            </w:tcBorders>
            <w:vAlign w:val="center"/>
          </w:tcPr>
          <w:p w14:paraId="2609F5E5">
            <w:pPr>
              <w:wordWrap w:val="0"/>
              <w:spacing w:line="440" w:lineRule="exact"/>
              <w:jc w:val="center"/>
              <w:rPr>
                <w:rFonts w:eastAsia="宋体" w:cs="宋体"/>
                <w:color w:val="auto"/>
                <w:lang w:eastAsia="zh-CN" w:bidi="ar-SA"/>
              </w:rPr>
            </w:pPr>
          </w:p>
        </w:tc>
      </w:tr>
      <w:tr w14:paraId="5317219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817" w:type="dxa"/>
            <w:tcBorders>
              <w:top w:val="single" w:color="auto" w:sz="4" w:space="0"/>
              <w:left w:val="single" w:color="auto" w:sz="4" w:space="0"/>
              <w:bottom w:val="single" w:color="auto" w:sz="4" w:space="0"/>
              <w:right w:val="single" w:color="auto" w:sz="4" w:space="0"/>
            </w:tcBorders>
            <w:vAlign w:val="center"/>
          </w:tcPr>
          <w:p w14:paraId="7DFA43F0">
            <w:pPr>
              <w:wordWrap w:val="0"/>
              <w:spacing w:line="440" w:lineRule="exact"/>
              <w:jc w:val="center"/>
              <w:rPr>
                <w:rFonts w:eastAsia="宋体" w:cs="宋体"/>
                <w:color w:val="auto"/>
                <w:lang w:eastAsia="zh-CN" w:bidi="ar-SA"/>
              </w:rPr>
            </w:pPr>
          </w:p>
        </w:tc>
        <w:tc>
          <w:tcPr>
            <w:tcW w:w="1276" w:type="dxa"/>
            <w:tcBorders>
              <w:top w:val="single" w:color="auto" w:sz="4" w:space="0"/>
              <w:left w:val="single" w:color="auto" w:sz="4" w:space="0"/>
              <w:bottom w:val="single" w:color="auto" w:sz="4" w:space="0"/>
              <w:right w:val="single" w:color="auto" w:sz="4" w:space="0"/>
            </w:tcBorders>
            <w:vAlign w:val="center"/>
          </w:tcPr>
          <w:p w14:paraId="050D4600">
            <w:pPr>
              <w:wordWrap w:val="0"/>
              <w:spacing w:line="440" w:lineRule="exact"/>
              <w:jc w:val="center"/>
              <w:rPr>
                <w:rFonts w:eastAsia="宋体" w:cs="宋体"/>
                <w:color w:val="auto"/>
                <w:lang w:eastAsia="zh-CN" w:bidi="ar-SA"/>
              </w:rPr>
            </w:pPr>
          </w:p>
        </w:tc>
        <w:tc>
          <w:tcPr>
            <w:tcW w:w="1276" w:type="dxa"/>
            <w:tcBorders>
              <w:top w:val="single" w:color="auto" w:sz="4" w:space="0"/>
              <w:left w:val="single" w:color="auto" w:sz="4" w:space="0"/>
              <w:bottom w:val="single" w:color="auto" w:sz="4" w:space="0"/>
              <w:right w:val="single" w:color="auto" w:sz="4" w:space="0"/>
            </w:tcBorders>
            <w:vAlign w:val="center"/>
          </w:tcPr>
          <w:p w14:paraId="6943328F">
            <w:pPr>
              <w:wordWrap w:val="0"/>
              <w:spacing w:line="440" w:lineRule="exact"/>
              <w:jc w:val="center"/>
              <w:rPr>
                <w:rFonts w:eastAsia="宋体" w:cs="宋体"/>
                <w:color w:val="auto"/>
                <w:lang w:eastAsia="zh-CN" w:bidi="ar-SA"/>
              </w:rPr>
            </w:pPr>
          </w:p>
        </w:tc>
        <w:tc>
          <w:tcPr>
            <w:tcW w:w="1701" w:type="dxa"/>
            <w:tcBorders>
              <w:top w:val="single" w:color="auto" w:sz="4" w:space="0"/>
              <w:left w:val="single" w:color="auto" w:sz="4" w:space="0"/>
              <w:bottom w:val="single" w:color="auto" w:sz="4" w:space="0"/>
              <w:right w:val="single" w:color="auto" w:sz="4" w:space="0"/>
            </w:tcBorders>
            <w:vAlign w:val="center"/>
          </w:tcPr>
          <w:p w14:paraId="51F77981">
            <w:pPr>
              <w:wordWrap w:val="0"/>
              <w:spacing w:line="440" w:lineRule="exact"/>
              <w:jc w:val="center"/>
              <w:rPr>
                <w:rFonts w:eastAsia="宋体" w:cs="宋体"/>
                <w:color w:val="auto"/>
                <w:lang w:eastAsia="zh-CN" w:bidi="ar-SA"/>
              </w:rPr>
            </w:pPr>
          </w:p>
        </w:tc>
        <w:tc>
          <w:tcPr>
            <w:tcW w:w="1559" w:type="dxa"/>
            <w:tcBorders>
              <w:top w:val="single" w:color="auto" w:sz="4" w:space="0"/>
              <w:left w:val="single" w:color="auto" w:sz="4" w:space="0"/>
              <w:bottom w:val="single" w:color="auto" w:sz="4" w:space="0"/>
              <w:right w:val="single" w:color="auto" w:sz="4" w:space="0"/>
            </w:tcBorders>
            <w:vAlign w:val="center"/>
          </w:tcPr>
          <w:p w14:paraId="1DFD36BD">
            <w:pPr>
              <w:wordWrap w:val="0"/>
              <w:spacing w:line="440" w:lineRule="exact"/>
              <w:jc w:val="center"/>
              <w:rPr>
                <w:rFonts w:eastAsia="宋体" w:cs="宋体"/>
                <w:color w:val="auto"/>
                <w:lang w:eastAsia="zh-CN" w:bidi="ar-SA"/>
              </w:rPr>
            </w:pPr>
          </w:p>
        </w:tc>
        <w:tc>
          <w:tcPr>
            <w:tcW w:w="992" w:type="dxa"/>
            <w:tcBorders>
              <w:top w:val="single" w:color="auto" w:sz="4" w:space="0"/>
              <w:left w:val="single" w:color="auto" w:sz="4" w:space="0"/>
              <w:bottom w:val="single" w:color="auto" w:sz="4" w:space="0"/>
              <w:right w:val="single" w:color="auto" w:sz="4" w:space="0"/>
            </w:tcBorders>
            <w:vAlign w:val="center"/>
          </w:tcPr>
          <w:p w14:paraId="1629A137">
            <w:pPr>
              <w:wordWrap w:val="0"/>
              <w:spacing w:line="440" w:lineRule="exact"/>
              <w:jc w:val="center"/>
              <w:rPr>
                <w:rFonts w:eastAsia="宋体" w:cs="宋体"/>
                <w:color w:val="auto"/>
                <w:lang w:eastAsia="zh-CN" w:bidi="ar-SA"/>
              </w:rPr>
            </w:pPr>
          </w:p>
        </w:tc>
        <w:tc>
          <w:tcPr>
            <w:tcW w:w="1473" w:type="dxa"/>
            <w:tcBorders>
              <w:top w:val="single" w:color="auto" w:sz="4" w:space="0"/>
              <w:left w:val="single" w:color="auto" w:sz="4" w:space="0"/>
              <w:bottom w:val="single" w:color="auto" w:sz="4" w:space="0"/>
              <w:right w:val="single" w:color="auto" w:sz="4" w:space="0"/>
            </w:tcBorders>
            <w:vAlign w:val="center"/>
          </w:tcPr>
          <w:p w14:paraId="561A896E">
            <w:pPr>
              <w:wordWrap w:val="0"/>
              <w:spacing w:line="440" w:lineRule="exact"/>
              <w:jc w:val="center"/>
              <w:rPr>
                <w:rFonts w:eastAsia="宋体" w:cs="宋体"/>
                <w:color w:val="auto"/>
                <w:lang w:eastAsia="zh-CN" w:bidi="ar-SA"/>
              </w:rPr>
            </w:pPr>
          </w:p>
        </w:tc>
      </w:tr>
      <w:tr w14:paraId="7B7A46F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0" w:hRule="atLeast"/>
        </w:trPr>
        <w:tc>
          <w:tcPr>
            <w:tcW w:w="817" w:type="dxa"/>
            <w:tcBorders>
              <w:top w:val="single" w:color="auto" w:sz="4" w:space="0"/>
              <w:left w:val="single" w:color="auto" w:sz="4" w:space="0"/>
              <w:bottom w:val="single" w:color="auto" w:sz="4" w:space="0"/>
              <w:right w:val="single" w:color="auto" w:sz="4" w:space="0"/>
            </w:tcBorders>
            <w:vAlign w:val="center"/>
          </w:tcPr>
          <w:p w14:paraId="39719060">
            <w:pPr>
              <w:wordWrap w:val="0"/>
              <w:spacing w:line="440" w:lineRule="exact"/>
              <w:jc w:val="center"/>
              <w:rPr>
                <w:rFonts w:eastAsia="宋体" w:cs="宋体"/>
                <w:color w:val="auto"/>
                <w:lang w:eastAsia="zh-CN" w:bidi="ar-SA"/>
              </w:rPr>
            </w:pPr>
          </w:p>
        </w:tc>
        <w:tc>
          <w:tcPr>
            <w:tcW w:w="1276" w:type="dxa"/>
            <w:tcBorders>
              <w:top w:val="single" w:color="auto" w:sz="4" w:space="0"/>
              <w:left w:val="single" w:color="auto" w:sz="4" w:space="0"/>
              <w:bottom w:val="single" w:color="auto" w:sz="4" w:space="0"/>
              <w:right w:val="single" w:color="auto" w:sz="4" w:space="0"/>
            </w:tcBorders>
            <w:vAlign w:val="center"/>
          </w:tcPr>
          <w:p w14:paraId="54BC94E1">
            <w:pPr>
              <w:wordWrap w:val="0"/>
              <w:spacing w:line="440" w:lineRule="exact"/>
              <w:jc w:val="center"/>
              <w:rPr>
                <w:rFonts w:eastAsia="宋体" w:cs="宋体"/>
                <w:color w:val="auto"/>
                <w:lang w:eastAsia="zh-CN" w:bidi="ar-SA"/>
              </w:rPr>
            </w:pPr>
          </w:p>
        </w:tc>
        <w:tc>
          <w:tcPr>
            <w:tcW w:w="1276" w:type="dxa"/>
            <w:tcBorders>
              <w:top w:val="single" w:color="auto" w:sz="4" w:space="0"/>
              <w:left w:val="single" w:color="auto" w:sz="4" w:space="0"/>
              <w:bottom w:val="single" w:color="auto" w:sz="4" w:space="0"/>
              <w:right w:val="single" w:color="auto" w:sz="4" w:space="0"/>
            </w:tcBorders>
            <w:vAlign w:val="center"/>
          </w:tcPr>
          <w:p w14:paraId="61A86C0E">
            <w:pPr>
              <w:wordWrap w:val="0"/>
              <w:spacing w:line="440" w:lineRule="exact"/>
              <w:jc w:val="center"/>
              <w:rPr>
                <w:rFonts w:eastAsia="宋体" w:cs="宋体"/>
                <w:color w:val="auto"/>
                <w:lang w:eastAsia="zh-CN" w:bidi="ar-SA"/>
              </w:rPr>
            </w:pPr>
          </w:p>
        </w:tc>
        <w:tc>
          <w:tcPr>
            <w:tcW w:w="1701" w:type="dxa"/>
            <w:tcBorders>
              <w:top w:val="single" w:color="auto" w:sz="4" w:space="0"/>
              <w:left w:val="single" w:color="auto" w:sz="4" w:space="0"/>
              <w:bottom w:val="single" w:color="auto" w:sz="4" w:space="0"/>
              <w:right w:val="single" w:color="auto" w:sz="4" w:space="0"/>
            </w:tcBorders>
            <w:vAlign w:val="center"/>
          </w:tcPr>
          <w:p w14:paraId="154639A5">
            <w:pPr>
              <w:wordWrap w:val="0"/>
              <w:spacing w:line="440" w:lineRule="exact"/>
              <w:jc w:val="center"/>
              <w:rPr>
                <w:rFonts w:eastAsia="宋体" w:cs="宋体"/>
                <w:color w:val="auto"/>
                <w:lang w:eastAsia="zh-CN" w:bidi="ar-SA"/>
              </w:rPr>
            </w:pPr>
          </w:p>
        </w:tc>
        <w:tc>
          <w:tcPr>
            <w:tcW w:w="1559" w:type="dxa"/>
            <w:tcBorders>
              <w:top w:val="single" w:color="auto" w:sz="4" w:space="0"/>
              <w:left w:val="single" w:color="auto" w:sz="4" w:space="0"/>
              <w:bottom w:val="single" w:color="auto" w:sz="4" w:space="0"/>
              <w:right w:val="single" w:color="auto" w:sz="4" w:space="0"/>
            </w:tcBorders>
            <w:vAlign w:val="center"/>
          </w:tcPr>
          <w:p w14:paraId="421E1947">
            <w:pPr>
              <w:wordWrap w:val="0"/>
              <w:spacing w:line="440" w:lineRule="exact"/>
              <w:jc w:val="center"/>
              <w:rPr>
                <w:rFonts w:eastAsia="宋体" w:cs="宋体"/>
                <w:color w:val="auto"/>
                <w:lang w:eastAsia="zh-CN" w:bidi="ar-SA"/>
              </w:rPr>
            </w:pPr>
          </w:p>
        </w:tc>
        <w:tc>
          <w:tcPr>
            <w:tcW w:w="992" w:type="dxa"/>
            <w:tcBorders>
              <w:top w:val="single" w:color="auto" w:sz="4" w:space="0"/>
              <w:left w:val="single" w:color="auto" w:sz="4" w:space="0"/>
              <w:bottom w:val="single" w:color="auto" w:sz="4" w:space="0"/>
              <w:right w:val="single" w:color="auto" w:sz="4" w:space="0"/>
            </w:tcBorders>
            <w:vAlign w:val="center"/>
          </w:tcPr>
          <w:p w14:paraId="17BC8453">
            <w:pPr>
              <w:wordWrap w:val="0"/>
              <w:spacing w:line="440" w:lineRule="exact"/>
              <w:jc w:val="center"/>
              <w:rPr>
                <w:rFonts w:eastAsia="宋体" w:cs="宋体"/>
                <w:color w:val="auto"/>
                <w:lang w:eastAsia="zh-CN" w:bidi="ar-SA"/>
              </w:rPr>
            </w:pPr>
          </w:p>
        </w:tc>
        <w:tc>
          <w:tcPr>
            <w:tcW w:w="1473" w:type="dxa"/>
            <w:tcBorders>
              <w:top w:val="single" w:color="auto" w:sz="4" w:space="0"/>
              <w:left w:val="single" w:color="auto" w:sz="4" w:space="0"/>
              <w:bottom w:val="single" w:color="auto" w:sz="4" w:space="0"/>
              <w:right w:val="single" w:color="auto" w:sz="4" w:space="0"/>
            </w:tcBorders>
            <w:vAlign w:val="center"/>
          </w:tcPr>
          <w:p w14:paraId="362D1B3A">
            <w:pPr>
              <w:wordWrap w:val="0"/>
              <w:spacing w:line="440" w:lineRule="exact"/>
              <w:jc w:val="center"/>
              <w:rPr>
                <w:rFonts w:eastAsia="宋体" w:cs="宋体"/>
                <w:color w:val="auto"/>
                <w:lang w:eastAsia="zh-CN" w:bidi="ar-SA"/>
              </w:rPr>
            </w:pPr>
          </w:p>
        </w:tc>
      </w:tr>
      <w:tr w14:paraId="32208D4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817" w:type="dxa"/>
            <w:tcBorders>
              <w:top w:val="single" w:color="auto" w:sz="4" w:space="0"/>
              <w:left w:val="single" w:color="auto" w:sz="4" w:space="0"/>
              <w:bottom w:val="single" w:color="auto" w:sz="4" w:space="0"/>
              <w:right w:val="single" w:color="auto" w:sz="4" w:space="0"/>
            </w:tcBorders>
            <w:vAlign w:val="center"/>
          </w:tcPr>
          <w:p w14:paraId="1D00D20A">
            <w:pPr>
              <w:wordWrap w:val="0"/>
              <w:spacing w:line="440" w:lineRule="exact"/>
              <w:jc w:val="center"/>
              <w:rPr>
                <w:rFonts w:eastAsia="宋体" w:cs="宋体"/>
                <w:color w:val="auto"/>
                <w:lang w:eastAsia="zh-CN" w:bidi="ar-SA"/>
              </w:rPr>
            </w:pPr>
          </w:p>
        </w:tc>
        <w:tc>
          <w:tcPr>
            <w:tcW w:w="1276" w:type="dxa"/>
            <w:tcBorders>
              <w:top w:val="single" w:color="auto" w:sz="4" w:space="0"/>
              <w:left w:val="single" w:color="auto" w:sz="4" w:space="0"/>
              <w:bottom w:val="single" w:color="auto" w:sz="4" w:space="0"/>
              <w:right w:val="single" w:color="auto" w:sz="4" w:space="0"/>
            </w:tcBorders>
            <w:vAlign w:val="center"/>
          </w:tcPr>
          <w:p w14:paraId="4386838D">
            <w:pPr>
              <w:wordWrap w:val="0"/>
              <w:spacing w:line="440" w:lineRule="exact"/>
              <w:jc w:val="center"/>
              <w:rPr>
                <w:rFonts w:eastAsia="宋体" w:cs="宋体"/>
                <w:color w:val="auto"/>
                <w:lang w:eastAsia="zh-CN" w:bidi="ar-SA"/>
              </w:rPr>
            </w:pPr>
          </w:p>
        </w:tc>
        <w:tc>
          <w:tcPr>
            <w:tcW w:w="1276" w:type="dxa"/>
            <w:tcBorders>
              <w:top w:val="single" w:color="auto" w:sz="4" w:space="0"/>
              <w:left w:val="single" w:color="auto" w:sz="4" w:space="0"/>
              <w:bottom w:val="single" w:color="auto" w:sz="4" w:space="0"/>
              <w:right w:val="single" w:color="auto" w:sz="4" w:space="0"/>
            </w:tcBorders>
            <w:vAlign w:val="center"/>
          </w:tcPr>
          <w:p w14:paraId="1A71A1B9">
            <w:pPr>
              <w:wordWrap w:val="0"/>
              <w:spacing w:line="440" w:lineRule="exact"/>
              <w:jc w:val="center"/>
              <w:rPr>
                <w:rFonts w:eastAsia="宋体" w:cs="宋体"/>
                <w:color w:val="auto"/>
                <w:lang w:eastAsia="zh-CN" w:bidi="ar-SA"/>
              </w:rPr>
            </w:pPr>
          </w:p>
        </w:tc>
        <w:tc>
          <w:tcPr>
            <w:tcW w:w="1701" w:type="dxa"/>
            <w:tcBorders>
              <w:top w:val="single" w:color="auto" w:sz="4" w:space="0"/>
              <w:left w:val="single" w:color="auto" w:sz="4" w:space="0"/>
              <w:bottom w:val="single" w:color="auto" w:sz="4" w:space="0"/>
              <w:right w:val="single" w:color="auto" w:sz="4" w:space="0"/>
            </w:tcBorders>
            <w:vAlign w:val="center"/>
          </w:tcPr>
          <w:p w14:paraId="14560675">
            <w:pPr>
              <w:wordWrap w:val="0"/>
              <w:spacing w:line="440" w:lineRule="exact"/>
              <w:jc w:val="center"/>
              <w:rPr>
                <w:rFonts w:eastAsia="宋体" w:cs="宋体"/>
                <w:color w:val="auto"/>
                <w:lang w:eastAsia="zh-CN" w:bidi="ar-SA"/>
              </w:rPr>
            </w:pPr>
          </w:p>
        </w:tc>
        <w:tc>
          <w:tcPr>
            <w:tcW w:w="1559" w:type="dxa"/>
            <w:tcBorders>
              <w:top w:val="single" w:color="auto" w:sz="4" w:space="0"/>
              <w:left w:val="single" w:color="auto" w:sz="4" w:space="0"/>
              <w:bottom w:val="single" w:color="auto" w:sz="4" w:space="0"/>
              <w:right w:val="single" w:color="auto" w:sz="4" w:space="0"/>
            </w:tcBorders>
            <w:vAlign w:val="center"/>
          </w:tcPr>
          <w:p w14:paraId="43427E96">
            <w:pPr>
              <w:wordWrap w:val="0"/>
              <w:spacing w:line="440" w:lineRule="exact"/>
              <w:jc w:val="center"/>
              <w:rPr>
                <w:rFonts w:eastAsia="宋体" w:cs="宋体"/>
                <w:color w:val="auto"/>
                <w:lang w:eastAsia="zh-CN" w:bidi="ar-SA"/>
              </w:rPr>
            </w:pPr>
          </w:p>
        </w:tc>
        <w:tc>
          <w:tcPr>
            <w:tcW w:w="992" w:type="dxa"/>
            <w:tcBorders>
              <w:top w:val="single" w:color="auto" w:sz="4" w:space="0"/>
              <w:left w:val="single" w:color="auto" w:sz="4" w:space="0"/>
              <w:bottom w:val="single" w:color="auto" w:sz="4" w:space="0"/>
              <w:right w:val="single" w:color="auto" w:sz="4" w:space="0"/>
            </w:tcBorders>
            <w:vAlign w:val="center"/>
          </w:tcPr>
          <w:p w14:paraId="68FF104A">
            <w:pPr>
              <w:wordWrap w:val="0"/>
              <w:spacing w:line="440" w:lineRule="exact"/>
              <w:jc w:val="center"/>
              <w:rPr>
                <w:rFonts w:eastAsia="宋体" w:cs="宋体"/>
                <w:color w:val="auto"/>
                <w:lang w:eastAsia="zh-CN" w:bidi="ar-SA"/>
              </w:rPr>
            </w:pPr>
          </w:p>
        </w:tc>
        <w:tc>
          <w:tcPr>
            <w:tcW w:w="1473" w:type="dxa"/>
            <w:tcBorders>
              <w:top w:val="single" w:color="auto" w:sz="4" w:space="0"/>
              <w:left w:val="single" w:color="auto" w:sz="4" w:space="0"/>
              <w:bottom w:val="single" w:color="auto" w:sz="4" w:space="0"/>
              <w:right w:val="single" w:color="auto" w:sz="4" w:space="0"/>
            </w:tcBorders>
            <w:vAlign w:val="center"/>
          </w:tcPr>
          <w:p w14:paraId="1C20D1E2">
            <w:pPr>
              <w:wordWrap w:val="0"/>
              <w:spacing w:line="440" w:lineRule="exact"/>
              <w:jc w:val="center"/>
              <w:rPr>
                <w:rFonts w:eastAsia="宋体" w:cs="宋体"/>
                <w:color w:val="auto"/>
                <w:lang w:eastAsia="zh-CN" w:bidi="ar-SA"/>
              </w:rPr>
            </w:pPr>
          </w:p>
        </w:tc>
      </w:tr>
      <w:tr w14:paraId="7727801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817" w:type="dxa"/>
            <w:tcBorders>
              <w:top w:val="single" w:color="auto" w:sz="4" w:space="0"/>
              <w:left w:val="single" w:color="auto" w:sz="4" w:space="0"/>
              <w:bottom w:val="single" w:color="auto" w:sz="4" w:space="0"/>
              <w:right w:val="single" w:color="auto" w:sz="4" w:space="0"/>
            </w:tcBorders>
            <w:vAlign w:val="center"/>
          </w:tcPr>
          <w:p w14:paraId="25D82C17">
            <w:pPr>
              <w:wordWrap w:val="0"/>
              <w:spacing w:line="440" w:lineRule="exact"/>
              <w:jc w:val="center"/>
              <w:rPr>
                <w:rFonts w:eastAsia="宋体" w:cs="宋体"/>
                <w:color w:val="auto"/>
                <w:lang w:eastAsia="zh-CN" w:bidi="ar-SA"/>
              </w:rPr>
            </w:pPr>
          </w:p>
        </w:tc>
        <w:tc>
          <w:tcPr>
            <w:tcW w:w="1276" w:type="dxa"/>
            <w:tcBorders>
              <w:top w:val="single" w:color="auto" w:sz="4" w:space="0"/>
              <w:left w:val="single" w:color="auto" w:sz="4" w:space="0"/>
              <w:bottom w:val="single" w:color="auto" w:sz="4" w:space="0"/>
              <w:right w:val="single" w:color="auto" w:sz="4" w:space="0"/>
            </w:tcBorders>
            <w:vAlign w:val="center"/>
          </w:tcPr>
          <w:p w14:paraId="712045A5">
            <w:pPr>
              <w:wordWrap w:val="0"/>
              <w:spacing w:line="440" w:lineRule="exact"/>
              <w:jc w:val="center"/>
              <w:rPr>
                <w:rFonts w:eastAsia="宋体" w:cs="宋体"/>
                <w:color w:val="auto"/>
                <w:lang w:eastAsia="zh-CN" w:bidi="ar-SA"/>
              </w:rPr>
            </w:pPr>
          </w:p>
        </w:tc>
        <w:tc>
          <w:tcPr>
            <w:tcW w:w="1276" w:type="dxa"/>
            <w:tcBorders>
              <w:top w:val="single" w:color="auto" w:sz="4" w:space="0"/>
              <w:left w:val="single" w:color="auto" w:sz="4" w:space="0"/>
              <w:bottom w:val="single" w:color="auto" w:sz="4" w:space="0"/>
              <w:right w:val="single" w:color="auto" w:sz="4" w:space="0"/>
            </w:tcBorders>
            <w:vAlign w:val="center"/>
          </w:tcPr>
          <w:p w14:paraId="7E1CBC3B">
            <w:pPr>
              <w:wordWrap w:val="0"/>
              <w:spacing w:line="440" w:lineRule="exact"/>
              <w:jc w:val="center"/>
              <w:rPr>
                <w:rFonts w:eastAsia="宋体" w:cs="宋体"/>
                <w:color w:val="auto"/>
                <w:lang w:eastAsia="zh-CN" w:bidi="ar-SA"/>
              </w:rPr>
            </w:pPr>
          </w:p>
        </w:tc>
        <w:tc>
          <w:tcPr>
            <w:tcW w:w="1701" w:type="dxa"/>
            <w:tcBorders>
              <w:top w:val="single" w:color="auto" w:sz="4" w:space="0"/>
              <w:left w:val="single" w:color="auto" w:sz="4" w:space="0"/>
              <w:bottom w:val="single" w:color="auto" w:sz="4" w:space="0"/>
              <w:right w:val="single" w:color="auto" w:sz="4" w:space="0"/>
            </w:tcBorders>
            <w:vAlign w:val="center"/>
          </w:tcPr>
          <w:p w14:paraId="2F6E15DA">
            <w:pPr>
              <w:wordWrap w:val="0"/>
              <w:spacing w:line="440" w:lineRule="exact"/>
              <w:jc w:val="center"/>
              <w:rPr>
                <w:rFonts w:eastAsia="宋体" w:cs="宋体"/>
                <w:color w:val="auto"/>
                <w:lang w:eastAsia="zh-CN" w:bidi="ar-SA"/>
              </w:rPr>
            </w:pPr>
          </w:p>
        </w:tc>
        <w:tc>
          <w:tcPr>
            <w:tcW w:w="1559" w:type="dxa"/>
            <w:tcBorders>
              <w:top w:val="single" w:color="auto" w:sz="4" w:space="0"/>
              <w:left w:val="single" w:color="auto" w:sz="4" w:space="0"/>
              <w:bottom w:val="single" w:color="auto" w:sz="4" w:space="0"/>
              <w:right w:val="single" w:color="auto" w:sz="4" w:space="0"/>
            </w:tcBorders>
            <w:vAlign w:val="center"/>
          </w:tcPr>
          <w:p w14:paraId="2D490DC2">
            <w:pPr>
              <w:wordWrap w:val="0"/>
              <w:spacing w:line="440" w:lineRule="exact"/>
              <w:jc w:val="center"/>
              <w:rPr>
                <w:rFonts w:eastAsia="宋体" w:cs="宋体"/>
                <w:color w:val="auto"/>
                <w:lang w:eastAsia="zh-CN" w:bidi="ar-SA"/>
              </w:rPr>
            </w:pPr>
          </w:p>
        </w:tc>
        <w:tc>
          <w:tcPr>
            <w:tcW w:w="992" w:type="dxa"/>
            <w:tcBorders>
              <w:top w:val="single" w:color="auto" w:sz="4" w:space="0"/>
              <w:left w:val="single" w:color="auto" w:sz="4" w:space="0"/>
              <w:bottom w:val="single" w:color="auto" w:sz="4" w:space="0"/>
              <w:right w:val="single" w:color="auto" w:sz="4" w:space="0"/>
            </w:tcBorders>
            <w:vAlign w:val="center"/>
          </w:tcPr>
          <w:p w14:paraId="66A1A2D7">
            <w:pPr>
              <w:wordWrap w:val="0"/>
              <w:spacing w:line="440" w:lineRule="exact"/>
              <w:jc w:val="center"/>
              <w:rPr>
                <w:rFonts w:eastAsia="宋体" w:cs="宋体"/>
                <w:color w:val="auto"/>
                <w:lang w:eastAsia="zh-CN" w:bidi="ar-SA"/>
              </w:rPr>
            </w:pPr>
          </w:p>
        </w:tc>
        <w:tc>
          <w:tcPr>
            <w:tcW w:w="1473" w:type="dxa"/>
            <w:tcBorders>
              <w:top w:val="single" w:color="auto" w:sz="4" w:space="0"/>
              <w:left w:val="single" w:color="auto" w:sz="4" w:space="0"/>
              <w:bottom w:val="single" w:color="auto" w:sz="4" w:space="0"/>
              <w:right w:val="single" w:color="auto" w:sz="4" w:space="0"/>
            </w:tcBorders>
            <w:vAlign w:val="center"/>
          </w:tcPr>
          <w:p w14:paraId="61F10A5D">
            <w:pPr>
              <w:wordWrap w:val="0"/>
              <w:spacing w:line="440" w:lineRule="exact"/>
              <w:jc w:val="center"/>
              <w:rPr>
                <w:rFonts w:eastAsia="宋体" w:cs="宋体"/>
                <w:color w:val="auto"/>
                <w:lang w:eastAsia="zh-CN" w:bidi="ar-SA"/>
              </w:rPr>
            </w:pPr>
          </w:p>
        </w:tc>
      </w:tr>
      <w:tr w14:paraId="616A430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817" w:type="dxa"/>
            <w:tcBorders>
              <w:top w:val="single" w:color="auto" w:sz="4" w:space="0"/>
              <w:left w:val="single" w:color="auto" w:sz="4" w:space="0"/>
              <w:bottom w:val="single" w:color="auto" w:sz="4" w:space="0"/>
              <w:right w:val="single" w:color="auto" w:sz="4" w:space="0"/>
            </w:tcBorders>
            <w:vAlign w:val="center"/>
          </w:tcPr>
          <w:p w14:paraId="4169677E">
            <w:pPr>
              <w:wordWrap w:val="0"/>
              <w:spacing w:line="440" w:lineRule="exact"/>
              <w:jc w:val="center"/>
              <w:rPr>
                <w:rFonts w:eastAsia="宋体" w:cs="宋体"/>
                <w:color w:val="auto"/>
                <w:lang w:eastAsia="zh-CN" w:bidi="ar-SA"/>
              </w:rPr>
            </w:pPr>
          </w:p>
        </w:tc>
        <w:tc>
          <w:tcPr>
            <w:tcW w:w="1276" w:type="dxa"/>
            <w:tcBorders>
              <w:top w:val="single" w:color="auto" w:sz="4" w:space="0"/>
              <w:left w:val="single" w:color="auto" w:sz="4" w:space="0"/>
              <w:bottom w:val="single" w:color="auto" w:sz="4" w:space="0"/>
              <w:right w:val="single" w:color="auto" w:sz="4" w:space="0"/>
            </w:tcBorders>
            <w:vAlign w:val="center"/>
          </w:tcPr>
          <w:p w14:paraId="03B419BB">
            <w:pPr>
              <w:wordWrap w:val="0"/>
              <w:spacing w:line="440" w:lineRule="exact"/>
              <w:jc w:val="center"/>
              <w:rPr>
                <w:rFonts w:eastAsia="宋体" w:cs="宋体"/>
                <w:color w:val="auto"/>
                <w:lang w:eastAsia="zh-CN" w:bidi="ar-SA"/>
              </w:rPr>
            </w:pPr>
          </w:p>
        </w:tc>
        <w:tc>
          <w:tcPr>
            <w:tcW w:w="1276" w:type="dxa"/>
            <w:tcBorders>
              <w:top w:val="single" w:color="auto" w:sz="4" w:space="0"/>
              <w:left w:val="single" w:color="auto" w:sz="4" w:space="0"/>
              <w:bottom w:val="single" w:color="auto" w:sz="4" w:space="0"/>
              <w:right w:val="single" w:color="auto" w:sz="4" w:space="0"/>
            </w:tcBorders>
            <w:vAlign w:val="center"/>
          </w:tcPr>
          <w:p w14:paraId="2F4BBCF4">
            <w:pPr>
              <w:wordWrap w:val="0"/>
              <w:spacing w:line="440" w:lineRule="exact"/>
              <w:jc w:val="center"/>
              <w:rPr>
                <w:rFonts w:eastAsia="宋体" w:cs="宋体"/>
                <w:color w:val="auto"/>
                <w:lang w:eastAsia="zh-CN" w:bidi="ar-SA"/>
              </w:rPr>
            </w:pPr>
          </w:p>
        </w:tc>
        <w:tc>
          <w:tcPr>
            <w:tcW w:w="1701" w:type="dxa"/>
            <w:tcBorders>
              <w:top w:val="single" w:color="auto" w:sz="4" w:space="0"/>
              <w:left w:val="single" w:color="auto" w:sz="4" w:space="0"/>
              <w:bottom w:val="single" w:color="auto" w:sz="4" w:space="0"/>
              <w:right w:val="single" w:color="auto" w:sz="4" w:space="0"/>
            </w:tcBorders>
            <w:vAlign w:val="center"/>
          </w:tcPr>
          <w:p w14:paraId="079CA1F4">
            <w:pPr>
              <w:wordWrap w:val="0"/>
              <w:spacing w:line="440" w:lineRule="exact"/>
              <w:jc w:val="center"/>
              <w:rPr>
                <w:rFonts w:eastAsia="宋体" w:cs="宋体"/>
                <w:color w:val="auto"/>
                <w:lang w:eastAsia="zh-CN" w:bidi="ar-SA"/>
              </w:rPr>
            </w:pPr>
          </w:p>
        </w:tc>
        <w:tc>
          <w:tcPr>
            <w:tcW w:w="1559" w:type="dxa"/>
            <w:tcBorders>
              <w:top w:val="single" w:color="auto" w:sz="4" w:space="0"/>
              <w:left w:val="single" w:color="auto" w:sz="4" w:space="0"/>
              <w:bottom w:val="single" w:color="auto" w:sz="4" w:space="0"/>
              <w:right w:val="single" w:color="auto" w:sz="4" w:space="0"/>
            </w:tcBorders>
            <w:vAlign w:val="center"/>
          </w:tcPr>
          <w:p w14:paraId="1EFDC1CB">
            <w:pPr>
              <w:wordWrap w:val="0"/>
              <w:spacing w:line="440" w:lineRule="exact"/>
              <w:jc w:val="center"/>
              <w:rPr>
                <w:rFonts w:eastAsia="宋体" w:cs="宋体"/>
                <w:color w:val="auto"/>
                <w:lang w:eastAsia="zh-CN" w:bidi="ar-SA"/>
              </w:rPr>
            </w:pPr>
          </w:p>
        </w:tc>
        <w:tc>
          <w:tcPr>
            <w:tcW w:w="992" w:type="dxa"/>
            <w:tcBorders>
              <w:top w:val="single" w:color="auto" w:sz="4" w:space="0"/>
              <w:left w:val="single" w:color="auto" w:sz="4" w:space="0"/>
              <w:bottom w:val="single" w:color="auto" w:sz="4" w:space="0"/>
              <w:right w:val="single" w:color="auto" w:sz="4" w:space="0"/>
            </w:tcBorders>
            <w:vAlign w:val="center"/>
          </w:tcPr>
          <w:p w14:paraId="08004C69">
            <w:pPr>
              <w:wordWrap w:val="0"/>
              <w:spacing w:line="440" w:lineRule="exact"/>
              <w:jc w:val="center"/>
              <w:rPr>
                <w:rFonts w:eastAsia="宋体" w:cs="宋体"/>
                <w:color w:val="auto"/>
                <w:lang w:eastAsia="zh-CN" w:bidi="ar-SA"/>
              </w:rPr>
            </w:pPr>
          </w:p>
        </w:tc>
        <w:tc>
          <w:tcPr>
            <w:tcW w:w="1473" w:type="dxa"/>
            <w:tcBorders>
              <w:top w:val="single" w:color="auto" w:sz="4" w:space="0"/>
              <w:left w:val="single" w:color="auto" w:sz="4" w:space="0"/>
              <w:bottom w:val="single" w:color="auto" w:sz="4" w:space="0"/>
              <w:right w:val="single" w:color="auto" w:sz="4" w:space="0"/>
            </w:tcBorders>
            <w:vAlign w:val="center"/>
          </w:tcPr>
          <w:p w14:paraId="0E800C73">
            <w:pPr>
              <w:wordWrap w:val="0"/>
              <w:spacing w:line="440" w:lineRule="exact"/>
              <w:jc w:val="center"/>
              <w:rPr>
                <w:rFonts w:eastAsia="宋体" w:cs="宋体"/>
                <w:color w:val="auto"/>
                <w:lang w:eastAsia="zh-CN" w:bidi="ar-SA"/>
              </w:rPr>
            </w:pPr>
          </w:p>
        </w:tc>
      </w:tr>
      <w:tr w14:paraId="6FD4059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3369" w:type="dxa"/>
            <w:gridSpan w:val="3"/>
            <w:tcBorders>
              <w:top w:val="single" w:color="auto" w:sz="4" w:space="0"/>
              <w:left w:val="single" w:color="auto" w:sz="4" w:space="0"/>
              <w:bottom w:val="single" w:color="auto" w:sz="4" w:space="0"/>
              <w:right w:val="single" w:color="auto" w:sz="4" w:space="0"/>
            </w:tcBorders>
            <w:vAlign w:val="center"/>
          </w:tcPr>
          <w:p w14:paraId="44999C83">
            <w:pPr>
              <w:wordWrap w:val="0"/>
              <w:spacing w:line="440" w:lineRule="exact"/>
              <w:jc w:val="center"/>
              <w:rPr>
                <w:rFonts w:eastAsia="宋体" w:cs="宋体"/>
                <w:color w:val="auto"/>
                <w:lang w:eastAsia="zh-CN" w:bidi="ar-SA"/>
              </w:rPr>
            </w:pPr>
            <w:r>
              <w:rPr>
                <w:rFonts w:hint="eastAsia" w:eastAsia="宋体" w:cs="宋体"/>
                <w:color w:val="auto"/>
                <w:lang w:eastAsia="zh-CN" w:bidi="ar-SA"/>
              </w:rPr>
              <w:t>最高投标限价</w:t>
            </w:r>
          </w:p>
        </w:tc>
        <w:tc>
          <w:tcPr>
            <w:tcW w:w="5725" w:type="dxa"/>
            <w:gridSpan w:val="4"/>
            <w:tcBorders>
              <w:top w:val="single" w:color="auto" w:sz="4" w:space="0"/>
              <w:left w:val="single" w:color="auto" w:sz="4" w:space="0"/>
              <w:bottom w:val="single" w:color="auto" w:sz="4" w:space="0"/>
              <w:right w:val="single" w:color="auto" w:sz="4" w:space="0"/>
            </w:tcBorders>
            <w:vAlign w:val="center"/>
          </w:tcPr>
          <w:p w14:paraId="54161FEF">
            <w:pPr>
              <w:wordWrap w:val="0"/>
              <w:spacing w:line="440" w:lineRule="exact"/>
              <w:jc w:val="center"/>
              <w:rPr>
                <w:rFonts w:eastAsia="宋体" w:cs="宋体"/>
                <w:color w:val="auto"/>
                <w:lang w:eastAsia="zh-CN" w:bidi="ar-SA"/>
              </w:rPr>
            </w:pPr>
          </w:p>
        </w:tc>
      </w:tr>
    </w:tbl>
    <w:p w14:paraId="33E65B2D">
      <w:pPr>
        <w:wordWrap w:val="0"/>
        <w:spacing w:line="620" w:lineRule="exact"/>
        <w:jc w:val="both"/>
        <w:rPr>
          <w:rFonts w:eastAsia="宋体" w:cs="宋体"/>
          <w:color w:val="auto"/>
          <w:szCs w:val="21"/>
          <w:u w:val="single"/>
          <w:lang w:eastAsia="zh-CN" w:bidi="ar-SA"/>
        </w:rPr>
      </w:pPr>
      <w:r>
        <w:rPr>
          <w:rFonts w:eastAsia="宋体" w:cs="宋体"/>
          <w:color w:val="auto"/>
          <w:szCs w:val="21"/>
          <w:lang w:eastAsia="zh-CN" w:bidi="ar-SA"/>
        </w:rPr>
        <w:t>招标人</w:t>
      </w:r>
      <w:r>
        <w:rPr>
          <w:rFonts w:hint="eastAsia" w:eastAsia="宋体" w:cs="宋体"/>
          <w:color w:val="auto"/>
          <w:szCs w:val="21"/>
          <w:lang w:eastAsia="zh-CN" w:bidi="ar-SA"/>
        </w:rPr>
        <w:t>代表</w:t>
      </w:r>
      <w:r>
        <w:rPr>
          <w:rFonts w:eastAsia="宋体" w:cs="宋体"/>
          <w:color w:val="auto"/>
          <w:szCs w:val="21"/>
          <w:lang w:eastAsia="zh-CN" w:bidi="ar-SA"/>
        </w:rPr>
        <w:t>：</w:t>
      </w:r>
      <w:r>
        <w:rPr>
          <w:rFonts w:eastAsia="宋体" w:cs="宋体"/>
          <w:color w:val="auto"/>
          <w:szCs w:val="21"/>
          <w:u w:val="single"/>
          <w:lang w:eastAsia="zh-CN" w:bidi="ar-SA"/>
        </w:rPr>
        <w:t xml:space="preserve">       </w:t>
      </w:r>
      <w:r>
        <w:rPr>
          <w:rFonts w:hint="eastAsia" w:eastAsia="宋体" w:cs="宋体"/>
          <w:color w:val="auto"/>
          <w:szCs w:val="21"/>
          <w:u w:val="single"/>
          <w:lang w:eastAsia="zh-CN" w:bidi="ar-SA"/>
        </w:rPr>
        <w:t xml:space="preserve">        </w:t>
      </w:r>
      <w:r>
        <w:rPr>
          <w:rFonts w:eastAsia="宋体" w:cs="宋体"/>
          <w:color w:val="auto"/>
          <w:szCs w:val="21"/>
          <w:u w:val="single"/>
          <w:lang w:eastAsia="zh-CN" w:bidi="ar-SA"/>
        </w:rPr>
        <w:t xml:space="preserve">    </w:t>
      </w:r>
      <w:r>
        <w:rPr>
          <w:rFonts w:eastAsia="宋体" w:cs="宋体"/>
          <w:color w:val="auto"/>
          <w:szCs w:val="21"/>
          <w:lang w:eastAsia="zh-CN" w:bidi="ar-SA"/>
        </w:rPr>
        <w:t>记录人：</w:t>
      </w:r>
      <w:r>
        <w:rPr>
          <w:rFonts w:eastAsia="宋体" w:cs="宋体"/>
          <w:color w:val="auto"/>
          <w:szCs w:val="21"/>
          <w:u w:val="single"/>
          <w:lang w:eastAsia="zh-CN" w:bidi="ar-SA"/>
        </w:rPr>
        <w:t xml:space="preserve">    </w:t>
      </w:r>
      <w:r>
        <w:rPr>
          <w:rFonts w:hint="eastAsia" w:eastAsia="宋体" w:cs="宋体"/>
          <w:color w:val="auto"/>
          <w:szCs w:val="21"/>
          <w:u w:val="single"/>
          <w:lang w:eastAsia="zh-CN" w:bidi="ar-SA"/>
        </w:rPr>
        <w:t xml:space="preserve">          </w:t>
      </w:r>
      <w:r>
        <w:rPr>
          <w:rFonts w:eastAsia="宋体" w:cs="宋体"/>
          <w:color w:val="auto"/>
          <w:szCs w:val="21"/>
          <w:u w:val="single"/>
          <w:lang w:eastAsia="zh-CN" w:bidi="ar-SA"/>
        </w:rPr>
        <w:t xml:space="preserve">   </w:t>
      </w:r>
      <w:r>
        <w:rPr>
          <w:rFonts w:eastAsia="宋体" w:cs="宋体"/>
          <w:color w:val="auto"/>
          <w:szCs w:val="21"/>
          <w:lang w:eastAsia="zh-CN" w:bidi="ar-SA"/>
        </w:rPr>
        <w:t>监标人：</w:t>
      </w:r>
      <w:r>
        <w:rPr>
          <w:rFonts w:eastAsia="宋体" w:cs="宋体"/>
          <w:color w:val="auto"/>
          <w:szCs w:val="21"/>
          <w:u w:val="single"/>
          <w:lang w:eastAsia="zh-CN" w:bidi="ar-SA"/>
        </w:rPr>
        <w:t xml:space="preserve">          </w:t>
      </w:r>
      <w:r>
        <w:rPr>
          <w:rFonts w:hint="eastAsia" w:eastAsia="宋体" w:cs="宋体"/>
          <w:color w:val="auto"/>
          <w:szCs w:val="21"/>
          <w:u w:val="single"/>
          <w:lang w:eastAsia="zh-CN" w:bidi="ar-SA"/>
        </w:rPr>
        <w:t xml:space="preserve">       </w:t>
      </w:r>
      <w:r>
        <w:rPr>
          <w:rFonts w:eastAsia="宋体" w:cs="宋体"/>
          <w:color w:val="auto"/>
          <w:szCs w:val="21"/>
          <w:u w:val="single"/>
          <w:lang w:eastAsia="zh-CN" w:bidi="ar-SA"/>
        </w:rPr>
        <w:t xml:space="preserve"> </w:t>
      </w:r>
      <w:r>
        <w:rPr>
          <w:rFonts w:hint="eastAsia" w:eastAsia="宋体" w:cs="宋体"/>
          <w:color w:val="auto"/>
          <w:szCs w:val="21"/>
          <w:lang w:eastAsia="zh-CN" w:bidi="ar-SA"/>
        </w:rPr>
        <w:t>公证员：</w:t>
      </w:r>
      <w:r>
        <w:rPr>
          <w:rFonts w:eastAsia="宋体" w:cs="宋体"/>
          <w:color w:val="auto"/>
          <w:szCs w:val="21"/>
          <w:u w:val="single"/>
          <w:lang w:eastAsia="zh-CN" w:bidi="ar-SA"/>
        </w:rPr>
        <w:t xml:space="preserve">   </w:t>
      </w:r>
      <w:r>
        <w:rPr>
          <w:rFonts w:hint="eastAsia" w:eastAsia="宋体" w:cs="宋体"/>
          <w:color w:val="auto"/>
          <w:szCs w:val="21"/>
          <w:u w:val="single"/>
          <w:lang w:eastAsia="zh-CN" w:bidi="ar-SA"/>
        </w:rPr>
        <w:t xml:space="preserve">                </w:t>
      </w:r>
      <w:r>
        <w:rPr>
          <w:rFonts w:eastAsia="宋体" w:cs="宋体"/>
          <w:color w:val="auto"/>
          <w:szCs w:val="21"/>
          <w:u w:val="single"/>
          <w:lang w:eastAsia="zh-CN" w:bidi="ar-SA"/>
        </w:rPr>
        <w:t xml:space="preserve"> </w:t>
      </w:r>
      <w:r>
        <w:rPr>
          <w:rFonts w:eastAsia="宋体" w:cs="宋体"/>
          <w:b/>
          <w:color w:val="auto"/>
          <w:lang w:eastAsia="zh-CN" w:bidi="ar-SA"/>
        </w:rPr>
        <w:t xml:space="preserve"> </w:t>
      </w:r>
    </w:p>
    <w:p w14:paraId="535022F0">
      <w:pPr>
        <w:wordWrap w:val="0"/>
        <w:spacing w:line="620" w:lineRule="exact"/>
        <w:jc w:val="right"/>
        <w:rPr>
          <w:rFonts w:eastAsia="宋体" w:cs="宋体"/>
          <w:color w:val="auto"/>
          <w:szCs w:val="21"/>
          <w:lang w:eastAsia="zh-CN" w:bidi="ar-SA"/>
        </w:rPr>
        <w:sectPr>
          <w:footnotePr>
            <w:numFmt w:val="decimalEnclosedCircleChinese"/>
            <w:numRestart w:val="eachPage"/>
          </w:footnotePr>
          <w:pgSz w:w="11906" w:h="16838"/>
          <w:pgMar w:top="1418" w:right="1588" w:bottom="1418" w:left="1588" w:header="680" w:footer="992" w:gutter="0"/>
          <w:cols w:space="720" w:num="1"/>
          <w:docGrid w:linePitch="326" w:charSpace="0"/>
        </w:sectPr>
      </w:pPr>
      <w:r>
        <w:rPr>
          <w:rFonts w:eastAsia="宋体" w:cs="宋体"/>
          <w:color w:val="auto"/>
          <w:szCs w:val="21"/>
          <w:u w:val="single"/>
          <w:lang w:eastAsia="zh-CN" w:bidi="ar-SA"/>
        </w:rPr>
        <w:t xml:space="preserve">          </w:t>
      </w:r>
      <w:r>
        <w:rPr>
          <w:rFonts w:eastAsia="宋体" w:cs="宋体"/>
          <w:color w:val="auto"/>
          <w:szCs w:val="21"/>
          <w:lang w:eastAsia="zh-CN" w:bidi="ar-SA"/>
        </w:rPr>
        <w:t xml:space="preserve">年 </w:t>
      </w:r>
      <w:r>
        <w:rPr>
          <w:rFonts w:eastAsia="宋体" w:cs="宋体"/>
          <w:color w:val="auto"/>
          <w:szCs w:val="21"/>
          <w:u w:val="single"/>
          <w:lang w:eastAsia="zh-CN" w:bidi="ar-SA"/>
        </w:rPr>
        <w:t xml:space="preserve">      </w:t>
      </w:r>
      <w:r>
        <w:rPr>
          <w:rFonts w:eastAsia="宋体" w:cs="宋体"/>
          <w:color w:val="auto"/>
          <w:szCs w:val="21"/>
          <w:lang w:eastAsia="zh-CN" w:bidi="ar-SA"/>
        </w:rPr>
        <w:t xml:space="preserve"> 月</w:t>
      </w:r>
      <w:r>
        <w:rPr>
          <w:rFonts w:eastAsia="宋体" w:cs="宋体"/>
          <w:color w:val="auto"/>
          <w:szCs w:val="21"/>
          <w:u w:val="single"/>
          <w:lang w:eastAsia="zh-CN" w:bidi="ar-SA"/>
        </w:rPr>
        <w:t xml:space="preserve">         </w:t>
      </w:r>
      <w:r>
        <w:rPr>
          <w:rFonts w:eastAsia="宋体" w:cs="宋体"/>
          <w:color w:val="auto"/>
          <w:szCs w:val="21"/>
          <w:lang w:eastAsia="zh-CN" w:bidi="ar-SA"/>
        </w:rPr>
        <w:t>日</w:t>
      </w:r>
    </w:p>
    <w:p w14:paraId="0E36807A">
      <w:pPr>
        <w:snapToGrid w:val="0"/>
        <w:spacing w:before="240" w:beforeLines="100" w:after="240" w:afterLines="100"/>
        <w:outlineLvl w:val="1"/>
        <w:rPr>
          <w:rFonts w:hint="eastAsia" w:ascii="宋体" w:hAnsi="宋体" w:eastAsia="宋体" w:cs="宋体"/>
          <w:b/>
          <w:color w:val="auto"/>
          <w:spacing w:val="-10"/>
          <w:lang w:eastAsia="zh-CN" w:bidi="ar-SA"/>
        </w:rPr>
      </w:pPr>
      <w:bookmarkStart w:id="400" w:name="_Toc31654"/>
      <w:r>
        <w:rPr>
          <w:rFonts w:hint="eastAsia" w:ascii="宋体" w:hAnsi="宋体" w:eastAsia="宋体" w:cs="宋体"/>
          <w:b/>
          <w:color w:val="auto"/>
          <w:spacing w:val="-10"/>
          <w:lang w:eastAsia="zh-CN" w:bidi="ar-SA"/>
        </w:rPr>
        <w:t>附件</w:t>
      </w:r>
      <w:r>
        <w:rPr>
          <w:rFonts w:hint="eastAsia" w:eastAsia="宋体"/>
          <w:color w:val="auto"/>
          <w:lang w:eastAsia="zh-CN"/>
        </w:rPr>
        <w:t>二</w:t>
      </w:r>
      <w:r>
        <w:rPr>
          <w:rFonts w:hint="eastAsia" w:ascii="宋体" w:hAnsi="宋体" w:eastAsia="宋体" w:cs="宋体"/>
          <w:b/>
          <w:color w:val="auto"/>
          <w:spacing w:val="-10"/>
          <w:lang w:eastAsia="zh-CN" w:bidi="ar-SA"/>
        </w:rPr>
        <w:t xml:space="preserve">  问题澄清通知</w:t>
      </w:r>
      <w:bookmarkEnd w:id="400"/>
    </w:p>
    <w:p w14:paraId="5BEB8516">
      <w:pPr>
        <w:spacing w:line="360" w:lineRule="auto"/>
        <w:jc w:val="center"/>
        <w:rPr>
          <w:rFonts w:eastAsia="宋体" w:cs="宋体"/>
          <w:b/>
          <w:color w:val="auto"/>
          <w:lang w:eastAsia="zh-CN" w:bidi="ar-SA"/>
        </w:rPr>
      </w:pPr>
      <w:r>
        <w:rPr>
          <w:rFonts w:eastAsia="宋体" w:cs="宋体"/>
          <w:b/>
          <w:color w:val="auto"/>
          <w:lang w:eastAsia="zh-CN" w:bidi="ar-SA"/>
        </w:rPr>
        <w:t>问题澄清通知</w:t>
      </w:r>
    </w:p>
    <w:p w14:paraId="755D82BE">
      <w:pPr>
        <w:spacing w:line="360" w:lineRule="auto"/>
        <w:jc w:val="center"/>
        <w:rPr>
          <w:rFonts w:eastAsia="宋体" w:cs="宋体"/>
          <w:color w:val="auto"/>
          <w:lang w:eastAsia="zh-CN" w:bidi="ar-SA"/>
        </w:rPr>
      </w:pPr>
      <w:r>
        <w:rPr>
          <w:rFonts w:eastAsia="宋体" w:cs="宋体"/>
          <w:color w:val="auto"/>
          <w:lang w:eastAsia="zh-CN" w:bidi="ar-SA"/>
        </w:rPr>
        <w:t>（编号：</w:t>
      </w:r>
      <w:r>
        <w:rPr>
          <w:rFonts w:eastAsia="宋体" w:cs="宋体"/>
          <w:color w:val="auto"/>
          <w:u w:val="single"/>
          <w:lang w:eastAsia="zh-CN" w:bidi="ar-SA"/>
        </w:rPr>
        <w:tab/>
      </w:r>
      <w:r>
        <w:rPr>
          <w:rFonts w:hint="eastAsia" w:eastAsia="宋体" w:cs="宋体"/>
          <w:color w:val="auto"/>
          <w:lang w:eastAsia="zh-CN" w:bidi="ar-SA"/>
        </w:rPr>
        <w:t>）</w:t>
      </w:r>
    </w:p>
    <w:p w14:paraId="1F6DA67E">
      <w:pPr>
        <w:spacing w:line="360" w:lineRule="auto"/>
        <w:ind w:firstLine="460" w:firstLineChars="200"/>
        <w:jc w:val="both"/>
        <w:rPr>
          <w:rFonts w:hint="eastAsia" w:ascii="宋体" w:hAnsi="宋体" w:eastAsia="宋体" w:cs="宋体"/>
          <w:color w:val="auto"/>
          <w:sz w:val="23"/>
          <w:szCs w:val="23"/>
          <w:u w:val="single" w:color="000000"/>
          <w:lang w:eastAsia="zh-CN" w:bidi="ar-SA"/>
        </w:rPr>
      </w:pPr>
    </w:p>
    <w:p w14:paraId="4C98DFCD">
      <w:pPr>
        <w:spacing w:line="360" w:lineRule="auto"/>
        <w:jc w:val="both"/>
        <w:rPr>
          <w:rFonts w:eastAsia="宋体" w:cs="宋体"/>
          <w:color w:val="auto"/>
          <w:lang w:eastAsia="zh-CN" w:bidi="ar-SA"/>
        </w:rPr>
      </w:pPr>
      <w:r>
        <w:rPr>
          <w:rFonts w:eastAsia="宋体" w:cs="宋体"/>
          <w:color w:val="auto"/>
          <w:u w:val="single" w:color="000000"/>
          <w:lang w:eastAsia="zh-CN" w:bidi="ar-SA"/>
        </w:rPr>
        <w:t xml:space="preserve"> </w:t>
      </w:r>
      <w:r>
        <w:rPr>
          <w:rFonts w:hint="eastAsia" w:eastAsia="宋体" w:cs="宋体"/>
          <w:color w:val="auto"/>
          <w:u w:val="single" w:color="000000"/>
          <w:lang w:eastAsia="zh-CN" w:bidi="ar-SA"/>
        </w:rPr>
        <w:t xml:space="preserve">       </w:t>
      </w:r>
      <w:r>
        <w:rPr>
          <w:rFonts w:eastAsia="宋体" w:cs="宋体"/>
          <w:color w:val="auto"/>
          <w:u w:val="single" w:color="000000"/>
          <w:lang w:eastAsia="zh-CN" w:bidi="ar-SA"/>
        </w:rPr>
        <w:tab/>
      </w:r>
      <w:r>
        <w:rPr>
          <w:rFonts w:eastAsia="宋体" w:cs="宋体"/>
          <w:color w:val="auto"/>
          <w:lang w:eastAsia="zh-CN" w:bidi="ar-SA"/>
        </w:rPr>
        <w:t>（投标人名称）：</w:t>
      </w:r>
    </w:p>
    <w:p w14:paraId="1FCEA5E0">
      <w:pPr>
        <w:spacing w:line="360" w:lineRule="auto"/>
        <w:ind w:firstLine="480" w:firstLineChars="200"/>
        <w:jc w:val="both"/>
        <w:rPr>
          <w:rFonts w:eastAsia="宋体" w:cs="宋体"/>
          <w:color w:val="auto"/>
          <w:u w:val="single" w:color="000000"/>
          <w:lang w:eastAsia="zh-CN" w:bidi="ar-SA"/>
        </w:rPr>
      </w:pPr>
    </w:p>
    <w:p w14:paraId="55BE3327">
      <w:pPr>
        <w:spacing w:line="360" w:lineRule="auto"/>
        <w:ind w:firstLine="480" w:firstLineChars="200"/>
        <w:jc w:val="both"/>
        <w:rPr>
          <w:rFonts w:eastAsia="宋体" w:cs="宋体"/>
          <w:color w:val="auto"/>
          <w:lang w:eastAsia="zh-CN" w:bidi="ar-SA"/>
        </w:rPr>
      </w:pPr>
      <w:r>
        <w:rPr>
          <w:rFonts w:hint="eastAsia" w:ascii="宋体" w:hAnsi="宋体" w:eastAsia="宋体" w:cs="Arial"/>
          <w:color w:val="auto"/>
          <w:lang w:eastAsia="zh-CN" w:bidi="ar-SA"/>
        </w:rPr>
        <w:t>新余市港口水运基础设施建设项目-袁河航道提升工程新余段库区工程第二标段监理</w:t>
      </w:r>
      <w:r>
        <w:rPr>
          <w:rFonts w:eastAsia="宋体" w:cs="宋体"/>
          <w:color w:val="auto"/>
          <w:lang w:eastAsia="zh-CN" w:bidi="ar-SA"/>
        </w:rPr>
        <w:t>招标的评标委员会，对你方的投标文件进行了仔细的审查，现需你方对下列问题以书面形式予以澄清或说明：</w:t>
      </w:r>
    </w:p>
    <w:p w14:paraId="7CBD4285">
      <w:pPr>
        <w:spacing w:line="360" w:lineRule="auto"/>
        <w:jc w:val="both"/>
        <w:rPr>
          <w:rFonts w:eastAsia="宋体" w:cs="宋体"/>
          <w:color w:val="auto"/>
          <w:lang w:eastAsia="zh-CN" w:bidi="ar-SA"/>
        </w:rPr>
      </w:pPr>
    </w:p>
    <w:p w14:paraId="03ADE2FA">
      <w:pPr>
        <w:spacing w:line="360" w:lineRule="auto"/>
        <w:ind w:firstLine="480" w:firstLineChars="200"/>
        <w:jc w:val="both"/>
        <w:rPr>
          <w:color w:val="auto"/>
          <w:lang w:eastAsia="zh-CN" w:bidi="ar-SA"/>
        </w:rPr>
      </w:pPr>
      <w:r>
        <w:rPr>
          <w:rFonts w:hint="eastAsia" w:eastAsia="宋体" w:cs="宋体"/>
          <w:color w:val="auto"/>
          <w:lang w:eastAsia="zh-CN" w:bidi="ar-SA"/>
        </w:rPr>
        <w:t>1</w:t>
      </w:r>
      <w:r>
        <w:rPr>
          <w:rFonts w:eastAsia="宋体" w:cs="宋体"/>
          <w:color w:val="auto"/>
          <w:lang w:eastAsia="zh-CN" w:bidi="ar-SA"/>
        </w:rPr>
        <w:t>.</w:t>
      </w:r>
    </w:p>
    <w:p w14:paraId="40E951A2">
      <w:pPr>
        <w:spacing w:line="360" w:lineRule="auto"/>
        <w:ind w:firstLine="480" w:firstLineChars="200"/>
        <w:jc w:val="both"/>
        <w:rPr>
          <w:color w:val="auto"/>
          <w:lang w:eastAsia="zh-CN" w:bidi="ar-SA"/>
        </w:rPr>
      </w:pPr>
      <w:r>
        <w:rPr>
          <w:rFonts w:eastAsia="宋体" w:cs="宋体"/>
          <w:color w:val="auto"/>
          <w:lang w:eastAsia="zh-CN" w:bidi="ar-SA"/>
        </w:rPr>
        <w:t>2.</w:t>
      </w:r>
    </w:p>
    <w:p w14:paraId="51ED9243">
      <w:pPr>
        <w:spacing w:line="360" w:lineRule="auto"/>
        <w:ind w:firstLine="480" w:firstLineChars="200"/>
        <w:jc w:val="both"/>
        <w:rPr>
          <w:color w:val="auto"/>
          <w:lang w:eastAsia="zh-CN" w:bidi="ar-SA"/>
        </w:rPr>
      </w:pPr>
      <w:r>
        <w:rPr>
          <w:rFonts w:hint="eastAsia" w:eastAsia="宋体" w:cs="宋体"/>
          <w:color w:val="auto"/>
          <w:lang w:eastAsia="zh-CN" w:bidi="ar-SA"/>
        </w:rPr>
        <w:t>……</w:t>
      </w:r>
    </w:p>
    <w:p w14:paraId="2210E916">
      <w:pPr>
        <w:spacing w:line="360" w:lineRule="auto"/>
        <w:ind w:firstLine="480" w:firstLineChars="200"/>
        <w:jc w:val="both"/>
        <w:rPr>
          <w:rFonts w:eastAsia="宋体" w:cs="宋体"/>
          <w:color w:val="auto"/>
          <w:lang w:eastAsia="zh-CN" w:bidi="ar-SA"/>
        </w:rPr>
      </w:pPr>
    </w:p>
    <w:p w14:paraId="7DCAB52C">
      <w:pPr>
        <w:spacing w:line="360" w:lineRule="auto"/>
        <w:ind w:firstLine="480" w:firstLineChars="200"/>
        <w:jc w:val="both"/>
        <w:rPr>
          <w:rFonts w:eastAsia="宋体" w:cs="宋体"/>
          <w:color w:val="auto"/>
          <w:lang w:eastAsia="zh-CN" w:bidi="ar-SA"/>
        </w:rPr>
      </w:pPr>
      <w:r>
        <w:rPr>
          <w:rFonts w:eastAsia="宋体" w:cs="宋体"/>
          <w:color w:val="auto"/>
          <w:lang w:eastAsia="zh-CN" w:bidi="ar-SA"/>
        </w:rPr>
        <w:t>请将上述问题的澄清或说明于</w:t>
      </w:r>
      <w:r>
        <w:rPr>
          <w:rFonts w:eastAsia="宋体" w:cs="宋体"/>
          <w:color w:val="auto"/>
          <w:u w:val="single"/>
          <w:lang w:eastAsia="zh-CN" w:bidi="ar-SA"/>
        </w:rPr>
        <w:t xml:space="preserve"> </w:t>
      </w:r>
      <w:r>
        <w:rPr>
          <w:rFonts w:hint="eastAsia" w:eastAsia="宋体" w:cs="宋体"/>
          <w:color w:val="auto"/>
          <w:u w:val="single"/>
          <w:lang w:eastAsia="zh-CN" w:bidi="ar-SA"/>
        </w:rPr>
        <w:t xml:space="preserve">    </w:t>
      </w:r>
      <w:r>
        <w:rPr>
          <w:rFonts w:eastAsia="宋体" w:cs="宋体"/>
          <w:color w:val="auto"/>
          <w:lang w:eastAsia="zh-CN" w:bidi="ar-SA"/>
        </w:rPr>
        <w:t>年</w:t>
      </w:r>
      <w:r>
        <w:rPr>
          <w:rFonts w:hint="eastAsia" w:eastAsia="宋体" w:cs="宋体"/>
          <w:color w:val="auto"/>
          <w:u w:val="single"/>
          <w:lang w:eastAsia="zh-CN" w:bidi="ar-SA"/>
        </w:rPr>
        <w:t xml:space="preserve">    </w:t>
      </w:r>
      <w:r>
        <w:rPr>
          <w:rFonts w:eastAsia="宋体" w:cs="宋体"/>
          <w:color w:val="auto"/>
          <w:lang w:eastAsia="zh-CN" w:bidi="ar-SA"/>
        </w:rPr>
        <w:t>月</w:t>
      </w:r>
      <w:r>
        <w:rPr>
          <w:rFonts w:hint="eastAsia" w:eastAsia="宋体" w:cs="宋体"/>
          <w:color w:val="auto"/>
          <w:u w:val="single"/>
          <w:lang w:eastAsia="zh-CN" w:bidi="ar-SA"/>
        </w:rPr>
        <w:t xml:space="preserve">    </w:t>
      </w:r>
      <w:r>
        <w:rPr>
          <w:rFonts w:eastAsia="宋体" w:cs="宋体"/>
          <w:color w:val="auto"/>
          <w:lang w:eastAsia="zh-CN" w:bidi="ar-SA"/>
        </w:rPr>
        <w:t>日</w:t>
      </w:r>
      <w:r>
        <w:rPr>
          <w:rFonts w:hint="eastAsia" w:eastAsia="宋体" w:cs="宋体"/>
          <w:color w:val="auto"/>
          <w:u w:val="single"/>
          <w:lang w:eastAsia="zh-CN" w:bidi="ar-SA"/>
        </w:rPr>
        <w:t xml:space="preserve">    </w:t>
      </w:r>
      <w:r>
        <w:rPr>
          <w:rFonts w:eastAsia="宋体" w:cs="宋体"/>
          <w:color w:val="auto"/>
          <w:lang w:eastAsia="zh-CN" w:bidi="ar-SA"/>
        </w:rPr>
        <w:t>时</w:t>
      </w:r>
      <w:r>
        <w:rPr>
          <w:rFonts w:hint="eastAsia" w:eastAsia="宋体" w:cs="宋体"/>
          <w:color w:val="auto"/>
          <w:u w:val="single"/>
          <w:lang w:eastAsia="zh-CN" w:bidi="ar-SA"/>
        </w:rPr>
        <w:t xml:space="preserve">    </w:t>
      </w:r>
      <w:r>
        <w:rPr>
          <w:rFonts w:eastAsia="宋体" w:cs="宋体"/>
          <w:color w:val="auto"/>
          <w:lang w:eastAsia="zh-CN" w:bidi="ar-SA"/>
        </w:rPr>
        <w:t>分前递交至</w:t>
      </w:r>
      <w:r>
        <w:rPr>
          <w:rFonts w:hint="eastAsia" w:eastAsia="宋体" w:cs="宋体"/>
          <w:color w:val="auto"/>
          <w:u w:val="single"/>
          <w:lang w:eastAsia="zh-CN" w:bidi="ar-SA"/>
        </w:rPr>
        <w:t xml:space="preserve">        </w:t>
      </w:r>
      <w:r>
        <w:rPr>
          <w:rFonts w:eastAsia="宋体" w:cs="宋体"/>
          <w:color w:val="auto"/>
          <w:lang w:eastAsia="zh-CN" w:bidi="ar-SA"/>
        </w:rPr>
        <w:t>（详细地址）或传真至</w:t>
      </w:r>
      <w:r>
        <w:rPr>
          <w:rFonts w:hint="eastAsia" w:eastAsia="宋体" w:cs="宋体"/>
          <w:color w:val="auto"/>
          <w:u w:val="single"/>
          <w:lang w:eastAsia="zh-CN" w:bidi="ar-SA"/>
        </w:rPr>
        <w:t xml:space="preserve">           </w:t>
      </w:r>
      <w:r>
        <w:rPr>
          <w:rFonts w:eastAsia="宋体" w:cs="宋体"/>
          <w:color w:val="auto"/>
          <w:lang w:eastAsia="zh-CN" w:bidi="ar-SA"/>
        </w:rPr>
        <w:t xml:space="preserve"> （传真号码）或通过下载招标文件的电子招标交易平台</w:t>
      </w:r>
      <w:r>
        <w:rPr>
          <w:rFonts w:hint="eastAsia" w:eastAsia="宋体" w:cs="宋体"/>
          <w:color w:val="auto"/>
          <w:lang w:eastAsia="zh-CN" w:bidi="ar-SA"/>
        </w:rPr>
        <w:t>上</w:t>
      </w:r>
      <w:r>
        <w:rPr>
          <w:rFonts w:eastAsia="宋体" w:cs="宋体"/>
          <w:color w:val="auto"/>
          <w:lang w:eastAsia="zh-CN" w:bidi="ar-SA"/>
        </w:rPr>
        <w:t>传</w:t>
      </w:r>
      <w:r>
        <w:rPr>
          <w:rFonts w:hint="eastAsia" w:eastAsia="宋体" w:cs="宋体"/>
          <w:color w:val="auto"/>
          <w:lang w:eastAsia="zh-CN" w:bidi="ar-SA"/>
        </w:rPr>
        <w:t>。</w:t>
      </w:r>
      <w:r>
        <w:rPr>
          <w:rFonts w:eastAsia="宋体" w:cs="宋体"/>
          <w:color w:val="auto"/>
          <w:lang w:eastAsia="zh-CN" w:bidi="ar-SA"/>
        </w:rPr>
        <w:t>采用传真方式的，应在</w:t>
      </w:r>
      <w:r>
        <w:rPr>
          <w:rFonts w:hint="eastAsia" w:eastAsia="宋体" w:cs="宋体"/>
          <w:color w:val="auto"/>
          <w:u w:val="single"/>
          <w:lang w:eastAsia="zh-CN" w:bidi="ar-SA"/>
        </w:rPr>
        <w:t xml:space="preserve">     </w:t>
      </w:r>
      <w:r>
        <w:rPr>
          <w:rFonts w:eastAsia="宋体" w:cs="宋体"/>
          <w:color w:val="auto"/>
          <w:lang w:eastAsia="zh-CN" w:bidi="ar-SA"/>
        </w:rPr>
        <w:t>年</w:t>
      </w:r>
      <w:r>
        <w:rPr>
          <w:rFonts w:hint="eastAsia" w:eastAsia="宋体" w:cs="宋体"/>
          <w:color w:val="auto"/>
          <w:u w:val="single"/>
          <w:lang w:eastAsia="zh-CN" w:bidi="ar-SA"/>
        </w:rPr>
        <w:t xml:space="preserve">     </w:t>
      </w:r>
      <w:r>
        <w:rPr>
          <w:rFonts w:eastAsia="宋体" w:cs="宋体"/>
          <w:color w:val="auto"/>
          <w:lang w:eastAsia="zh-CN" w:bidi="ar-SA"/>
        </w:rPr>
        <w:t>月</w:t>
      </w:r>
      <w:r>
        <w:rPr>
          <w:rFonts w:hint="eastAsia" w:eastAsia="宋体" w:cs="宋体"/>
          <w:color w:val="auto"/>
          <w:u w:val="single"/>
          <w:lang w:eastAsia="zh-CN" w:bidi="ar-SA"/>
        </w:rPr>
        <w:t xml:space="preserve">     </w:t>
      </w:r>
      <w:r>
        <w:rPr>
          <w:rFonts w:eastAsia="宋体" w:cs="宋体"/>
          <w:color w:val="auto"/>
          <w:lang w:eastAsia="zh-CN" w:bidi="ar-SA"/>
        </w:rPr>
        <w:t>日</w:t>
      </w:r>
      <w:r>
        <w:rPr>
          <w:rFonts w:hint="eastAsia" w:eastAsia="宋体" w:cs="宋体"/>
          <w:color w:val="auto"/>
          <w:u w:val="single"/>
          <w:lang w:eastAsia="zh-CN" w:bidi="ar-SA"/>
        </w:rPr>
        <w:t xml:space="preserve">     </w:t>
      </w:r>
      <w:r>
        <w:rPr>
          <w:rFonts w:eastAsia="宋体" w:cs="宋体"/>
          <w:color w:val="auto"/>
          <w:lang w:eastAsia="zh-CN" w:bidi="ar-SA"/>
        </w:rPr>
        <w:t>时</w:t>
      </w:r>
      <w:r>
        <w:rPr>
          <w:rFonts w:hint="eastAsia" w:eastAsia="宋体" w:cs="宋体"/>
          <w:color w:val="auto"/>
          <w:u w:val="single"/>
          <w:lang w:eastAsia="zh-CN" w:bidi="ar-SA"/>
        </w:rPr>
        <w:t xml:space="preserve">      </w:t>
      </w:r>
      <w:r>
        <w:rPr>
          <w:rFonts w:eastAsia="宋体" w:cs="宋体"/>
          <w:color w:val="auto"/>
          <w:lang w:eastAsia="zh-CN" w:bidi="ar-SA"/>
        </w:rPr>
        <w:t>分前将原件递交至</w:t>
      </w:r>
      <w:r>
        <w:rPr>
          <w:rFonts w:hint="eastAsia" w:eastAsia="宋体" w:cs="宋体"/>
          <w:color w:val="auto"/>
          <w:u w:val="single"/>
          <w:lang w:eastAsia="zh-CN" w:bidi="ar-SA"/>
        </w:rPr>
        <w:t xml:space="preserve">            </w:t>
      </w:r>
      <w:r>
        <w:rPr>
          <w:rFonts w:hint="eastAsia" w:eastAsia="宋体" w:cs="宋体"/>
          <w:color w:val="auto"/>
          <w:lang w:eastAsia="zh-CN" w:bidi="ar-SA"/>
        </w:rPr>
        <w:t>（</w:t>
      </w:r>
      <w:r>
        <w:rPr>
          <w:rFonts w:eastAsia="宋体" w:cs="宋体"/>
          <w:color w:val="auto"/>
          <w:lang w:eastAsia="zh-CN" w:bidi="ar-SA"/>
        </w:rPr>
        <w:t>详细地址）。</w:t>
      </w:r>
    </w:p>
    <w:p w14:paraId="6495646D">
      <w:pPr>
        <w:spacing w:line="360" w:lineRule="auto"/>
        <w:ind w:firstLine="480" w:firstLineChars="200"/>
        <w:jc w:val="both"/>
        <w:rPr>
          <w:rFonts w:eastAsia="宋体" w:cs="宋体"/>
          <w:color w:val="auto"/>
          <w:lang w:eastAsia="zh-CN" w:bidi="ar-SA"/>
        </w:rPr>
      </w:pPr>
    </w:p>
    <w:p w14:paraId="523A84C9">
      <w:pPr>
        <w:spacing w:line="360" w:lineRule="auto"/>
        <w:ind w:firstLine="480" w:firstLineChars="200"/>
        <w:jc w:val="both"/>
        <w:rPr>
          <w:rFonts w:eastAsia="宋体" w:cs="宋体"/>
          <w:color w:val="auto"/>
          <w:lang w:eastAsia="zh-CN" w:bidi="ar-SA"/>
        </w:rPr>
      </w:pPr>
    </w:p>
    <w:p w14:paraId="2A04EF08">
      <w:pPr>
        <w:spacing w:line="360" w:lineRule="auto"/>
        <w:ind w:firstLine="480" w:firstLineChars="200"/>
        <w:jc w:val="both"/>
        <w:rPr>
          <w:rFonts w:eastAsia="宋体" w:cs="宋体"/>
          <w:color w:val="auto"/>
          <w:lang w:eastAsia="zh-CN" w:bidi="ar-SA"/>
        </w:rPr>
      </w:pPr>
    </w:p>
    <w:p w14:paraId="1A52E1D9">
      <w:pPr>
        <w:spacing w:line="360" w:lineRule="auto"/>
        <w:ind w:firstLine="1132" w:firstLineChars="472"/>
        <w:jc w:val="both"/>
        <w:rPr>
          <w:rFonts w:eastAsia="宋体" w:cs="宋体"/>
          <w:color w:val="auto"/>
          <w:lang w:eastAsia="zh-CN" w:bidi="ar-SA"/>
        </w:rPr>
      </w:pPr>
      <w:r>
        <w:rPr>
          <w:rFonts w:eastAsia="宋体" w:cs="宋体"/>
          <w:color w:val="auto"/>
          <w:lang w:eastAsia="zh-CN" w:bidi="ar-SA"/>
        </w:rPr>
        <w:t>评标委员会授权的招标人</w:t>
      </w:r>
      <w:r>
        <w:rPr>
          <w:rFonts w:hint="eastAsia" w:eastAsia="宋体" w:cs="宋体"/>
          <w:color w:val="auto"/>
          <w:lang w:eastAsia="zh-CN" w:bidi="ar-SA"/>
        </w:rPr>
        <w:t>：</w:t>
      </w:r>
      <w:r>
        <w:rPr>
          <w:rFonts w:hint="eastAsia" w:eastAsia="宋体" w:cs="宋体"/>
          <w:color w:val="auto"/>
          <w:u w:val="single"/>
          <w:lang w:eastAsia="zh-CN" w:bidi="ar-SA"/>
        </w:rPr>
        <w:t xml:space="preserve">        </w:t>
      </w:r>
      <w:r>
        <w:rPr>
          <w:rFonts w:eastAsia="宋体" w:cs="宋体"/>
          <w:color w:val="auto"/>
          <w:u w:val="single"/>
          <w:lang w:eastAsia="zh-CN" w:bidi="ar-SA"/>
        </w:rPr>
        <w:tab/>
      </w:r>
      <w:r>
        <w:rPr>
          <w:rFonts w:hint="eastAsia" w:eastAsia="宋体" w:cs="宋体"/>
          <w:color w:val="auto"/>
          <w:lang w:eastAsia="zh-CN" w:bidi="ar-SA"/>
        </w:rPr>
        <w:t>（</w:t>
      </w:r>
      <w:r>
        <w:rPr>
          <w:rFonts w:eastAsia="宋体" w:cs="宋体"/>
          <w:color w:val="auto"/>
          <w:lang w:eastAsia="zh-CN" w:bidi="ar-SA"/>
        </w:rPr>
        <w:t>签字或盖单位章）</w:t>
      </w:r>
    </w:p>
    <w:p w14:paraId="78AEF06F">
      <w:pPr>
        <w:spacing w:line="360" w:lineRule="auto"/>
        <w:ind w:firstLine="480" w:firstLineChars="200"/>
        <w:jc w:val="both"/>
        <w:rPr>
          <w:rFonts w:eastAsia="宋体" w:cs="宋体"/>
          <w:color w:val="auto"/>
          <w:lang w:eastAsia="zh-CN" w:bidi="ar-SA"/>
        </w:rPr>
      </w:pPr>
    </w:p>
    <w:p w14:paraId="6A4AD1C6">
      <w:pPr>
        <w:spacing w:line="360" w:lineRule="auto"/>
        <w:ind w:firstLine="480" w:firstLineChars="200"/>
        <w:jc w:val="both"/>
        <w:rPr>
          <w:rFonts w:eastAsia="宋体" w:cs="宋体"/>
          <w:color w:val="auto"/>
          <w:lang w:eastAsia="zh-CN" w:bidi="ar-SA"/>
        </w:rPr>
      </w:pPr>
    </w:p>
    <w:p w14:paraId="535E9815">
      <w:pPr>
        <w:spacing w:line="360" w:lineRule="auto"/>
        <w:ind w:right="480" w:firstLine="480" w:firstLineChars="200"/>
        <w:jc w:val="right"/>
        <w:rPr>
          <w:rFonts w:eastAsia="宋体" w:cs="宋体"/>
          <w:color w:val="auto"/>
          <w:lang w:eastAsia="zh-CN" w:bidi="ar-SA"/>
        </w:rPr>
      </w:pPr>
      <w:r>
        <w:rPr>
          <w:rFonts w:hint="eastAsia" w:eastAsia="宋体" w:cs="宋体"/>
          <w:color w:val="auto"/>
          <w:lang w:eastAsia="zh-CN" w:bidi="ar-SA"/>
        </w:rPr>
        <w:t xml:space="preserve"> </w:t>
      </w:r>
      <w:r>
        <w:rPr>
          <w:rFonts w:hint="eastAsia" w:eastAsia="宋体" w:cs="宋体"/>
          <w:color w:val="auto"/>
          <w:u w:val="single"/>
          <w:lang w:eastAsia="zh-CN" w:bidi="ar-SA"/>
        </w:rPr>
        <w:t xml:space="preserve">      </w:t>
      </w:r>
      <w:r>
        <w:rPr>
          <w:rFonts w:eastAsia="宋体" w:cs="宋体"/>
          <w:color w:val="auto"/>
          <w:lang w:eastAsia="zh-CN" w:bidi="ar-SA"/>
        </w:rPr>
        <w:t>年</w:t>
      </w:r>
      <w:r>
        <w:rPr>
          <w:rFonts w:eastAsia="宋体" w:cs="宋体"/>
          <w:color w:val="auto"/>
          <w:u w:val="single"/>
          <w:lang w:eastAsia="zh-CN" w:bidi="ar-SA"/>
        </w:rPr>
        <w:tab/>
      </w:r>
      <w:r>
        <w:rPr>
          <w:rFonts w:hint="eastAsia" w:eastAsia="宋体" w:cs="宋体"/>
          <w:color w:val="auto"/>
          <w:u w:val="single"/>
          <w:lang w:eastAsia="zh-CN" w:bidi="ar-SA"/>
        </w:rPr>
        <w:t xml:space="preserve"> </w:t>
      </w:r>
      <w:r>
        <w:rPr>
          <w:rFonts w:eastAsia="宋体" w:cs="宋体"/>
          <w:color w:val="auto"/>
          <w:lang w:eastAsia="zh-CN" w:bidi="ar-SA"/>
        </w:rPr>
        <w:t>月</w:t>
      </w:r>
      <w:r>
        <w:rPr>
          <w:rFonts w:eastAsia="宋体" w:cs="宋体"/>
          <w:color w:val="auto"/>
          <w:u w:val="single"/>
          <w:lang w:eastAsia="zh-CN" w:bidi="ar-SA"/>
        </w:rPr>
        <w:tab/>
      </w:r>
      <w:r>
        <w:rPr>
          <w:rFonts w:eastAsia="宋体" w:cs="宋体"/>
          <w:color w:val="auto"/>
          <w:lang w:eastAsia="zh-CN" w:bidi="ar-SA"/>
        </w:rPr>
        <w:t>日</w:t>
      </w:r>
      <w:r>
        <w:rPr>
          <w:rFonts w:eastAsia="宋体" w:cs="宋体"/>
          <w:color w:val="auto"/>
          <w:lang w:eastAsia="zh-CN" w:bidi="ar-SA"/>
        </w:rPr>
        <w:br w:type="page"/>
      </w:r>
    </w:p>
    <w:p w14:paraId="6EFD40D5">
      <w:pPr>
        <w:snapToGrid w:val="0"/>
        <w:spacing w:before="240" w:beforeLines="100" w:after="240" w:afterLines="100"/>
        <w:outlineLvl w:val="1"/>
        <w:rPr>
          <w:rFonts w:hint="eastAsia" w:ascii="宋体" w:hAnsi="宋体" w:eastAsia="宋体" w:cs="宋体"/>
          <w:b/>
          <w:color w:val="auto"/>
          <w:spacing w:val="-10"/>
          <w:lang w:eastAsia="zh-CN" w:bidi="ar-SA"/>
        </w:rPr>
      </w:pPr>
      <w:bookmarkStart w:id="401" w:name="_Toc1550"/>
      <w:r>
        <w:rPr>
          <w:rFonts w:hint="eastAsia" w:ascii="宋体" w:hAnsi="宋体" w:eastAsia="宋体" w:cs="宋体"/>
          <w:b/>
          <w:color w:val="auto"/>
          <w:spacing w:val="-10"/>
          <w:lang w:eastAsia="zh-CN" w:bidi="ar-SA"/>
        </w:rPr>
        <w:t>附件三</w:t>
      </w:r>
      <w:r>
        <w:rPr>
          <w:rFonts w:ascii="宋体" w:hAnsi="宋体" w:eastAsia="宋体" w:cs="宋体"/>
          <w:b/>
          <w:color w:val="auto"/>
          <w:spacing w:val="-10"/>
          <w:lang w:eastAsia="zh-CN" w:bidi="ar-SA"/>
        </w:rPr>
        <w:t xml:space="preserve"> </w:t>
      </w:r>
      <w:r>
        <w:rPr>
          <w:rFonts w:hint="eastAsia" w:ascii="宋体" w:hAnsi="宋体" w:eastAsia="宋体" w:cs="宋体"/>
          <w:b/>
          <w:color w:val="auto"/>
          <w:spacing w:val="-10"/>
          <w:lang w:eastAsia="zh-CN" w:bidi="ar-SA"/>
        </w:rPr>
        <w:t xml:space="preserve"> 问题的澄清</w:t>
      </w:r>
      <w:bookmarkEnd w:id="401"/>
    </w:p>
    <w:p w14:paraId="04AD181B">
      <w:pPr>
        <w:spacing w:line="360" w:lineRule="auto"/>
        <w:jc w:val="center"/>
        <w:rPr>
          <w:rFonts w:eastAsia="宋体" w:cs="宋体"/>
          <w:b/>
          <w:color w:val="auto"/>
          <w:lang w:eastAsia="zh-CN" w:bidi="ar-SA"/>
        </w:rPr>
      </w:pPr>
      <w:r>
        <w:rPr>
          <w:rFonts w:eastAsia="宋体" w:cs="宋体"/>
          <w:b/>
          <w:color w:val="auto"/>
          <w:lang w:eastAsia="zh-CN" w:bidi="ar-SA"/>
        </w:rPr>
        <w:t>问题的澄清</w:t>
      </w:r>
    </w:p>
    <w:p w14:paraId="7F82667F">
      <w:pPr>
        <w:spacing w:line="360" w:lineRule="auto"/>
        <w:jc w:val="center"/>
        <w:rPr>
          <w:rFonts w:eastAsia="宋体" w:cs="宋体"/>
          <w:color w:val="auto"/>
          <w:lang w:eastAsia="zh-CN" w:bidi="ar-SA"/>
        </w:rPr>
      </w:pPr>
      <w:r>
        <w:rPr>
          <w:rFonts w:eastAsia="宋体" w:cs="宋体"/>
          <w:color w:val="auto"/>
          <w:lang w:eastAsia="zh-CN" w:bidi="ar-SA"/>
        </w:rPr>
        <w:t>（ 编号：</w:t>
      </w:r>
      <w:r>
        <w:rPr>
          <w:rFonts w:eastAsia="宋体" w:cs="宋体"/>
          <w:color w:val="auto"/>
          <w:u w:val="single"/>
          <w:lang w:eastAsia="zh-CN" w:bidi="ar-SA"/>
        </w:rPr>
        <w:tab/>
      </w:r>
      <w:r>
        <w:rPr>
          <w:rFonts w:hint="eastAsia" w:eastAsia="宋体" w:cs="宋体"/>
          <w:color w:val="auto"/>
          <w:u w:val="single"/>
          <w:lang w:eastAsia="zh-CN" w:bidi="ar-SA"/>
        </w:rPr>
        <w:t xml:space="preserve">                   </w:t>
      </w:r>
      <w:r>
        <w:rPr>
          <w:rFonts w:hint="eastAsia" w:eastAsia="宋体" w:cs="宋体"/>
          <w:color w:val="auto"/>
          <w:lang w:eastAsia="zh-CN" w:bidi="ar-SA"/>
        </w:rPr>
        <w:t>）</w:t>
      </w:r>
    </w:p>
    <w:p w14:paraId="48A31A29">
      <w:pPr>
        <w:spacing w:line="360" w:lineRule="auto"/>
        <w:ind w:firstLine="480" w:firstLineChars="200"/>
        <w:jc w:val="both"/>
        <w:rPr>
          <w:rFonts w:eastAsia="宋体" w:cs="宋体"/>
          <w:color w:val="auto"/>
          <w:lang w:eastAsia="zh-CN" w:bidi="ar-SA"/>
        </w:rPr>
      </w:pPr>
    </w:p>
    <w:p w14:paraId="342F72D5">
      <w:pPr>
        <w:spacing w:line="360" w:lineRule="auto"/>
        <w:ind w:firstLine="480" w:firstLineChars="200"/>
        <w:jc w:val="both"/>
        <w:rPr>
          <w:rFonts w:hint="eastAsia" w:ascii="宋体" w:hAnsi="宋体" w:eastAsia="宋体" w:cs="宋体"/>
          <w:color w:val="auto"/>
          <w:lang w:eastAsia="zh-CN" w:bidi="ar-SA"/>
        </w:rPr>
      </w:pPr>
      <w:r>
        <w:rPr>
          <w:rFonts w:hint="eastAsia" w:ascii="宋体" w:hAnsi="宋体" w:eastAsia="宋体" w:cs="Arial"/>
          <w:color w:val="auto"/>
          <w:lang w:eastAsia="zh-CN" w:bidi="ar-SA"/>
        </w:rPr>
        <w:t>新余市港口水运基础设施建设项目-袁河航道提升工程新余段库区工程第二标段监理招标</w:t>
      </w:r>
      <w:r>
        <w:rPr>
          <w:rFonts w:ascii="宋体" w:hAnsi="宋体" w:eastAsia="宋体" w:cs="宋体"/>
          <w:color w:val="auto"/>
          <w:lang w:eastAsia="zh-CN" w:bidi="ar-SA"/>
        </w:rPr>
        <w:t>评标委员会：</w:t>
      </w:r>
    </w:p>
    <w:p w14:paraId="1B552A5A">
      <w:pPr>
        <w:spacing w:line="360" w:lineRule="auto"/>
        <w:ind w:firstLine="480" w:firstLineChars="200"/>
        <w:jc w:val="both"/>
        <w:rPr>
          <w:rFonts w:eastAsia="宋体" w:cs="宋体"/>
          <w:color w:val="auto"/>
          <w:lang w:eastAsia="zh-CN" w:bidi="ar-SA"/>
        </w:rPr>
      </w:pPr>
    </w:p>
    <w:p w14:paraId="2D46716C">
      <w:pPr>
        <w:spacing w:line="360" w:lineRule="auto"/>
        <w:ind w:firstLine="480" w:firstLineChars="200"/>
        <w:jc w:val="both"/>
        <w:rPr>
          <w:rFonts w:hint="eastAsia" w:ascii="宋体" w:hAnsi="宋体" w:eastAsia="宋体" w:cs="宋体"/>
          <w:color w:val="auto"/>
          <w:lang w:eastAsia="zh-CN" w:bidi="ar-SA"/>
        </w:rPr>
      </w:pPr>
      <w:r>
        <w:rPr>
          <w:rFonts w:ascii="宋体" w:hAnsi="宋体" w:eastAsia="宋体" w:cs="宋体"/>
          <w:color w:val="auto"/>
          <w:lang w:eastAsia="zh-CN" w:bidi="ar-SA"/>
        </w:rPr>
        <w:t>问题澄清通知（编号：</w:t>
      </w:r>
      <w:r>
        <w:rPr>
          <w:rFonts w:hint="eastAsia" w:ascii="宋体" w:hAnsi="宋体" w:eastAsia="宋体" w:cs="宋体"/>
          <w:color w:val="auto"/>
          <w:u w:val="single"/>
          <w:lang w:eastAsia="zh-CN" w:bidi="ar-SA"/>
        </w:rPr>
        <w:t xml:space="preserve"> </w:t>
      </w:r>
      <w:r>
        <w:rPr>
          <w:rFonts w:ascii="宋体" w:hAnsi="宋体" w:eastAsia="宋体" w:cs="宋体"/>
          <w:color w:val="auto"/>
          <w:u w:val="single"/>
          <w:lang w:eastAsia="zh-CN" w:bidi="ar-SA"/>
        </w:rPr>
        <w:t xml:space="preserve"> </w:t>
      </w:r>
      <w:r>
        <w:rPr>
          <w:rFonts w:ascii="宋体" w:hAnsi="宋体" w:eastAsia="宋体" w:cs="宋体"/>
          <w:color w:val="auto"/>
          <w:u w:val="single"/>
          <w:lang w:eastAsia="zh-CN" w:bidi="ar-SA"/>
        </w:rPr>
        <w:tab/>
      </w:r>
      <w:r>
        <w:rPr>
          <w:rFonts w:ascii="宋体" w:hAnsi="宋体" w:eastAsia="宋体" w:cs="宋体"/>
          <w:color w:val="auto"/>
          <w:lang w:eastAsia="zh-CN" w:bidi="ar-SA"/>
        </w:rPr>
        <w:t>）己收悉，现澄清、说明如下：</w:t>
      </w:r>
    </w:p>
    <w:p w14:paraId="027A14F4">
      <w:pPr>
        <w:spacing w:line="360" w:lineRule="auto"/>
        <w:ind w:firstLine="480" w:firstLineChars="200"/>
        <w:jc w:val="both"/>
        <w:rPr>
          <w:rFonts w:eastAsia="宋体" w:cs="宋体"/>
          <w:color w:val="auto"/>
          <w:lang w:eastAsia="zh-CN" w:bidi="ar-SA"/>
        </w:rPr>
      </w:pPr>
    </w:p>
    <w:p w14:paraId="20828A84">
      <w:pPr>
        <w:spacing w:line="360" w:lineRule="auto"/>
        <w:ind w:firstLine="480" w:firstLineChars="200"/>
        <w:jc w:val="both"/>
        <w:rPr>
          <w:rFonts w:eastAsia="宋体"/>
          <w:color w:val="auto"/>
          <w:lang w:eastAsia="zh-CN" w:bidi="ar-SA"/>
        </w:rPr>
      </w:pPr>
      <w:r>
        <w:rPr>
          <w:rFonts w:eastAsia="宋体"/>
          <w:color w:val="auto"/>
          <w:lang w:eastAsia="zh-CN" w:bidi="ar-SA"/>
        </w:rPr>
        <w:t>1.</w:t>
      </w:r>
    </w:p>
    <w:p w14:paraId="4B08B46F">
      <w:pPr>
        <w:spacing w:line="360" w:lineRule="auto"/>
        <w:ind w:firstLine="480" w:firstLineChars="200"/>
        <w:jc w:val="both"/>
        <w:rPr>
          <w:rFonts w:eastAsia="宋体"/>
          <w:color w:val="auto"/>
          <w:lang w:eastAsia="zh-CN" w:bidi="ar-SA"/>
        </w:rPr>
      </w:pPr>
      <w:r>
        <w:rPr>
          <w:rFonts w:eastAsia="宋体"/>
          <w:color w:val="auto"/>
          <w:lang w:eastAsia="zh-CN" w:bidi="ar-SA"/>
        </w:rPr>
        <w:t>2.</w:t>
      </w:r>
    </w:p>
    <w:p w14:paraId="27FEE5EF">
      <w:pPr>
        <w:spacing w:line="360" w:lineRule="auto"/>
        <w:ind w:firstLine="480" w:firstLineChars="200"/>
        <w:jc w:val="both"/>
        <w:rPr>
          <w:rFonts w:eastAsia="宋体" w:cs="宋体"/>
          <w:color w:val="auto"/>
          <w:lang w:eastAsia="zh-CN" w:bidi="ar-SA"/>
        </w:rPr>
      </w:pPr>
    </w:p>
    <w:p w14:paraId="78C7D2F8">
      <w:pPr>
        <w:spacing w:line="360" w:lineRule="auto"/>
        <w:ind w:firstLine="480" w:firstLineChars="200"/>
        <w:jc w:val="both"/>
        <w:rPr>
          <w:rFonts w:eastAsia="宋体" w:cs="宋体"/>
          <w:color w:val="auto"/>
          <w:lang w:eastAsia="zh-CN" w:bidi="ar-SA"/>
        </w:rPr>
      </w:pPr>
      <w:r>
        <w:rPr>
          <w:rFonts w:hint="eastAsia" w:eastAsia="宋体" w:cs="宋体"/>
          <w:color w:val="auto"/>
          <w:lang w:eastAsia="zh-CN" w:bidi="ar-SA"/>
        </w:rPr>
        <w:t>……</w:t>
      </w:r>
    </w:p>
    <w:p w14:paraId="24F5696F">
      <w:pPr>
        <w:spacing w:line="360" w:lineRule="auto"/>
        <w:ind w:firstLine="480" w:firstLineChars="200"/>
        <w:jc w:val="both"/>
        <w:rPr>
          <w:rFonts w:eastAsia="宋体" w:cs="宋体"/>
          <w:color w:val="auto"/>
          <w:lang w:eastAsia="zh-CN" w:bidi="ar-SA"/>
        </w:rPr>
      </w:pPr>
    </w:p>
    <w:p w14:paraId="75DA8C2E">
      <w:pPr>
        <w:spacing w:line="360" w:lineRule="auto"/>
        <w:ind w:firstLine="480" w:firstLineChars="200"/>
        <w:jc w:val="both"/>
        <w:rPr>
          <w:rFonts w:hint="eastAsia" w:ascii="宋体" w:hAnsi="宋体" w:eastAsia="宋体" w:cs="宋体"/>
          <w:color w:val="auto"/>
          <w:lang w:eastAsia="zh-CN" w:bidi="ar-SA"/>
        </w:rPr>
      </w:pPr>
      <w:r>
        <w:rPr>
          <w:rFonts w:ascii="宋体" w:hAnsi="宋体" w:eastAsia="宋体" w:cs="宋体"/>
          <w:color w:val="auto"/>
          <w:lang w:eastAsia="zh-CN" w:bidi="ar-SA"/>
        </w:rPr>
        <w:t>上述问题澄清或说明，不改变我方投标文件的实质性内容，构成我方投标文件的组成部分。</w:t>
      </w:r>
    </w:p>
    <w:p w14:paraId="5C40BE24">
      <w:pPr>
        <w:spacing w:line="360" w:lineRule="auto"/>
        <w:ind w:firstLine="480" w:firstLineChars="200"/>
        <w:jc w:val="both"/>
        <w:rPr>
          <w:rFonts w:eastAsia="宋体" w:cs="宋体"/>
          <w:color w:val="auto"/>
          <w:lang w:eastAsia="zh-CN" w:bidi="ar-SA"/>
        </w:rPr>
      </w:pPr>
    </w:p>
    <w:p w14:paraId="3ACB479D">
      <w:pPr>
        <w:spacing w:line="360" w:lineRule="auto"/>
        <w:ind w:firstLine="480" w:firstLineChars="200"/>
        <w:jc w:val="both"/>
        <w:rPr>
          <w:rFonts w:eastAsia="宋体" w:cs="宋体"/>
          <w:color w:val="auto"/>
          <w:lang w:eastAsia="zh-CN" w:bidi="ar-SA"/>
        </w:rPr>
      </w:pPr>
    </w:p>
    <w:p w14:paraId="23873864">
      <w:pPr>
        <w:spacing w:line="360" w:lineRule="auto"/>
        <w:ind w:firstLine="480" w:firstLineChars="200"/>
        <w:jc w:val="right"/>
        <w:rPr>
          <w:rFonts w:hint="eastAsia" w:ascii="宋体" w:hAnsi="宋体" w:eastAsia="宋体" w:cs="宋体"/>
          <w:color w:val="auto"/>
          <w:lang w:eastAsia="zh-CN" w:bidi="ar-SA"/>
        </w:rPr>
      </w:pPr>
      <w:r>
        <w:rPr>
          <w:rFonts w:ascii="宋体" w:hAnsi="宋体" w:eastAsia="宋体" w:cs="宋体"/>
          <w:color w:val="auto"/>
          <w:lang w:eastAsia="zh-CN" w:bidi="ar-SA"/>
        </w:rPr>
        <w:t>投标人：</w:t>
      </w:r>
      <w:r>
        <w:rPr>
          <w:rFonts w:ascii="宋体" w:hAnsi="宋体" w:eastAsia="宋体" w:cs="宋体"/>
          <w:color w:val="auto"/>
          <w:u w:val="single"/>
          <w:lang w:eastAsia="zh-CN" w:bidi="ar-SA"/>
        </w:rPr>
        <w:tab/>
      </w:r>
      <w:r>
        <w:rPr>
          <w:rFonts w:hint="eastAsia" w:ascii="宋体" w:hAnsi="宋体" w:eastAsia="宋体" w:cs="宋体"/>
          <w:color w:val="auto"/>
          <w:u w:val="single"/>
          <w:lang w:eastAsia="zh-CN" w:bidi="ar-SA"/>
        </w:rPr>
        <w:t xml:space="preserve">             </w:t>
      </w:r>
      <w:r>
        <w:rPr>
          <w:rFonts w:ascii="宋体" w:hAnsi="宋体" w:eastAsia="宋体" w:cs="宋体"/>
          <w:color w:val="auto"/>
          <w:lang w:eastAsia="zh-CN" w:bidi="ar-SA"/>
        </w:rPr>
        <w:t>（盖单位章</w:t>
      </w:r>
      <w:r>
        <w:rPr>
          <w:rFonts w:hint="eastAsia" w:ascii="宋体" w:hAnsi="宋体" w:eastAsia="宋体" w:cs="宋体"/>
          <w:color w:val="auto"/>
          <w:lang w:eastAsia="zh-CN" w:bidi="ar-SA"/>
        </w:rPr>
        <w:t>）</w:t>
      </w:r>
    </w:p>
    <w:p w14:paraId="158B0C74">
      <w:pPr>
        <w:spacing w:line="360" w:lineRule="auto"/>
        <w:ind w:firstLine="480" w:firstLineChars="200"/>
        <w:jc w:val="both"/>
        <w:rPr>
          <w:rFonts w:eastAsia="宋体" w:cs="宋体"/>
          <w:color w:val="auto"/>
          <w:lang w:eastAsia="zh-CN" w:bidi="ar-SA"/>
        </w:rPr>
      </w:pPr>
    </w:p>
    <w:p w14:paraId="1269737E">
      <w:pPr>
        <w:spacing w:line="360" w:lineRule="auto"/>
        <w:ind w:firstLine="480" w:firstLineChars="200"/>
        <w:jc w:val="right"/>
        <w:rPr>
          <w:rFonts w:hint="eastAsia" w:ascii="宋体" w:hAnsi="宋体" w:eastAsia="宋体" w:cs="宋体"/>
          <w:color w:val="auto"/>
          <w:lang w:eastAsia="zh-CN" w:bidi="ar-SA"/>
        </w:rPr>
      </w:pPr>
      <w:r>
        <w:rPr>
          <w:rFonts w:ascii="宋体" w:hAnsi="宋体" w:eastAsia="宋体" w:cs="宋体"/>
          <w:color w:val="auto"/>
          <w:lang w:eastAsia="zh-CN" w:bidi="ar-SA"/>
        </w:rPr>
        <w:t>法定代表人或其委托代理人：</w:t>
      </w:r>
      <w:r>
        <w:rPr>
          <w:rFonts w:ascii="宋体" w:hAnsi="宋体" w:eastAsia="宋体" w:cs="宋体"/>
          <w:color w:val="auto"/>
          <w:u w:val="single"/>
          <w:lang w:eastAsia="zh-CN" w:bidi="ar-SA"/>
        </w:rPr>
        <w:tab/>
      </w:r>
      <w:r>
        <w:rPr>
          <w:rFonts w:ascii="宋体" w:hAnsi="宋体" w:eastAsia="宋体" w:cs="宋体"/>
          <w:color w:val="auto"/>
          <w:lang w:eastAsia="zh-CN" w:bidi="ar-SA"/>
        </w:rPr>
        <w:t>（签字）</w:t>
      </w:r>
    </w:p>
    <w:p w14:paraId="728068D6">
      <w:pPr>
        <w:spacing w:line="360" w:lineRule="auto"/>
        <w:ind w:firstLine="480" w:firstLineChars="200"/>
        <w:jc w:val="both"/>
        <w:rPr>
          <w:rFonts w:eastAsia="宋体" w:cs="宋体"/>
          <w:color w:val="auto"/>
          <w:lang w:eastAsia="zh-CN" w:bidi="ar-SA"/>
        </w:rPr>
      </w:pPr>
    </w:p>
    <w:p w14:paraId="4342BF32">
      <w:pPr>
        <w:spacing w:line="360" w:lineRule="auto"/>
        <w:ind w:firstLine="480" w:firstLineChars="200"/>
        <w:jc w:val="both"/>
        <w:rPr>
          <w:rFonts w:eastAsia="宋体" w:cs="宋体"/>
          <w:color w:val="auto"/>
          <w:lang w:eastAsia="zh-CN" w:bidi="ar-SA"/>
        </w:rPr>
      </w:pPr>
    </w:p>
    <w:p w14:paraId="72ADB8E7">
      <w:pPr>
        <w:spacing w:line="360" w:lineRule="auto"/>
        <w:ind w:firstLine="480" w:firstLineChars="200"/>
        <w:jc w:val="right"/>
        <w:rPr>
          <w:rFonts w:hint="eastAsia" w:ascii="宋体" w:hAnsi="宋体" w:eastAsia="宋体" w:cs="宋体"/>
          <w:color w:val="auto"/>
          <w:lang w:eastAsia="zh-CN" w:bidi="ar-SA"/>
        </w:rPr>
      </w:pPr>
      <w:r>
        <w:rPr>
          <w:rFonts w:hint="eastAsia" w:ascii="宋体" w:hAnsi="宋体" w:eastAsia="宋体" w:cs="宋体"/>
          <w:color w:val="auto"/>
          <w:lang w:eastAsia="zh-CN" w:bidi="ar-SA"/>
        </w:rPr>
        <w:t xml:space="preserve">  </w:t>
      </w:r>
      <w:r>
        <w:rPr>
          <w:rFonts w:hint="eastAsia" w:ascii="宋体" w:hAnsi="宋体" w:eastAsia="宋体" w:cs="宋体"/>
          <w:color w:val="auto"/>
          <w:u w:val="single"/>
          <w:lang w:eastAsia="zh-CN" w:bidi="ar-SA"/>
        </w:rPr>
        <w:t xml:space="preserve">     </w:t>
      </w:r>
      <w:r>
        <w:rPr>
          <w:rFonts w:ascii="宋体" w:hAnsi="宋体" w:eastAsia="宋体" w:cs="宋体"/>
          <w:color w:val="auto"/>
          <w:lang w:eastAsia="zh-CN" w:bidi="ar-SA"/>
        </w:rPr>
        <w:t>年</w:t>
      </w:r>
      <w:r>
        <w:rPr>
          <w:rFonts w:hint="eastAsia" w:ascii="宋体" w:hAnsi="宋体" w:eastAsia="宋体" w:cs="宋体"/>
          <w:color w:val="auto"/>
          <w:lang w:eastAsia="zh-CN" w:bidi="ar-SA"/>
        </w:rPr>
        <w:t xml:space="preserve"> </w:t>
      </w:r>
      <w:r>
        <w:rPr>
          <w:rFonts w:hint="eastAsia" w:ascii="宋体" w:hAnsi="宋体" w:eastAsia="宋体" w:cs="宋体"/>
          <w:color w:val="auto"/>
          <w:u w:val="single"/>
          <w:lang w:eastAsia="zh-CN" w:bidi="ar-SA"/>
        </w:rPr>
        <w:t xml:space="preserve">     </w:t>
      </w:r>
      <w:r>
        <w:rPr>
          <w:rFonts w:ascii="宋体" w:hAnsi="宋体" w:eastAsia="宋体" w:cs="宋体"/>
          <w:color w:val="auto"/>
          <w:lang w:eastAsia="zh-CN" w:bidi="ar-SA"/>
        </w:rPr>
        <w:t>月</w:t>
      </w:r>
      <w:r>
        <w:rPr>
          <w:rFonts w:hint="eastAsia" w:ascii="宋体" w:hAnsi="宋体" w:eastAsia="宋体" w:cs="宋体"/>
          <w:color w:val="auto"/>
          <w:lang w:eastAsia="zh-CN" w:bidi="ar-SA"/>
        </w:rPr>
        <w:t xml:space="preserve"> </w:t>
      </w:r>
      <w:r>
        <w:rPr>
          <w:rFonts w:hint="eastAsia" w:ascii="宋体" w:hAnsi="宋体" w:eastAsia="宋体" w:cs="宋体"/>
          <w:color w:val="auto"/>
          <w:u w:val="single"/>
          <w:lang w:eastAsia="zh-CN" w:bidi="ar-SA"/>
        </w:rPr>
        <w:t xml:space="preserve">     </w:t>
      </w:r>
      <w:r>
        <w:rPr>
          <w:rFonts w:ascii="宋体" w:hAnsi="宋体" w:eastAsia="宋体" w:cs="宋体"/>
          <w:color w:val="auto"/>
          <w:lang w:eastAsia="zh-CN" w:bidi="ar-SA"/>
        </w:rPr>
        <w:t>日</w:t>
      </w:r>
      <w:r>
        <w:rPr>
          <w:rFonts w:ascii="宋体" w:hAnsi="宋体" w:eastAsia="宋体" w:cs="宋体"/>
          <w:color w:val="auto"/>
          <w:lang w:eastAsia="zh-CN" w:bidi="ar-SA"/>
        </w:rPr>
        <w:br w:type="page"/>
      </w:r>
    </w:p>
    <w:p w14:paraId="0D9B6AA9">
      <w:pPr>
        <w:snapToGrid w:val="0"/>
        <w:spacing w:before="240" w:beforeLines="100" w:after="240" w:afterLines="100"/>
        <w:outlineLvl w:val="1"/>
        <w:rPr>
          <w:rFonts w:hint="eastAsia" w:ascii="宋体" w:hAnsi="宋体" w:eastAsia="宋体" w:cs="宋体"/>
          <w:b/>
          <w:color w:val="auto"/>
          <w:spacing w:val="-10"/>
          <w:lang w:eastAsia="zh-CN" w:bidi="ar-SA"/>
        </w:rPr>
      </w:pPr>
      <w:bookmarkStart w:id="402" w:name="_Toc23948"/>
      <w:r>
        <w:rPr>
          <w:rFonts w:hint="eastAsia" w:ascii="宋体" w:hAnsi="宋体" w:eastAsia="宋体" w:cs="宋体"/>
          <w:b/>
          <w:color w:val="auto"/>
          <w:spacing w:val="-10"/>
          <w:lang w:eastAsia="zh-CN" w:bidi="ar-SA"/>
        </w:rPr>
        <w:t>附件四</w:t>
      </w:r>
      <w:r>
        <w:rPr>
          <w:rFonts w:ascii="宋体" w:hAnsi="宋体" w:eastAsia="宋体" w:cs="宋体"/>
          <w:b/>
          <w:color w:val="auto"/>
          <w:spacing w:val="-10"/>
          <w:lang w:eastAsia="zh-CN" w:bidi="ar-SA"/>
        </w:rPr>
        <w:t xml:space="preserve"> </w:t>
      </w:r>
      <w:r>
        <w:rPr>
          <w:rFonts w:hint="eastAsia" w:ascii="宋体" w:hAnsi="宋体" w:eastAsia="宋体" w:cs="宋体"/>
          <w:b/>
          <w:color w:val="auto"/>
          <w:spacing w:val="-10"/>
          <w:lang w:eastAsia="zh-CN" w:bidi="ar-SA"/>
        </w:rPr>
        <w:t xml:space="preserve"> 中标通知书</w:t>
      </w:r>
      <w:bookmarkEnd w:id="402"/>
    </w:p>
    <w:p w14:paraId="1E5788DF">
      <w:pPr>
        <w:spacing w:line="360" w:lineRule="auto"/>
        <w:jc w:val="center"/>
        <w:rPr>
          <w:rFonts w:eastAsia="宋体" w:cs="宋体"/>
          <w:b/>
          <w:bCs/>
          <w:color w:val="auto"/>
          <w:lang w:eastAsia="zh-CN" w:bidi="ar-SA"/>
        </w:rPr>
      </w:pPr>
      <w:r>
        <w:rPr>
          <w:rFonts w:eastAsia="宋体" w:cs="宋体"/>
          <w:b/>
          <w:bCs/>
          <w:color w:val="auto"/>
          <w:lang w:eastAsia="zh-CN" w:bidi="ar-SA"/>
        </w:rPr>
        <w:t>中标通知书</w:t>
      </w:r>
    </w:p>
    <w:p w14:paraId="1F2AA4B0">
      <w:pPr>
        <w:spacing w:line="360" w:lineRule="auto"/>
        <w:jc w:val="both"/>
        <w:rPr>
          <w:rFonts w:eastAsia="宋体" w:cs="宋体"/>
          <w:color w:val="auto"/>
          <w:lang w:eastAsia="zh-CN" w:bidi="ar-SA"/>
        </w:rPr>
      </w:pPr>
    </w:p>
    <w:p w14:paraId="41FCA6F7">
      <w:pPr>
        <w:spacing w:line="360" w:lineRule="auto"/>
        <w:jc w:val="both"/>
        <w:rPr>
          <w:rFonts w:eastAsia="宋体" w:cs="宋体"/>
          <w:color w:val="auto"/>
          <w:lang w:eastAsia="zh-CN" w:bidi="ar-SA"/>
        </w:rPr>
      </w:pPr>
      <w:r>
        <w:rPr>
          <w:rFonts w:eastAsia="宋体" w:cs="宋体"/>
          <w:color w:val="auto"/>
          <w:u w:val="single" w:color="000000"/>
          <w:lang w:eastAsia="zh-CN" w:bidi="ar-SA"/>
        </w:rPr>
        <w:t xml:space="preserve"> </w:t>
      </w:r>
      <w:r>
        <w:rPr>
          <w:rFonts w:hint="eastAsia" w:eastAsia="宋体" w:cs="宋体"/>
          <w:color w:val="auto"/>
          <w:u w:val="single" w:color="000000"/>
          <w:lang w:eastAsia="zh-CN" w:bidi="ar-SA"/>
        </w:rPr>
        <w:t xml:space="preserve">     </w:t>
      </w:r>
      <w:r>
        <w:rPr>
          <w:rFonts w:eastAsia="宋体" w:cs="宋体"/>
          <w:color w:val="auto"/>
          <w:u w:val="single" w:color="000000"/>
          <w:lang w:eastAsia="zh-CN" w:bidi="ar-SA"/>
        </w:rPr>
        <w:tab/>
      </w:r>
      <w:r>
        <w:rPr>
          <w:rFonts w:eastAsia="宋体" w:cs="宋体"/>
          <w:color w:val="auto"/>
          <w:lang w:eastAsia="zh-CN" w:bidi="ar-SA"/>
        </w:rPr>
        <w:t>（中标人名称）：</w:t>
      </w:r>
    </w:p>
    <w:p w14:paraId="149E1FF5">
      <w:pPr>
        <w:spacing w:line="360" w:lineRule="auto"/>
        <w:ind w:firstLine="480" w:firstLineChars="200"/>
        <w:jc w:val="both"/>
        <w:rPr>
          <w:rFonts w:eastAsia="宋体" w:cs="宋体"/>
          <w:color w:val="auto"/>
          <w:lang w:eastAsia="zh-CN" w:bidi="ar-SA"/>
        </w:rPr>
      </w:pPr>
    </w:p>
    <w:p w14:paraId="113CC5C2">
      <w:pPr>
        <w:spacing w:line="360" w:lineRule="auto"/>
        <w:ind w:firstLine="480" w:firstLineChars="200"/>
        <w:jc w:val="both"/>
        <w:rPr>
          <w:rFonts w:eastAsia="宋体" w:cs="宋体"/>
          <w:color w:val="auto"/>
          <w:lang w:eastAsia="zh-CN" w:bidi="ar-SA"/>
        </w:rPr>
      </w:pPr>
      <w:r>
        <w:rPr>
          <w:rFonts w:eastAsia="宋体" w:cs="宋体"/>
          <w:color w:val="auto"/>
          <w:lang w:eastAsia="zh-CN" w:bidi="ar-SA"/>
        </w:rPr>
        <w:t>你方于</w:t>
      </w:r>
      <w:r>
        <w:rPr>
          <w:rFonts w:eastAsia="宋体" w:cs="宋体"/>
          <w:color w:val="auto"/>
          <w:u w:val="single"/>
          <w:lang w:eastAsia="zh-CN" w:bidi="ar-SA"/>
        </w:rPr>
        <w:tab/>
      </w:r>
      <w:r>
        <w:rPr>
          <w:rFonts w:hint="eastAsia" w:eastAsia="宋体" w:cs="宋体"/>
          <w:color w:val="auto"/>
          <w:u w:val="single"/>
          <w:lang w:eastAsia="zh-CN" w:bidi="ar-SA"/>
        </w:rPr>
        <w:t xml:space="preserve">            </w:t>
      </w:r>
      <w:r>
        <w:rPr>
          <w:rFonts w:eastAsia="宋体" w:cs="宋体"/>
          <w:color w:val="auto"/>
          <w:lang w:eastAsia="zh-CN" w:bidi="ar-SA"/>
        </w:rPr>
        <w:t>（投标日期）所递交的</w:t>
      </w:r>
      <w:r>
        <w:rPr>
          <w:rFonts w:hint="eastAsia" w:ascii="宋体" w:hAnsi="宋体" w:eastAsia="宋体" w:cs="Arial"/>
          <w:color w:val="auto"/>
          <w:lang w:eastAsia="zh-CN" w:bidi="ar-SA"/>
        </w:rPr>
        <w:t>新余市港口水运基础设施建设项目-袁河航道提升工程新余段库区工程第二标段监理</w:t>
      </w:r>
      <w:r>
        <w:rPr>
          <w:rFonts w:hint="eastAsia" w:eastAsia="宋体" w:cs="宋体"/>
          <w:color w:val="auto"/>
          <w:lang w:eastAsia="zh-CN" w:bidi="ar-SA"/>
        </w:rPr>
        <w:t>招标</w:t>
      </w:r>
      <w:r>
        <w:rPr>
          <w:rFonts w:eastAsia="宋体" w:cs="宋体"/>
          <w:color w:val="auto"/>
          <w:u w:val="single"/>
          <w:lang w:eastAsia="zh-CN" w:bidi="ar-SA"/>
        </w:rPr>
        <w:t xml:space="preserve">        </w:t>
      </w:r>
      <w:r>
        <w:rPr>
          <w:rFonts w:hint="eastAsia" w:eastAsia="宋体" w:cs="宋体"/>
          <w:color w:val="auto"/>
          <w:lang w:eastAsia="zh-CN" w:bidi="ar-SA"/>
        </w:rPr>
        <w:t>标</w:t>
      </w:r>
      <w:r>
        <w:rPr>
          <w:rFonts w:eastAsia="宋体" w:cs="宋体"/>
          <w:color w:val="auto"/>
          <w:lang w:eastAsia="zh-CN" w:bidi="ar-SA"/>
        </w:rPr>
        <w:t>段投标文件</w:t>
      </w:r>
      <w:r>
        <w:rPr>
          <w:rFonts w:hint="eastAsia" w:eastAsia="宋体" w:cs="宋体"/>
          <w:color w:val="auto"/>
          <w:lang w:eastAsia="zh-CN" w:bidi="ar-SA"/>
        </w:rPr>
        <w:t>已</w:t>
      </w:r>
      <w:r>
        <w:rPr>
          <w:rFonts w:eastAsia="宋体" w:cs="宋体"/>
          <w:color w:val="auto"/>
          <w:lang w:eastAsia="zh-CN" w:bidi="ar-SA"/>
        </w:rPr>
        <w:t>被我方接受，被确定为中标人。</w:t>
      </w:r>
    </w:p>
    <w:p w14:paraId="637B6F74">
      <w:pPr>
        <w:spacing w:line="360" w:lineRule="auto"/>
        <w:ind w:firstLine="480" w:firstLineChars="200"/>
        <w:jc w:val="both"/>
        <w:rPr>
          <w:rFonts w:eastAsia="宋体" w:cs="宋体"/>
          <w:color w:val="auto"/>
          <w:lang w:eastAsia="zh-CN" w:bidi="ar-SA"/>
        </w:rPr>
      </w:pPr>
      <w:r>
        <w:rPr>
          <w:rFonts w:hint="eastAsia" w:eastAsia="宋体" w:cs="宋体"/>
          <w:color w:val="auto"/>
          <w:lang w:eastAsia="zh-CN" w:bidi="ar-SA"/>
        </w:rPr>
        <w:t>中标价：</w:t>
      </w:r>
      <w:r>
        <w:rPr>
          <w:rFonts w:hint="eastAsia" w:eastAsia="宋体" w:cs="宋体"/>
          <w:color w:val="auto"/>
          <w:u w:val="single"/>
          <w:lang w:eastAsia="zh-CN" w:bidi="ar-SA"/>
        </w:rPr>
        <w:t xml:space="preserve"> </w:t>
      </w:r>
      <w:r>
        <w:rPr>
          <w:rFonts w:eastAsia="宋体" w:cs="宋体"/>
          <w:color w:val="auto"/>
          <w:u w:val="single"/>
          <w:lang w:eastAsia="zh-CN" w:bidi="ar-SA"/>
        </w:rPr>
        <w:t xml:space="preserve">          </w:t>
      </w:r>
      <w:r>
        <w:rPr>
          <w:rFonts w:hint="eastAsia" w:eastAsia="宋体" w:cs="宋体"/>
          <w:color w:val="auto"/>
          <w:u w:val="single"/>
          <w:lang w:eastAsia="zh-CN" w:bidi="ar-SA"/>
        </w:rPr>
        <w:t xml:space="preserve"> </w:t>
      </w:r>
      <w:r>
        <w:rPr>
          <w:rFonts w:eastAsia="宋体" w:cs="宋体"/>
          <w:color w:val="auto"/>
          <w:u w:val="single"/>
          <w:lang w:eastAsia="zh-CN" w:bidi="ar-SA"/>
        </w:rPr>
        <w:t xml:space="preserve">           </w:t>
      </w:r>
      <w:r>
        <w:rPr>
          <w:rFonts w:eastAsia="宋体" w:cs="宋体"/>
          <w:color w:val="auto"/>
          <w:lang w:eastAsia="zh-CN" w:bidi="ar-SA"/>
        </w:rPr>
        <w:t xml:space="preserve"> </w:t>
      </w:r>
      <w:r>
        <w:rPr>
          <w:rFonts w:hint="eastAsia" w:eastAsia="宋体" w:cs="宋体"/>
          <w:color w:val="auto"/>
          <w:lang w:eastAsia="zh-CN" w:bidi="ar-SA"/>
        </w:rPr>
        <w:t>元。</w:t>
      </w:r>
    </w:p>
    <w:p w14:paraId="116F9607">
      <w:pPr>
        <w:spacing w:line="360" w:lineRule="auto"/>
        <w:ind w:firstLine="480" w:firstLineChars="200"/>
        <w:jc w:val="both"/>
        <w:rPr>
          <w:rFonts w:hint="eastAsia" w:ascii="宋体" w:hAnsi="宋体" w:eastAsia="宋体" w:cs="宋体"/>
          <w:color w:val="auto"/>
          <w:szCs w:val="21"/>
          <w:lang w:eastAsia="zh-CN" w:bidi="ar-SA"/>
        </w:rPr>
      </w:pPr>
      <w:r>
        <w:rPr>
          <w:rFonts w:hint="eastAsia" w:ascii="宋体" w:hAnsi="宋体" w:eastAsia="宋体" w:cs="宋体"/>
          <w:color w:val="auto"/>
          <w:szCs w:val="21"/>
          <w:lang w:eastAsia="zh-CN" w:bidi="ar-SA"/>
        </w:rPr>
        <w:t>总监理工程师：</w:t>
      </w:r>
      <w:r>
        <w:rPr>
          <w:rFonts w:eastAsia="宋体" w:cs="宋体"/>
          <w:color w:val="auto"/>
          <w:u w:val="single"/>
          <w:lang w:eastAsia="zh-CN" w:bidi="ar-SA"/>
        </w:rPr>
        <w:tab/>
      </w:r>
      <w:r>
        <w:rPr>
          <w:rFonts w:eastAsia="宋体" w:cs="宋体"/>
          <w:color w:val="auto"/>
          <w:u w:val="single"/>
          <w:lang w:eastAsia="zh-CN" w:bidi="ar-SA"/>
        </w:rPr>
        <w:t xml:space="preserve">           </w:t>
      </w:r>
      <w:r>
        <w:rPr>
          <w:rFonts w:eastAsia="宋体" w:cs="宋体"/>
          <w:color w:val="auto"/>
          <w:u w:val="single"/>
          <w:lang w:eastAsia="zh-CN" w:bidi="ar-SA"/>
        </w:rPr>
        <w:tab/>
      </w:r>
      <w:r>
        <w:rPr>
          <w:rFonts w:hint="eastAsia" w:ascii="宋体" w:hAnsi="宋体" w:eastAsia="宋体" w:cs="宋体"/>
          <w:color w:val="auto"/>
          <w:sz w:val="21"/>
          <w:szCs w:val="21"/>
          <w:u w:val="single"/>
          <w:lang w:eastAsia="zh-CN" w:bidi="ar-SA"/>
        </w:rPr>
        <w:t xml:space="preserve"> </w:t>
      </w:r>
      <w:r>
        <w:rPr>
          <w:rFonts w:hint="eastAsia" w:ascii="宋体" w:hAnsi="宋体" w:eastAsia="宋体" w:cs="宋体"/>
          <w:color w:val="auto"/>
          <w:sz w:val="21"/>
          <w:szCs w:val="21"/>
          <w:lang w:eastAsia="zh-CN" w:bidi="ar-SA"/>
        </w:rPr>
        <w:t>。</w:t>
      </w:r>
    </w:p>
    <w:p w14:paraId="00DB38B4">
      <w:pPr>
        <w:spacing w:line="360" w:lineRule="auto"/>
        <w:ind w:firstLine="480" w:firstLineChars="200"/>
        <w:jc w:val="both"/>
        <w:rPr>
          <w:rFonts w:eastAsia="宋体" w:cs="宋体"/>
          <w:color w:val="auto"/>
          <w:lang w:eastAsia="zh-CN" w:bidi="ar-SA"/>
        </w:rPr>
      </w:pPr>
      <w:r>
        <w:rPr>
          <w:rFonts w:eastAsia="宋体" w:cs="宋体"/>
          <w:color w:val="auto"/>
          <w:lang w:eastAsia="zh-CN" w:bidi="ar-SA"/>
        </w:rPr>
        <w:t>请你方在接到本通知书后的</w:t>
      </w:r>
      <w:r>
        <w:rPr>
          <w:rFonts w:hint="eastAsia" w:eastAsia="宋体" w:cs="宋体"/>
          <w:color w:val="auto"/>
          <w:u w:val="single"/>
          <w:lang w:eastAsia="zh-CN" w:bidi="ar-SA"/>
        </w:rPr>
        <w:t xml:space="preserve">        </w:t>
      </w:r>
      <w:r>
        <w:rPr>
          <w:rFonts w:eastAsia="宋体" w:cs="宋体"/>
          <w:color w:val="auto"/>
          <w:lang w:eastAsia="zh-CN" w:bidi="ar-SA"/>
        </w:rPr>
        <w:t>日内</w:t>
      </w:r>
      <w:r>
        <w:rPr>
          <w:rFonts w:hint="eastAsia" w:eastAsia="宋体" w:cs="宋体"/>
          <w:color w:val="auto"/>
          <w:lang w:eastAsia="zh-CN" w:bidi="ar-SA"/>
        </w:rPr>
        <w:t>到</w:t>
      </w:r>
      <w:r>
        <w:rPr>
          <w:rFonts w:eastAsia="宋体" w:cs="宋体"/>
          <w:color w:val="auto"/>
          <w:u w:val="single"/>
          <w:lang w:eastAsia="zh-CN" w:bidi="ar-SA"/>
        </w:rPr>
        <w:tab/>
      </w:r>
      <w:r>
        <w:rPr>
          <w:rFonts w:eastAsia="宋体" w:cs="宋体"/>
          <w:color w:val="auto"/>
          <w:u w:val="single"/>
          <w:lang w:eastAsia="zh-CN" w:bidi="ar-SA"/>
        </w:rPr>
        <w:tab/>
      </w:r>
      <w:r>
        <w:rPr>
          <w:rFonts w:hint="eastAsia" w:eastAsia="宋体" w:cs="宋体"/>
          <w:color w:val="auto"/>
          <w:lang w:eastAsia="zh-CN" w:bidi="ar-SA"/>
        </w:rPr>
        <w:t>（指定地点）与我方签订施工监理合同</w:t>
      </w:r>
      <w:r>
        <w:rPr>
          <w:rFonts w:eastAsia="宋体" w:cs="宋体"/>
          <w:color w:val="auto"/>
          <w:lang w:eastAsia="zh-CN" w:bidi="ar-SA"/>
        </w:rPr>
        <w:t>。</w:t>
      </w:r>
    </w:p>
    <w:p w14:paraId="751B00AB">
      <w:pPr>
        <w:spacing w:line="360" w:lineRule="auto"/>
        <w:ind w:firstLine="480" w:firstLineChars="200"/>
        <w:jc w:val="both"/>
        <w:rPr>
          <w:rFonts w:eastAsia="宋体" w:cs="宋体"/>
          <w:color w:val="auto"/>
          <w:lang w:eastAsia="zh-CN" w:bidi="ar-SA"/>
        </w:rPr>
      </w:pPr>
      <w:r>
        <w:rPr>
          <w:rFonts w:eastAsia="宋体" w:cs="宋体"/>
          <w:color w:val="auto"/>
          <w:lang w:eastAsia="zh-CN" w:bidi="ar-SA"/>
        </w:rPr>
        <w:t>特此通知。</w:t>
      </w:r>
    </w:p>
    <w:p w14:paraId="27F59191">
      <w:pPr>
        <w:spacing w:line="360" w:lineRule="auto"/>
        <w:ind w:firstLine="480" w:firstLineChars="200"/>
        <w:jc w:val="both"/>
        <w:rPr>
          <w:rFonts w:eastAsia="宋体" w:cs="宋体"/>
          <w:color w:val="auto"/>
          <w:lang w:eastAsia="zh-CN" w:bidi="ar-SA"/>
        </w:rPr>
      </w:pPr>
    </w:p>
    <w:p w14:paraId="12DE26D8">
      <w:pPr>
        <w:spacing w:line="360" w:lineRule="auto"/>
        <w:ind w:firstLine="480" w:firstLineChars="200"/>
        <w:jc w:val="both"/>
        <w:rPr>
          <w:rFonts w:eastAsia="宋体" w:cs="宋体"/>
          <w:color w:val="auto"/>
          <w:lang w:eastAsia="zh-CN" w:bidi="ar-SA"/>
        </w:rPr>
      </w:pPr>
    </w:p>
    <w:p w14:paraId="6F84E4AA">
      <w:pPr>
        <w:spacing w:line="360" w:lineRule="auto"/>
        <w:ind w:firstLine="480" w:firstLineChars="200"/>
        <w:jc w:val="both"/>
        <w:rPr>
          <w:rFonts w:eastAsia="宋体" w:cs="宋体"/>
          <w:color w:val="auto"/>
          <w:lang w:eastAsia="zh-CN" w:bidi="ar-SA"/>
        </w:rPr>
      </w:pPr>
    </w:p>
    <w:p w14:paraId="58453070">
      <w:pPr>
        <w:spacing w:line="360" w:lineRule="auto"/>
        <w:ind w:firstLine="480" w:firstLineChars="200"/>
        <w:jc w:val="right"/>
        <w:rPr>
          <w:rFonts w:eastAsia="宋体" w:cs="宋体"/>
          <w:color w:val="auto"/>
          <w:lang w:eastAsia="zh-CN" w:bidi="ar-SA"/>
        </w:rPr>
      </w:pPr>
      <w:r>
        <w:rPr>
          <w:rFonts w:eastAsia="宋体" w:cs="宋体"/>
          <w:color w:val="auto"/>
          <w:lang w:eastAsia="zh-CN" w:bidi="ar-SA"/>
        </w:rPr>
        <w:t>招标人</w:t>
      </w:r>
      <w:r>
        <w:rPr>
          <w:rFonts w:hint="eastAsia" w:eastAsia="宋体" w:cs="宋体"/>
          <w:color w:val="auto"/>
          <w:lang w:eastAsia="zh-CN" w:bidi="ar-SA"/>
        </w:rPr>
        <w:t>：</w:t>
      </w:r>
      <w:r>
        <w:rPr>
          <w:rFonts w:eastAsia="宋体" w:cs="宋体"/>
          <w:color w:val="auto"/>
          <w:u w:val="single"/>
          <w:lang w:eastAsia="zh-CN" w:bidi="ar-SA"/>
        </w:rPr>
        <w:tab/>
      </w:r>
      <w:r>
        <w:rPr>
          <w:rFonts w:hint="eastAsia" w:eastAsia="宋体" w:cs="宋体"/>
          <w:color w:val="auto"/>
          <w:u w:val="single"/>
          <w:lang w:eastAsia="zh-CN" w:bidi="ar-SA"/>
        </w:rPr>
        <w:t xml:space="preserve">                                     </w:t>
      </w:r>
      <w:r>
        <w:rPr>
          <w:rFonts w:eastAsia="宋体" w:cs="宋体"/>
          <w:color w:val="auto"/>
          <w:lang w:eastAsia="zh-CN" w:bidi="ar-SA"/>
        </w:rPr>
        <w:t>（盖单位章）</w:t>
      </w:r>
    </w:p>
    <w:p w14:paraId="71601B11">
      <w:pPr>
        <w:ind w:right="720" w:firstLine="480" w:firstLineChars="200"/>
        <w:jc w:val="right"/>
        <w:rPr>
          <w:rFonts w:eastAsia="宋体"/>
          <w:color w:val="auto"/>
          <w:kern w:val="2"/>
          <w:lang w:eastAsia="zh-CN" w:bidi="ar-SA"/>
        </w:rPr>
      </w:pPr>
      <w:r>
        <w:rPr>
          <w:rFonts w:hint="eastAsia" w:eastAsia="宋体"/>
          <w:color w:val="auto"/>
          <w:kern w:val="2"/>
          <w:lang w:eastAsia="zh-CN" w:bidi="ar-SA"/>
        </w:rPr>
        <w:t>招标代理机构</w:t>
      </w:r>
      <w:r>
        <w:rPr>
          <w:rFonts w:eastAsia="宋体"/>
          <w:color w:val="auto"/>
          <w:kern w:val="2"/>
          <w:lang w:eastAsia="zh-CN" w:bidi="ar-SA"/>
        </w:rPr>
        <w:t>：</w:t>
      </w:r>
      <w:r>
        <w:rPr>
          <w:rFonts w:eastAsia="宋体"/>
          <w:color w:val="auto"/>
          <w:kern w:val="2"/>
          <w:u w:val="single"/>
          <w:lang w:eastAsia="zh-CN" w:bidi="ar-SA"/>
        </w:rPr>
        <w:t xml:space="preserve">                  </w:t>
      </w:r>
      <w:r>
        <w:rPr>
          <w:rFonts w:eastAsia="宋体"/>
          <w:color w:val="auto"/>
          <w:kern w:val="2"/>
          <w:lang w:eastAsia="zh-CN" w:bidi="ar-SA"/>
        </w:rPr>
        <w:t>（盖单位章）</w:t>
      </w:r>
    </w:p>
    <w:p w14:paraId="0EFB47FA">
      <w:pPr>
        <w:spacing w:line="360" w:lineRule="auto"/>
        <w:ind w:firstLine="480" w:firstLineChars="200"/>
        <w:jc w:val="both"/>
        <w:rPr>
          <w:rFonts w:eastAsia="宋体" w:cs="宋体"/>
          <w:color w:val="auto"/>
          <w:lang w:eastAsia="zh-CN" w:bidi="ar-SA"/>
        </w:rPr>
      </w:pPr>
    </w:p>
    <w:p w14:paraId="3585529A">
      <w:pPr>
        <w:spacing w:line="360" w:lineRule="auto"/>
        <w:ind w:firstLine="480" w:firstLineChars="200"/>
        <w:jc w:val="right"/>
        <w:rPr>
          <w:rFonts w:eastAsia="宋体" w:cs="宋体"/>
          <w:color w:val="auto"/>
          <w:lang w:eastAsia="zh-CN" w:bidi="ar-SA"/>
        </w:rPr>
        <w:sectPr>
          <w:footerReference r:id="rId24" w:type="default"/>
          <w:footnotePr>
            <w:numFmt w:val="decimalEnclosedCircleChinese"/>
            <w:numRestart w:val="eachPage"/>
          </w:footnotePr>
          <w:pgSz w:w="11906" w:h="16838"/>
          <w:pgMar w:top="1418" w:right="1588" w:bottom="1418" w:left="1588" w:header="680" w:footer="992" w:gutter="0"/>
          <w:cols w:space="720" w:num="1"/>
          <w:docGrid w:linePitch="326" w:charSpace="0"/>
        </w:sectPr>
      </w:pPr>
      <w:r>
        <w:rPr>
          <w:rFonts w:hint="eastAsia" w:eastAsia="宋体" w:cs="宋体"/>
          <w:color w:val="auto"/>
          <w:u w:val="single"/>
          <w:lang w:eastAsia="zh-CN" w:bidi="ar-SA"/>
        </w:rPr>
        <w:t xml:space="preserve">         </w:t>
      </w:r>
      <w:r>
        <w:rPr>
          <w:rFonts w:eastAsia="宋体" w:cs="宋体"/>
          <w:color w:val="auto"/>
          <w:lang w:eastAsia="zh-CN" w:bidi="ar-SA"/>
        </w:rPr>
        <w:t>年</w:t>
      </w:r>
      <w:r>
        <w:rPr>
          <w:rFonts w:hint="eastAsia" w:eastAsia="宋体" w:cs="宋体"/>
          <w:color w:val="auto"/>
          <w:u w:val="single"/>
          <w:lang w:eastAsia="zh-CN" w:bidi="ar-SA"/>
        </w:rPr>
        <w:t xml:space="preserve">       </w:t>
      </w:r>
      <w:r>
        <w:rPr>
          <w:rFonts w:eastAsia="宋体" w:cs="宋体"/>
          <w:color w:val="auto"/>
          <w:lang w:eastAsia="zh-CN" w:bidi="ar-SA"/>
        </w:rPr>
        <w:t>月</w:t>
      </w:r>
      <w:r>
        <w:rPr>
          <w:rFonts w:hint="eastAsia" w:eastAsia="宋体" w:cs="宋体"/>
          <w:color w:val="auto"/>
          <w:u w:val="single"/>
          <w:lang w:eastAsia="zh-CN" w:bidi="ar-SA"/>
        </w:rPr>
        <w:t xml:space="preserve">        </w:t>
      </w:r>
      <w:r>
        <w:rPr>
          <w:rFonts w:eastAsia="宋体" w:cs="宋体"/>
          <w:color w:val="auto"/>
          <w:lang w:eastAsia="zh-CN" w:bidi="ar-SA"/>
        </w:rPr>
        <w:t>日</w:t>
      </w:r>
    </w:p>
    <w:p w14:paraId="2CC7C75B">
      <w:pPr>
        <w:widowControl/>
        <w:rPr>
          <w:rFonts w:eastAsia="宋体" w:cs="宋体"/>
          <w:color w:val="auto"/>
          <w:lang w:eastAsia="zh-CN" w:bidi="ar-SA"/>
        </w:rPr>
      </w:pPr>
    </w:p>
    <w:p w14:paraId="0737A7FB">
      <w:pPr>
        <w:widowControl/>
        <w:spacing w:before="240" w:beforeLines="100" w:after="240" w:afterLines="100" w:line="360" w:lineRule="auto"/>
        <w:jc w:val="center"/>
        <w:outlineLvl w:val="0"/>
        <w:rPr>
          <w:rFonts w:eastAsia="宋体" w:cs="宋体"/>
          <w:b/>
          <w:color w:val="auto"/>
          <w:w w:val="105"/>
          <w:sz w:val="44"/>
          <w:szCs w:val="44"/>
          <w:lang w:eastAsia="zh-CN" w:bidi="ar-SA"/>
        </w:rPr>
      </w:pPr>
      <w:bookmarkStart w:id="403" w:name="_Toc11866"/>
      <w:r>
        <w:rPr>
          <w:rFonts w:hint="eastAsia" w:ascii="宋体" w:hAnsi="宋体" w:eastAsia="宋体"/>
          <w:b/>
          <w:color w:val="auto"/>
          <w:spacing w:val="-11"/>
          <w:sz w:val="44"/>
          <w:szCs w:val="44"/>
          <w:lang w:eastAsia="zh-CN" w:bidi="ar-SA"/>
        </w:rPr>
        <w:t xml:space="preserve">第三章  </w:t>
      </w:r>
      <w:r>
        <w:rPr>
          <w:rFonts w:ascii="宋体" w:hAnsi="宋体" w:eastAsia="宋体"/>
          <w:b/>
          <w:color w:val="auto"/>
          <w:spacing w:val="-11"/>
          <w:sz w:val="44"/>
          <w:szCs w:val="44"/>
          <w:lang w:eastAsia="zh-CN" w:bidi="ar-SA"/>
        </w:rPr>
        <w:t>评标办法</w:t>
      </w:r>
      <w:r>
        <w:rPr>
          <w:rFonts w:eastAsia="宋体" w:cs="宋体"/>
          <w:color w:val="auto"/>
          <w:w w:val="105"/>
          <w:lang w:eastAsia="zh-CN" w:bidi="ar-SA"/>
        </w:rPr>
        <w:br w:type="page"/>
      </w:r>
      <w:bookmarkEnd w:id="403"/>
    </w:p>
    <w:p w14:paraId="53AC640B">
      <w:pPr>
        <w:widowControl/>
        <w:jc w:val="center"/>
        <w:rPr>
          <w:rFonts w:eastAsia="宋体" w:cs="宋体"/>
          <w:b/>
          <w:color w:val="auto"/>
          <w:w w:val="105"/>
          <w:sz w:val="44"/>
          <w:szCs w:val="44"/>
          <w:lang w:eastAsia="zh-CN" w:bidi="ar-SA"/>
        </w:rPr>
        <w:sectPr>
          <w:headerReference r:id="rId25" w:type="default"/>
          <w:headerReference r:id="rId26" w:type="even"/>
          <w:footerReference r:id="rId27" w:type="even"/>
          <w:footnotePr>
            <w:numFmt w:val="decimalEnclosedCircleChinese"/>
            <w:numRestart w:val="eachPage"/>
          </w:footnotePr>
          <w:pgSz w:w="11906" w:h="16838"/>
          <w:pgMar w:top="1418" w:right="1588" w:bottom="1418" w:left="1588" w:header="680" w:footer="992" w:gutter="0"/>
          <w:cols w:space="720" w:num="1"/>
          <w:vAlign w:val="center"/>
          <w:docGrid w:linePitch="326" w:charSpace="0"/>
        </w:sectPr>
      </w:pPr>
    </w:p>
    <w:p w14:paraId="50A31909">
      <w:pPr>
        <w:pStyle w:val="6"/>
        <w:rPr>
          <w:color w:val="auto"/>
        </w:rPr>
      </w:pPr>
      <w:bookmarkStart w:id="404" w:name="_Toc429491912"/>
      <w:bookmarkStart w:id="405" w:name="_Toc428860232"/>
      <w:bookmarkStart w:id="406" w:name="_Toc17354"/>
      <w:bookmarkStart w:id="407" w:name="_Toc504633901"/>
      <w:bookmarkStart w:id="408" w:name="_Toc483561588"/>
      <w:r>
        <w:rPr>
          <w:rFonts w:hint="eastAsia"/>
          <w:color w:val="auto"/>
        </w:rPr>
        <w:t>评标办法前附表</w:t>
      </w:r>
      <w:bookmarkEnd w:id="404"/>
      <w:bookmarkEnd w:id="405"/>
      <w:bookmarkEnd w:id="406"/>
      <w:bookmarkEnd w:id="407"/>
      <w:bookmarkEnd w:id="408"/>
    </w:p>
    <w:tbl>
      <w:tblPr>
        <w:tblStyle w:val="47"/>
        <w:tblW w:w="91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
        <w:gridCol w:w="540"/>
        <w:gridCol w:w="584"/>
        <w:gridCol w:w="2476"/>
        <w:gridCol w:w="4680"/>
      </w:tblGrid>
      <w:tr w14:paraId="07F2FC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024" w:type="dxa"/>
            <w:gridSpan w:val="3"/>
            <w:vAlign w:val="center"/>
          </w:tcPr>
          <w:p w14:paraId="1C045CCB">
            <w:pPr>
              <w:spacing w:line="440" w:lineRule="exact"/>
              <w:jc w:val="center"/>
              <w:rPr>
                <w:rFonts w:eastAsia="宋体"/>
                <w:b/>
                <w:color w:val="auto"/>
                <w:kern w:val="2"/>
                <w:sz w:val="21"/>
                <w:szCs w:val="22"/>
                <w:lang w:eastAsia="zh-CN" w:bidi="ar-SA"/>
              </w:rPr>
            </w:pPr>
            <w:r>
              <w:rPr>
                <w:rFonts w:eastAsia="宋体"/>
                <w:b/>
                <w:color w:val="auto"/>
                <w:kern w:val="2"/>
                <w:sz w:val="21"/>
                <w:szCs w:val="22"/>
                <w:lang w:eastAsia="zh-CN" w:bidi="ar-SA"/>
              </w:rPr>
              <w:t>条款号</w:t>
            </w:r>
          </w:p>
        </w:tc>
        <w:tc>
          <w:tcPr>
            <w:tcW w:w="2476" w:type="dxa"/>
            <w:vAlign w:val="center"/>
          </w:tcPr>
          <w:p w14:paraId="6E688826">
            <w:pPr>
              <w:spacing w:line="440" w:lineRule="exact"/>
              <w:jc w:val="center"/>
              <w:rPr>
                <w:rFonts w:eastAsia="宋体"/>
                <w:b/>
                <w:color w:val="auto"/>
                <w:kern w:val="2"/>
                <w:sz w:val="21"/>
                <w:szCs w:val="22"/>
                <w:lang w:eastAsia="zh-CN" w:bidi="ar-SA"/>
              </w:rPr>
            </w:pPr>
            <w:r>
              <w:rPr>
                <w:rFonts w:eastAsia="宋体"/>
                <w:b/>
                <w:color w:val="auto"/>
                <w:kern w:val="2"/>
                <w:sz w:val="21"/>
                <w:szCs w:val="22"/>
                <w:lang w:eastAsia="zh-CN" w:bidi="ar-SA"/>
              </w:rPr>
              <w:t>评审因素</w:t>
            </w:r>
          </w:p>
        </w:tc>
        <w:tc>
          <w:tcPr>
            <w:tcW w:w="4680" w:type="dxa"/>
            <w:vAlign w:val="center"/>
          </w:tcPr>
          <w:p w14:paraId="3B3C00AF">
            <w:pPr>
              <w:spacing w:line="440" w:lineRule="exact"/>
              <w:jc w:val="center"/>
              <w:rPr>
                <w:rFonts w:eastAsia="宋体"/>
                <w:b/>
                <w:color w:val="auto"/>
                <w:kern w:val="2"/>
                <w:sz w:val="21"/>
                <w:szCs w:val="22"/>
                <w:lang w:eastAsia="zh-CN" w:bidi="ar-SA"/>
              </w:rPr>
            </w:pPr>
            <w:r>
              <w:rPr>
                <w:rFonts w:eastAsia="宋体"/>
                <w:b/>
                <w:color w:val="auto"/>
                <w:kern w:val="2"/>
                <w:sz w:val="21"/>
                <w:szCs w:val="22"/>
                <w:lang w:eastAsia="zh-CN" w:bidi="ar-SA"/>
              </w:rPr>
              <w:t>评审标准</w:t>
            </w:r>
          </w:p>
        </w:tc>
      </w:tr>
      <w:tr w14:paraId="2BDDC1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00" w:type="dxa"/>
            <w:vAlign w:val="center"/>
          </w:tcPr>
          <w:p w14:paraId="0FC18346">
            <w:pPr>
              <w:spacing w:line="440" w:lineRule="exact"/>
              <w:jc w:val="center"/>
              <w:rPr>
                <w:rFonts w:eastAsia="宋体"/>
                <w:color w:val="auto"/>
                <w:kern w:val="2"/>
                <w:sz w:val="21"/>
                <w:szCs w:val="22"/>
                <w:lang w:eastAsia="zh-CN" w:bidi="ar-SA"/>
              </w:rPr>
            </w:pPr>
            <w:r>
              <w:rPr>
                <w:rFonts w:eastAsia="宋体"/>
                <w:color w:val="auto"/>
                <w:kern w:val="2"/>
                <w:sz w:val="21"/>
                <w:szCs w:val="22"/>
                <w:lang w:eastAsia="zh-CN" w:bidi="ar-SA"/>
              </w:rPr>
              <w:t>1</w:t>
            </w:r>
          </w:p>
        </w:tc>
        <w:tc>
          <w:tcPr>
            <w:tcW w:w="1124" w:type="dxa"/>
            <w:gridSpan w:val="2"/>
            <w:vAlign w:val="center"/>
          </w:tcPr>
          <w:p w14:paraId="0DD5D300">
            <w:pPr>
              <w:spacing w:line="440" w:lineRule="exact"/>
              <w:jc w:val="center"/>
              <w:rPr>
                <w:rFonts w:eastAsia="宋体"/>
                <w:color w:val="auto"/>
                <w:kern w:val="2"/>
                <w:sz w:val="21"/>
                <w:szCs w:val="22"/>
                <w:lang w:eastAsia="zh-CN" w:bidi="ar-SA"/>
              </w:rPr>
            </w:pPr>
            <w:r>
              <w:rPr>
                <w:rFonts w:eastAsia="宋体"/>
                <w:color w:val="auto"/>
                <w:kern w:val="2"/>
                <w:sz w:val="21"/>
                <w:szCs w:val="22"/>
                <w:lang w:eastAsia="zh-CN" w:bidi="ar-SA"/>
              </w:rPr>
              <w:t>评标方法</w:t>
            </w:r>
          </w:p>
        </w:tc>
        <w:tc>
          <w:tcPr>
            <w:tcW w:w="2476" w:type="dxa"/>
            <w:vAlign w:val="center"/>
          </w:tcPr>
          <w:p w14:paraId="5F0C4DD0">
            <w:pPr>
              <w:spacing w:line="440" w:lineRule="exact"/>
              <w:jc w:val="center"/>
              <w:rPr>
                <w:rFonts w:eastAsia="宋体"/>
                <w:color w:val="auto"/>
                <w:kern w:val="2"/>
                <w:sz w:val="21"/>
                <w:szCs w:val="22"/>
                <w:lang w:eastAsia="zh-CN" w:bidi="ar-SA"/>
              </w:rPr>
            </w:pPr>
            <w:r>
              <w:rPr>
                <w:rFonts w:eastAsia="宋体"/>
                <w:color w:val="auto"/>
                <w:kern w:val="2"/>
                <w:sz w:val="21"/>
                <w:szCs w:val="22"/>
                <w:lang w:eastAsia="zh-CN" w:bidi="ar-SA"/>
              </w:rPr>
              <w:t>中标候选人排序方法</w:t>
            </w:r>
          </w:p>
        </w:tc>
        <w:tc>
          <w:tcPr>
            <w:tcW w:w="4680" w:type="dxa"/>
            <w:vAlign w:val="center"/>
          </w:tcPr>
          <w:p w14:paraId="761201D8">
            <w:pPr>
              <w:jc w:val="both"/>
              <w:rPr>
                <w:rFonts w:eastAsia="宋体"/>
                <w:color w:val="auto"/>
                <w:kern w:val="2"/>
                <w:sz w:val="21"/>
                <w:szCs w:val="22"/>
                <w:lang w:eastAsia="zh-CN" w:bidi="ar-SA"/>
              </w:rPr>
            </w:pPr>
            <w:r>
              <w:rPr>
                <w:rFonts w:hint="eastAsia" w:eastAsia="宋体"/>
                <w:color w:val="auto"/>
                <w:kern w:val="2"/>
                <w:sz w:val="21"/>
                <w:szCs w:val="22"/>
                <w:lang w:eastAsia="zh-CN" w:bidi="ar-SA"/>
              </w:rPr>
              <w:t>评标委员会对满足招标文件实质性要求的投标文件，按照本章规定的评分标准进行打分，按综合得分由高到低顺序排名推荐中标候选人。</w:t>
            </w:r>
            <w:r>
              <w:rPr>
                <w:rFonts w:eastAsia="宋体"/>
                <w:color w:val="auto"/>
                <w:kern w:val="2"/>
                <w:sz w:val="21"/>
                <w:szCs w:val="22"/>
                <w:lang w:eastAsia="zh-CN" w:bidi="ar-SA"/>
              </w:rPr>
              <w:t>综合评分相等时，</w:t>
            </w:r>
            <w:r>
              <w:rPr>
                <w:rFonts w:hint="eastAsia" w:eastAsia="宋体"/>
                <w:color w:val="auto"/>
                <w:kern w:val="2"/>
                <w:sz w:val="21"/>
                <w:szCs w:val="22"/>
                <w:lang w:eastAsia="zh-CN" w:bidi="ar-SA"/>
              </w:rPr>
              <w:t>以投标报价低者优先；</w:t>
            </w:r>
            <w:bookmarkStart w:id="409" w:name="_Hlk211241808"/>
            <w:r>
              <w:rPr>
                <w:rFonts w:hint="eastAsia" w:eastAsia="宋体"/>
                <w:color w:val="auto"/>
                <w:kern w:val="2"/>
                <w:sz w:val="21"/>
                <w:szCs w:val="22"/>
                <w:lang w:eastAsia="zh-CN" w:bidi="ar-SA"/>
              </w:rPr>
              <w:t>再相同时，依次</w:t>
            </w:r>
            <w:r>
              <w:rPr>
                <w:rFonts w:eastAsia="宋体"/>
                <w:color w:val="auto"/>
                <w:kern w:val="2"/>
                <w:sz w:val="21"/>
                <w:szCs w:val="22"/>
                <w:lang w:eastAsia="zh-CN" w:bidi="ar-SA"/>
              </w:rPr>
              <w:t>以</w:t>
            </w:r>
            <w:r>
              <w:rPr>
                <w:rFonts w:hint="eastAsia" w:eastAsia="宋体"/>
                <w:color w:val="auto"/>
                <w:kern w:val="2"/>
                <w:sz w:val="21"/>
                <w:szCs w:val="22"/>
                <w:lang w:eastAsia="zh-CN" w:bidi="ar-SA"/>
              </w:rPr>
              <w:t>信用等级高、</w:t>
            </w:r>
            <w:r>
              <w:rPr>
                <w:rFonts w:eastAsia="宋体"/>
                <w:color w:val="auto"/>
                <w:kern w:val="2"/>
                <w:sz w:val="21"/>
                <w:szCs w:val="22"/>
                <w:lang w:eastAsia="zh-CN" w:bidi="ar-SA"/>
              </w:rPr>
              <w:t>监理大纲</w:t>
            </w:r>
            <w:r>
              <w:rPr>
                <w:rFonts w:hint="eastAsia" w:eastAsia="宋体"/>
                <w:color w:val="auto"/>
                <w:kern w:val="2"/>
                <w:sz w:val="21"/>
                <w:szCs w:val="22"/>
                <w:lang w:eastAsia="zh-CN" w:bidi="ar-SA"/>
              </w:rPr>
              <w:t>得</w:t>
            </w:r>
            <w:r>
              <w:rPr>
                <w:rFonts w:eastAsia="宋体"/>
                <w:color w:val="auto"/>
                <w:kern w:val="2"/>
                <w:sz w:val="21"/>
                <w:szCs w:val="22"/>
                <w:lang w:eastAsia="zh-CN" w:bidi="ar-SA"/>
              </w:rPr>
              <w:t>分</w:t>
            </w:r>
            <w:r>
              <w:rPr>
                <w:rFonts w:hint="eastAsia" w:eastAsia="宋体"/>
                <w:color w:val="auto"/>
                <w:kern w:val="2"/>
                <w:sz w:val="21"/>
                <w:szCs w:val="22"/>
                <w:lang w:eastAsia="zh-CN" w:bidi="ar-SA"/>
              </w:rPr>
              <w:t>高</w:t>
            </w:r>
            <w:r>
              <w:rPr>
                <w:rFonts w:eastAsia="宋体"/>
                <w:color w:val="auto"/>
                <w:kern w:val="2"/>
                <w:sz w:val="21"/>
                <w:szCs w:val="22"/>
                <w:lang w:eastAsia="zh-CN" w:bidi="ar-SA"/>
              </w:rPr>
              <w:t>、</w:t>
            </w:r>
            <w:r>
              <w:rPr>
                <w:rFonts w:hint="eastAsia" w:eastAsia="宋体"/>
                <w:color w:val="auto"/>
                <w:kern w:val="2"/>
                <w:sz w:val="21"/>
                <w:szCs w:val="22"/>
                <w:lang w:eastAsia="zh-CN" w:bidi="ar-SA"/>
              </w:rPr>
              <w:t>业绩得分高者优先</w:t>
            </w:r>
            <w:r>
              <w:rPr>
                <w:rFonts w:eastAsia="宋体"/>
                <w:color w:val="auto"/>
                <w:kern w:val="2"/>
                <w:sz w:val="21"/>
                <w:szCs w:val="22"/>
                <w:lang w:eastAsia="zh-CN" w:bidi="ar-SA"/>
              </w:rPr>
              <w:t>。</w:t>
            </w:r>
            <w:bookmarkEnd w:id="409"/>
          </w:p>
        </w:tc>
      </w:tr>
      <w:tr w14:paraId="4CD587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00" w:type="dxa"/>
            <w:vMerge w:val="restart"/>
            <w:vAlign w:val="center"/>
          </w:tcPr>
          <w:p w14:paraId="75475DB6">
            <w:pPr>
              <w:spacing w:line="440" w:lineRule="exact"/>
              <w:jc w:val="center"/>
              <w:rPr>
                <w:rFonts w:eastAsia="宋体"/>
                <w:color w:val="auto"/>
                <w:kern w:val="2"/>
                <w:sz w:val="21"/>
                <w:szCs w:val="22"/>
                <w:lang w:eastAsia="zh-CN" w:bidi="ar-SA"/>
              </w:rPr>
            </w:pPr>
            <w:r>
              <w:rPr>
                <w:rFonts w:eastAsia="宋体"/>
                <w:color w:val="auto"/>
                <w:kern w:val="2"/>
                <w:sz w:val="21"/>
                <w:szCs w:val="22"/>
                <w:lang w:eastAsia="zh-CN" w:bidi="ar-SA"/>
              </w:rPr>
              <w:t>2.1.1</w:t>
            </w:r>
          </w:p>
        </w:tc>
        <w:tc>
          <w:tcPr>
            <w:tcW w:w="540" w:type="dxa"/>
            <w:vMerge w:val="restart"/>
            <w:vAlign w:val="center"/>
          </w:tcPr>
          <w:p w14:paraId="4DE314F0">
            <w:pPr>
              <w:spacing w:line="440" w:lineRule="exact"/>
              <w:jc w:val="center"/>
              <w:rPr>
                <w:rFonts w:eastAsia="宋体"/>
                <w:color w:val="auto"/>
                <w:spacing w:val="-20"/>
                <w:kern w:val="2"/>
                <w:sz w:val="21"/>
                <w:szCs w:val="22"/>
                <w:lang w:eastAsia="zh-CN" w:bidi="ar-SA"/>
              </w:rPr>
            </w:pPr>
            <w:r>
              <w:rPr>
                <w:rFonts w:hint="eastAsia" w:eastAsia="宋体"/>
                <w:color w:val="auto"/>
                <w:spacing w:val="-20"/>
                <w:kern w:val="2"/>
                <w:sz w:val="21"/>
                <w:szCs w:val="22"/>
                <w:lang w:eastAsia="zh-CN" w:bidi="ar-SA"/>
              </w:rPr>
              <w:t>第一信封（商务及技术文件）</w:t>
            </w:r>
          </w:p>
        </w:tc>
        <w:tc>
          <w:tcPr>
            <w:tcW w:w="584" w:type="dxa"/>
            <w:vMerge w:val="restart"/>
            <w:vAlign w:val="center"/>
          </w:tcPr>
          <w:p w14:paraId="1BA724EA">
            <w:pPr>
              <w:spacing w:line="440" w:lineRule="exact"/>
              <w:jc w:val="center"/>
              <w:rPr>
                <w:rFonts w:eastAsia="宋体"/>
                <w:color w:val="auto"/>
                <w:kern w:val="2"/>
                <w:sz w:val="21"/>
                <w:szCs w:val="22"/>
                <w:lang w:eastAsia="zh-CN" w:bidi="ar-SA"/>
              </w:rPr>
            </w:pPr>
            <w:r>
              <w:rPr>
                <w:rFonts w:eastAsia="宋体"/>
                <w:color w:val="auto"/>
                <w:kern w:val="2"/>
                <w:sz w:val="21"/>
                <w:szCs w:val="22"/>
                <w:lang w:eastAsia="zh-CN" w:bidi="ar-SA"/>
              </w:rPr>
              <w:t>形式评审标准</w:t>
            </w:r>
          </w:p>
        </w:tc>
        <w:tc>
          <w:tcPr>
            <w:tcW w:w="2476" w:type="dxa"/>
            <w:vAlign w:val="center"/>
          </w:tcPr>
          <w:p w14:paraId="763FE3CB">
            <w:pPr>
              <w:spacing w:line="440" w:lineRule="exact"/>
              <w:jc w:val="center"/>
              <w:rPr>
                <w:rFonts w:eastAsia="宋体"/>
                <w:color w:val="auto"/>
                <w:kern w:val="2"/>
                <w:sz w:val="21"/>
                <w:szCs w:val="22"/>
                <w:lang w:eastAsia="zh-CN" w:bidi="ar-SA"/>
              </w:rPr>
            </w:pPr>
            <w:r>
              <w:rPr>
                <w:rFonts w:eastAsia="宋体"/>
                <w:color w:val="auto"/>
                <w:kern w:val="2"/>
                <w:sz w:val="21"/>
                <w:szCs w:val="22"/>
                <w:lang w:eastAsia="zh-CN" w:bidi="ar-SA"/>
              </w:rPr>
              <w:t>投标人名称</w:t>
            </w:r>
          </w:p>
        </w:tc>
        <w:tc>
          <w:tcPr>
            <w:tcW w:w="4680" w:type="dxa"/>
            <w:vAlign w:val="center"/>
          </w:tcPr>
          <w:p w14:paraId="0C12EB32">
            <w:pPr>
              <w:rPr>
                <w:rFonts w:eastAsia="宋体"/>
                <w:color w:val="auto"/>
                <w:kern w:val="2"/>
                <w:sz w:val="21"/>
                <w:szCs w:val="22"/>
                <w:lang w:eastAsia="zh-CN" w:bidi="ar-SA"/>
              </w:rPr>
            </w:pPr>
            <w:r>
              <w:rPr>
                <w:rFonts w:eastAsia="宋体"/>
                <w:color w:val="auto"/>
                <w:kern w:val="2"/>
                <w:sz w:val="21"/>
                <w:szCs w:val="22"/>
                <w:lang w:eastAsia="zh-CN" w:bidi="ar-SA"/>
              </w:rPr>
              <w:t>与营业执照、资质证书一致</w:t>
            </w:r>
          </w:p>
        </w:tc>
      </w:tr>
      <w:tr w14:paraId="4BD6D6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00" w:type="dxa"/>
            <w:vMerge w:val="continue"/>
            <w:vAlign w:val="center"/>
          </w:tcPr>
          <w:p w14:paraId="36C78483">
            <w:pPr>
              <w:spacing w:line="440" w:lineRule="exact"/>
              <w:jc w:val="center"/>
              <w:rPr>
                <w:rFonts w:eastAsia="宋体"/>
                <w:color w:val="auto"/>
                <w:kern w:val="2"/>
                <w:sz w:val="21"/>
                <w:szCs w:val="22"/>
                <w:lang w:eastAsia="zh-CN" w:bidi="ar-SA"/>
              </w:rPr>
            </w:pPr>
          </w:p>
        </w:tc>
        <w:tc>
          <w:tcPr>
            <w:tcW w:w="540" w:type="dxa"/>
            <w:vMerge w:val="continue"/>
            <w:vAlign w:val="center"/>
          </w:tcPr>
          <w:p w14:paraId="1F33628B">
            <w:pPr>
              <w:spacing w:line="440" w:lineRule="exact"/>
              <w:jc w:val="center"/>
              <w:rPr>
                <w:rFonts w:eastAsia="宋体"/>
                <w:color w:val="auto"/>
                <w:kern w:val="2"/>
                <w:sz w:val="21"/>
                <w:szCs w:val="22"/>
                <w:lang w:eastAsia="zh-CN" w:bidi="ar-SA"/>
              </w:rPr>
            </w:pPr>
          </w:p>
        </w:tc>
        <w:tc>
          <w:tcPr>
            <w:tcW w:w="584" w:type="dxa"/>
            <w:vMerge w:val="continue"/>
            <w:vAlign w:val="center"/>
          </w:tcPr>
          <w:p w14:paraId="115836E1">
            <w:pPr>
              <w:spacing w:line="440" w:lineRule="exact"/>
              <w:jc w:val="center"/>
              <w:rPr>
                <w:rFonts w:eastAsia="宋体"/>
                <w:color w:val="auto"/>
                <w:kern w:val="2"/>
                <w:sz w:val="21"/>
                <w:szCs w:val="22"/>
                <w:lang w:eastAsia="zh-CN" w:bidi="ar-SA"/>
              </w:rPr>
            </w:pPr>
          </w:p>
        </w:tc>
        <w:tc>
          <w:tcPr>
            <w:tcW w:w="2476" w:type="dxa"/>
            <w:vAlign w:val="center"/>
          </w:tcPr>
          <w:p w14:paraId="003E1B0D">
            <w:pPr>
              <w:spacing w:line="440" w:lineRule="exact"/>
              <w:jc w:val="center"/>
              <w:rPr>
                <w:rFonts w:eastAsia="宋体"/>
                <w:color w:val="auto"/>
                <w:kern w:val="2"/>
                <w:sz w:val="21"/>
                <w:szCs w:val="22"/>
                <w:lang w:eastAsia="zh-CN" w:bidi="ar-SA"/>
              </w:rPr>
            </w:pPr>
            <w:r>
              <w:rPr>
                <w:rFonts w:eastAsia="宋体"/>
                <w:color w:val="auto"/>
                <w:kern w:val="2"/>
                <w:sz w:val="21"/>
                <w:szCs w:val="22"/>
                <w:lang w:eastAsia="zh-CN" w:bidi="ar-SA"/>
              </w:rPr>
              <w:t>投标函</w:t>
            </w:r>
            <w:r>
              <w:rPr>
                <w:rFonts w:hint="eastAsia" w:eastAsia="宋体"/>
                <w:color w:val="auto"/>
                <w:kern w:val="2"/>
                <w:sz w:val="21"/>
                <w:szCs w:val="22"/>
                <w:lang w:eastAsia="zh-CN" w:bidi="ar-SA"/>
              </w:rPr>
              <w:t>及投标函附录</w:t>
            </w:r>
            <w:r>
              <w:rPr>
                <w:rFonts w:eastAsia="宋体"/>
                <w:color w:val="auto"/>
                <w:kern w:val="2"/>
                <w:sz w:val="21"/>
                <w:szCs w:val="22"/>
                <w:lang w:eastAsia="zh-CN" w:bidi="ar-SA"/>
              </w:rPr>
              <w:t>签字盖章</w:t>
            </w:r>
          </w:p>
        </w:tc>
        <w:tc>
          <w:tcPr>
            <w:tcW w:w="4680" w:type="dxa"/>
            <w:vAlign w:val="center"/>
          </w:tcPr>
          <w:p w14:paraId="69A075DF">
            <w:pPr>
              <w:rPr>
                <w:rFonts w:eastAsia="宋体"/>
                <w:color w:val="auto"/>
                <w:kern w:val="2"/>
                <w:sz w:val="21"/>
                <w:szCs w:val="22"/>
                <w:lang w:eastAsia="zh-CN" w:bidi="ar-SA"/>
              </w:rPr>
            </w:pPr>
            <w:r>
              <w:rPr>
                <w:rFonts w:eastAsia="宋体"/>
                <w:color w:val="auto"/>
                <w:kern w:val="2"/>
                <w:sz w:val="21"/>
                <w:szCs w:val="22"/>
                <w:lang w:eastAsia="zh-CN" w:bidi="ar-SA"/>
              </w:rPr>
              <w:t>有法定代表人</w:t>
            </w:r>
            <w:bookmarkStart w:id="410" w:name="_Toc384308269"/>
            <w:bookmarkStart w:id="411" w:name="_Toc369531574"/>
            <w:bookmarkStart w:id="412" w:name="_Toc6546"/>
            <w:bookmarkStart w:id="413" w:name="_Toc152045584"/>
            <w:bookmarkStart w:id="414" w:name="_Toc144974551"/>
            <w:bookmarkStart w:id="415" w:name="_Toc247527609"/>
            <w:bookmarkStart w:id="416" w:name="_Toc352691530"/>
            <w:bookmarkStart w:id="417" w:name="_Toc152042361"/>
            <w:bookmarkStart w:id="418" w:name="_Toc361508643"/>
            <w:bookmarkStart w:id="419" w:name="_Toc300835005"/>
            <w:bookmarkStart w:id="420" w:name="_Toc247514008"/>
            <w:r>
              <w:rPr>
                <w:rFonts w:eastAsia="宋体"/>
                <w:color w:val="auto"/>
                <w:kern w:val="2"/>
                <w:sz w:val="21"/>
                <w:szCs w:val="22"/>
                <w:lang w:eastAsia="zh-CN" w:bidi="ar-SA"/>
              </w:rPr>
              <w:t>或其委托</w:t>
            </w:r>
            <w:bookmarkEnd w:id="410"/>
            <w:bookmarkEnd w:id="411"/>
            <w:bookmarkEnd w:id="412"/>
            <w:bookmarkEnd w:id="413"/>
            <w:bookmarkEnd w:id="414"/>
            <w:bookmarkEnd w:id="415"/>
            <w:bookmarkEnd w:id="416"/>
            <w:bookmarkEnd w:id="417"/>
            <w:bookmarkEnd w:id="418"/>
            <w:bookmarkEnd w:id="419"/>
            <w:bookmarkEnd w:id="420"/>
            <w:r>
              <w:rPr>
                <w:rFonts w:eastAsia="宋体"/>
                <w:color w:val="auto"/>
                <w:kern w:val="2"/>
                <w:sz w:val="21"/>
                <w:szCs w:val="22"/>
                <w:lang w:eastAsia="zh-CN" w:bidi="ar-SA"/>
              </w:rPr>
              <w:t>代理人签字或加盖单位章。由法定代表人签字的，应附法定代表人身份证明，由代理人签字的，应附授权委托书，身份证明或授权委托书应符合第六章“投标文件格式”的规定</w:t>
            </w:r>
            <w:r>
              <w:rPr>
                <w:rFonts w:hint="eastAsia" w:eastAsia="宋体"/>
                <w:color w:val="auto"/>
                <w:kern w:val="2"/>
                <w:sz w:val="21"/>
                <w:szCs w:val="22"/>
                <w:lang w:eastAsia="zh-CN" w:bidi="ar-SA"/>
              </w:rPr>
              <w:t>。</w:t>
            </w:r>
          </w:p>
        </w:tc>
      </w:tr>
      <w:tr w14:paraId="3D03C9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00" w:type="dxa"/>
            <w:vMerge w:val="continue"/>
            <w:vAlign w:val="center"/>
          </w:tcPr>
          <w:p w14:paraId="0BDE0053">
            <w:pPr>
              <w:spacing w:line="440" w:lineRule="exact"/>
              <w:jc w:val="center"/>
              <w:rPr>
                <w:rFonts w:eastAsia="宋体"/>
                <w:color w:val="auto"/>
                <w:kern w:val="2"/>
                <w:sz w:val="21"/>
                <w:szCs w:val="22"/>
                <w:lang w:eastAsia="zh-CN" w:bidi="ar-SA"/>
              </w:rPr>
            </w:pPr>
          </w:p>
        </w:tc>
        <w:tc>
          <w:tcPr>
            <w:tcW w:w="540" w:type="dxa"/>
            <w:vMerge w:val="continue"/>
            <w:vAlign w:val="center"/>
          </w:tcPr>
          <w:p w14:paraId="5EBF1697">
            <w:pPr>
              <w:spacing w:line="440" w:lineRule="exact"/>
              <w:jc w:val="center"/>
              <w:rPr>
                <w:rFonts w:eastAsia="宋体"/>
                <w:color w:val="auto"/>
                <w:kern w:val="2"/>
                <w:sz w:val="21"/>
                <w:szCs w:val="22"/>
                <w:lang w:eastAsia="zh-CN" w:bidi="ar-SA"/>
              </w:rPr>
            </w:pPr>
          </w:p>
        </w:tc>
        <w:tc>
          <w:tcPr>
            <w:tcW w:w="584" w:type="dxa"/>
            <w:vMerge w:val="continue"/>
            <w:vAlign w:val="center"/>
          </w:tcPr>
          <w:p w14:paraId="63D27FA9">
            <w:pPr>
              <w:spacing w:line="440" w:lineRule="exact"/>
              <w:jc w:val="center"/>
              <w:rPr>
                <w:rFonts w:eastAsia="宋体"/>
                <w:color w:val="auto"/>
                <w:kern w:val="2"/>
                <w:sz w:val="21"/>
                <w:szCs w:val="22"/>
                <w:lang w:eastAsia="zh-CN" w:bidi="ar-SA"/>
              </w:rPr>
            </w:pPr>
          </w:p>
        </w:tc>
        <w:tc>
          <w:tcPr>
            <w:tcW w:w="2476" w:type="dxa"/>
            <w:vAlign w:val="center"/>
          </w:tcPr>
          <w:p w14:paraId="1D786A50">
            <w:pPr>
              <w:spacing w:line="440" w:lineRule="exact"/>
              <w:jc w:val="center"/>
              <w:rPr>
                <w:rFonts w:eastAsia="宋体"/>
                <w:color w:val="auto"/>
                <w:kern w:val="2"/>
                <w:sz w:val="21"/>
                <w:szCs w:val="22"/>
                <w:lang w:eastAsia="zh-CN" w:bidi="ar-SA"/>
              </w:rPr>
            </w:pPr>
            <w:r>
              <w:rPr>
                <w:rFonts w:eastAsia="宋体"/>
                <w:color w:val="auto"/>
                <w:kern w:val="2"/>
                <w:sz w:val="21"/>
                <w:szCs w:val="22"/>
                <w:lang w:eastAsia="zh-CN" w:bidi="ar-SA"/>
              </w:rPr>
              <w:t>投标文件格式</w:t>
            </w:r>
          </w:p>
        </w:tc>
        <w:tc>
          <w:tcPr>
            <w:tcW w:w="4680" w:type="dxa"/>
            <w:vAlign w:val="center"/>
          </w:tcPr>
          <w:p w14:paraId="2F933277">
            <w:pPr>
              <w:rPr>
                <w:rFonts w:eastAsia="宋体"/>
                <w:color w:val="auto"/>
                <w:kern w:val="2"/>
                <w:sz w:val="21"/>
                <w:szCs w:val="22"/>
                <w:lang w:eastAsia="zh-CN" w:bidi="ar-SA"/>
              </w:rPr>
            </w:pPr>
            <w:r>
              <w:rPr>
                <w:rFonts w:eastAsia="宋体"/>
                <w:color w:val="auto"/>
                <w:kern w:val="2"/>
                <w:sz w:val="21"/>
                <w:szCs w:val="22"/>
                <w:lang w:eastAsia="zh-CN" w:bidi="ar-SA"/>
              </w:rPr>
              <w:t>符合第六章</w:t>
            </w:r>
            <w:r>
              <w:rPr>
                <w:rFonts w:hint="eastAsia" w:eastAsia="宋体"/>
                <w:color w:val="auto"/>
                <w:kern w:val="2"/>
                <w:sz w:val="21"/>
                <w:szCs w:val="22"/>
                <w:lang w:eastAsia="zh-CN" w:bidi="ar-SA"/>
              </w:rPr>
              <w:t>“</w:t>
            </w:r>
            <w:r>
              <w:rPr>
                <w:rFonts w:eastAsia="宋体"/>
                <w:color w:val="auto"/>
                <w:kern w:val="2"/>
                <w:sz w:val="21"/>
                <w:szCs w:val="22"/>
                <w:lang w:eastAsia="zh-CN" w:bidi="ar-SA"/>
              </w:rPr>
              <w:t>投标文件格式</w:t>
            </w:r>
            <w:r>
              <w:rPr>
                <w:rFonts w:hint="eastAsia" w:eastAsia="宋体"/>
                <w:color w:val="auto"/>
                <w:kern w:val="2"/>
                <w:sz w:val="21"/>
                <w:szCs w:val="22"/>
                <w:lang w:eastAsia="zh-CN" w:bidi="ar-SA"/>
              </w:rPr>
              <w:t>”</w:t>
            </w:r>
            <w:r>
              <w:rPr>
                <w:rFonts w:eastAsia="宋体"/>
                <w:color w:val="auto"/>
                <w:kern w:val="2"/>
                <w:sz w:val="21"/>
                <w:szCs w:val="22"/>
                <w:lang w:eastAsia="zh-CN" w:bidi="ar-SA"/>
              </w:rPr>
              <w:t>的规定</w:t>
            </w:r>
          </w:p>
        </w:tc>
      </w:tr>
      <w:tr w14:paraId="418C3B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00" w:type="dxa"/>
            <w:vMerge w:val="continue"/>
            <w:vAlign w:val="center"/>
          </w:tcPr>
          <w:p w14:paraId="5566B355">
            <w:pPr>
              <w:jc w:val="both"/>
              <w:rPr>
                <w:rFonts w:eastAsia="宋体"/>
                <w:color w:val="auto"/>
                <w:kern w:val="2"/>
                <w:sz w:val="21"/>
                <w:szCs w:val="22"/>
                <w:lang w:eastAsia="zh-CN" w:bidi="ar-SA"/>
              </w:rPr>
            </w:pPr>
          </w:p>
        </w:tc>
        <w:tc>
          <w:tcPr>
            <w:tcW w:w="540" w:type="dxa"/>
            <w:vMerge w:val="continue"/>
            <w:vAlign w:val="center"/>
          </w:tcPr>
          <w:p w14:paraId="5FFAB817">
            <w:pPr>
              <w:jc w:val="both"/>
              <w:rPr>
                <w:rFonts w:eastAsia="宋体"/>
                <w:color w:val="auto"/>
                <w:kern w:val="2"/>
                <w:sz w:val="21"/>
                <w:szCs w:val="22"/>
                <w:lang w:eastAsia="zh-CN" w:bidi="ar-SA"/>
              </w:rPr>
            </w:pPr>
          </w:p>
        </w:tc>
        <w:tc>
          <w:tcPr>
            <w:tcW w:w="584" w:type="dxa"/>
            <w:vMerge w:val="continue"/>
            <w:vAlign w:val="center"/>
          </w:tcPr>
          <w:p w14:paraId="30753FFF">
            <w:pPr>
              <w:jc w:val="both"/>
              <w:rPr>
                <w:rFonts w:eastAsia="宋体"/>
                <w:color w:val="auto"/>
                <w:kern w:val="2"/>
                <w:sz w:val="21"/>
                <w:szCs w:val="22"/>
                <w:lang w:eastAsia="zh-CN" w:bidi="ar-SA"/>
              </w:rPr>
            </w:pPr>
          </w:p>
        </w:tc>
        <w:tc>
          <w:tcPr>
            <w:tcW w:w="2476" w:type="dxa"/>
            <w:vAlign w:val="center"/>
          </w:tcPr>
          <w:p w14:paraId="1D24D3DC">
            <w:pPr>
              <w:jc w:val="center"/>
              <w:rPr>
                <w:rFonts w:eastAsia="宋体"/>
                <w:color w:val="auto"/>
                <w:kern w:val="2"/>
                <w:sz w:val="21"/>
                <w:szCs w:val="22"/>
                <w:lang w:eastAsia="zh-CN" w:bidi="ar-SA"/>
              </w:rPr>
            </w:pPr>
            <w:r>
              <w:rPr>
                <w:rFonts w:hint="eastAsia" w:eastAsia="宋体"/>
                <w:color w:val="auto"/>
                <w:kern w:val="2"/>
                <w:sz w:val="21"/>
                <w:szCs w:val="22"/>
                <w:lang w:eastAsia="zh-CN" w:bidi="ar-SA"/>
              </w:rPr>
              <w:t>投标报价</w:t>
            </w:r>
          </w:p>
        </w:tc>
        <w:tc>
          <w:tcPr>
            <w:tcW w:w="4680" w:type="dxa"/>
            <w:vAlign w:val="center"/>
          </w:tcPr>
          <w:p w14:paraId="28E05792">
            <w:pPr>
              <w:jc w:val="both"/>
              <w:rPr>
                <w:rFonts w:eastAsia="宋体"/>
                <w:color w:val="auto"/>
                <w:kern w:val="2"/>
                <w:sz w:val="21"/>
                <w:szCs w:val="22"/>
                <w:lang w:eastAsia="zh-CN" w:bidi="ar-SA"/>
              </w:rPr>
            </w:pPr>
            <w:r>
              <w:rPr>
                <w:rFonts w:hint="eastAsia" w:eastAsia="宋体"/>
                <w:color w:val="auto"/>
                <w:kern w:val="2"/>
                <w:sz w:val="21"/>
                <w:szCs w:val="22"/>
                <w:lang w:eastAsia="zh-CN" w:bidi="ar-SA"/>
              </w:rPr>
              <w:t>未出现有关投标报价的内容</w:t>
            </w:r>
          </w:p>
        </w:tc>
      </w:tr>
      <w:tr w14:paraId="31FE05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00" w:type="dxa"/>
            <w:vMerge w:val="continue"/>
            <w:vAlign w:val="center"/>
          </w:tcPr>
          <w:p w14:paraId="3BDF176B">
            <w:pPr>
              <w:jc w:val="both"/>
              <w:rPr>
                <w:rFonts w:eastAsia="宋体"/>
                <w:color w:val="auto"/>
                <w:kern w:val="2"/>
                <w:sz w:val="21"/>
                <w:szCs w:val="22"/>
                <w:lang w:eastAsia="zh-CN" w:bidi="ar-SA"/>
              </w:rPr>
            </w:pPr>
          </w:p>
        </w:tc>
        <w:tc>
          <w:tcPr>
            <w:tcW w:w="540" w:type="dxa"/>
            <w:vMerge w:val="continue"/>
            <w:vAlign w:val="center"/>
          </w:tcPr>
          <w:p w14:paraId="78922595">
            <w:pPr>
              <w:jc w:val="both"/>
              <w:rPr>
                <w:rFonts w:eastAsia="宋体"/>
                <w:color w:val="auto"/>
                <w:kern w:val="2"/>
                <w:sz w:val="21"/>
                <w:szCs w:val="22"/>
                <w:lang w:eastAsia="zh-CN" w:bidi="ar-SA"/>
              </w:rPr>
            </w:pPr>
          </w:p>
        </w:tc>
        <w:tc>
          <w:tcPr>
            <w:tcW w:w="584" w:type="dxa"/>
            <w:vMerge w:val="continue"/>
            <w:vAlign w:val="center"/>
          </w:tcPr>
          <w:p w14:paraId="19B8AA6F">
            <w:pPr>
              <w:jc w:val="both"/>
              <w:rPr>
                <w:rFonts w:eastAsia="宋体"/>
                <w:color w:val="auto"/>
                <w:kern w:val="2"/>
                <w:sz w:val="21"/>
                <w:szCs w:val="22"/>
                <w:lang w:eastAsia="zh-CN" w:bidi="ar-SA"/>
              </w:rPr>
            </w:pPr>
          </w:p>
        </w:tc>
        <w:tc>
          <w:tcPr>
            <w:tcW w:w="2476" w:type="dxa"/>
            <w:vAlign w:val="center"/>
          </w:tcPr>
          <w:p w14:paraId="5C6F2DFA">
            <w:pPr>
              <w:jc w:val="center"/>
              <w:rPr>
                <w:rFonts w:eastAsia="宋体"/>
                <w:color w:val="auto"/>
                <w:kern w:val="2"/>
                <w:sz w:val="21"/>
                <w:szCs w:val="22"/>
                <w:lang w:eastAsia="zh-CN" w:bidi="ar-SA"/>
              </w:rPr>
            </w:pPr>
            <w:r>
              <w:rPr>
                <w:rFonts w:hint="eastAsia" w:eastAsia="宋体"/>
                <w:color w:val="auto"/>
                <w:kern w:val="2"/>
                <w:sz w:val="21"/>
                <w:szCs w:val="22"/>
                <w:lang w:eastAsia="zh-CN" w:bidi="ar-SA"/>
              </w:rPr>
              <w:t>投标函填写</w:t>
            </w:r>
          </w:p>
        </w:tc>
        <w:tc>
          <w:tcPr>
            <w:tcW w:w="4680" w:type="dxa"/>
            <w:vAlign w:val="center"/>
          </w:tcPr>
          <w:p w14:paraId="3043BEDE">
            <w:pPr>
              <w:jc w:val="both"/>
              <w:rPr>
                <w:rFonts w:eastAsia="宋体"/>
                <w:color w:val="auto"/>
                <w:kern w:val="2"/>
                <w:sz w:val="21"/>
                <w:szCs w:val="22"/>
                <w:lang w:eastAsia="zh-CN" w:bidi="ar-SA"/>
              </w:rPr>
            </w:pPr>
            <w:r>
              <w:rPr>
                <w:rFonts w:hint="eastAsia" w:eastAsia="宋体"/>
                <w:color w:val="auto"/>
                <w:kern w:val="2"/>
                <w:sz w:val="21"/>
                <w:szCs w:val="22"/>
                <w:lang w:eastAsia="zh-CN" w:bidi="ar-SA"/>
              </w:rPr>
              <w:t>投标函按招标文件规定填报了标段、工期、总监理工程师、补遗书编号（如有）且符合招标文件规定</w:t>
            </w:r>
            <w:r>
              <w:rPr>
                <w:rFonts w:eastAsia="宋体"/>
                <w:color w:val="auto"/>
                <w:kern w:val="2"/>
                <w:sz w:val="21"/>
                <w:szCs w:val="22"/>
                <w:lang w:eastAsia="zh-CN" w:bidi="ar-SA"/>
              </w:rPr>
              <w:t xml:space="preserve"> </w:t>
            </w:r>
          </w:p>
        </w:tc>
      </w:tr>
      <w:tr w14:paraId="13FE78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00" w:type="dxa"/>
            <w:vMerge w:val="restart"/>
            <w:vAlign w:val="center"/>
          </w:tcPr>
          <w:p w14:paraId="7924969F">
            <w:pPr>
              <w:spacing w:line="440" w:lineRule="exact"/>
              <w:jc w:val="center"/>
              <w:rPr>
                <w:rFonts w:eastAsia="宋体"/>
                <w:color w:val="auto"/>
                <w:kern w:val="2"/>
                <w:sz w:val="21"/>
                <w:szCs w:val="22"/>
                <w:lang w:eastAsia="zh-CN" w:bidi="ar-SA"/>
              </w:rPr>
            </w:pPr>
            <w:r>
              <w:rPr>
                <w:rFonts w:eastAsia="宋体"/>
                <w:color w:val="auto"/>
                <w:kern w:val="2"/>
                <w:sz w:val="21"/>
                <w:szCs w:val="22"/>
                <w:lang w:eastAsia="zh-CN" w:bidi="ar-SA"/>
              </w:rPr>
              <w:t>2.1.2</w:t>
            </w:r>
          </w:p>
        </w:tc>
        <w:tc>
          <w:tcPr>
            <w:tcW w:w="540" w:type="dxa"/>
            <w:vMerge w:val="continue"/>
            <w:vAlign w:val="center"/>
          </w:tcPr>
          <w:p w14:paraId="0BB33D4A">
            <w:pPr>
              <w:spacing w:line="440" w:lineRule="exact"/>
              <w:jc w:val="center"/>
              <w:rPr>
                <w:rFonts w:eastAsia="宋体"/>
                <w:color w:val="auto"/>
                <w:kern w:val="2"/>
                <w:sz w:val="21"/>
                <w:szCs w:val="22"/>
                <w:lang w:eastAsia="zh-CN" w:bidi="ar-SA"/>
              </w:rPr>
            </w:pPr>
          </w:p>
        </w:tc>
        <w:tc>
          <w:tcPr>
            <w:tcW w:w="584" w:type="dxa"/>
            <w:vMerge w:val="restart"/>
            <w:vAlign w:val="center"/>
          </w:tcPr>
          <w:p w14:paraId="7642E62B">
            <w:pPr>
              <w:spacing w:line="440" w:lineRule="exact"/>
              <w:jc w:val="center"/>
              <w:rPr>
                <w:rFonts w:eastAsia="宋体"/>
                <w:color w:val="auto"/>
                <w:kern w:val="2"/>
                <w:sz w:val="21"/>
                <w:szCs w:val="22"/>
                <w:lang w:eastAsia="zh-CN" w:bidi="ar-SA"/>
              </w:rPr>
            </w:pPr>
            <w:r>
              <w:rPr>
                <w:rFonts w:eastAsia="宋体"/>
                <w:color w:val="auto"/>
                <w:kern w:val="2"/>
                <w:sz w:val="21"/>
                <w:szCs w:val="22"/>
                <w:lang w:eastAsia="zh-CN" w:bidi="ar-SA"/>
              </w:rPr>
              <w:t>资格评审标准</w:t>
            </w:r>
          </w:p>
        </w:tc>
        <w:tc>
          <w:tcPr>
            <w:tcW w:w="2476" w:type="dxa"/>
            <w:vAlign w:val="center"/>
          </w:tcPr>
          <w:p w14:paraId="7F84F8DA">
            <w:pPr>
              <w:jc w:val="center"/>
              <w:rPr>
                <w:rFonts w:eastAsia="宋体"/>
                <w:color w:val="auto"/>
                <w:kern w:val="2"/>
                <w:sz w:val="21"/>
                <w:szCs w:val="22"/>
                <w:lang w:eastAsia="zh-CN" w:bidi="ar-SA"/>
              </w:rPr>
            </w:pPr>
            <w:r>
              <w:rPr>
                <w:rFonts w:eastAsia="宋体"/>
                <w:color w:val="auto"/>
                <w:kern w:val="2"/>
                <w:sz w:val="21"/>
                <w:szCs w:val="22"/>
                <w:lang w:eastAsia="zh-CN" w:bidi="ar-SA"/>
              </w:rPr>
              <w:t>营业执照</w:t>
            </w:r>
          </w:p>
        </w:tc>
        <w:tc>
          <w:tcPr>
            <w:tcW w:w="4680" w:type="dxa"/>
            <w:vAlign w:val="center"/>
          </w:tcPr>
          <w:p w14:paraId="2B4BBF81">
            <w:pPr>
              <w:jc w:val="both"/>
              <w:rPr>
                <w:rFonts w:eastAsia="宋体"/>
                <w:color w:val="auto"/>
                <w:kern w:val="2"/>
                <w:sz w:val="21"/>
                <w:szCs w:val="22"/>
                <w:lang w:eastAsia="zh-CN" w:bidi="ar-SA"/>
              </w:rPr>
            </w:pPr>
            <w:r>
              <w:rPr>
                <w:rFonts w:eastAsia="宋体"/>
                <w:color w:val="auto"/>
                <w:kern w:val="2"/>
                <w:sz w:val="21"/>
                <w:szCs w:val="22"/>
                <w:lang w:eastAsia="zh-CN" w:bidi="ar-SA"/>
              </w:rPr>
              <w:t>符合第二章</w:t>
            </w:r>
            <w:r>
              <w:rPr>
                <w:rFonts w:hint="eastAsia" w:eastAsia="宋体"/>
                <w:color w:val="auto"/>
                <w:kern w:val="2"/>
                <w:sz w:val="21"/>
                <w:szCs w:val="22"/>
                <w:lang w:eastAsia="zh-CN" w:bidi="ar-SA"/>
              </w:rPr>
              <w:t>“投标人须知”</w:t>
            </w:r>
            <w:r>
              <w:rPr>
                <w:rFonts w:eastAsia="宋体"/>
                <w:color w:val="auto"/>
                <w:kern w:val="2"/>
                <w:sz w:val="21"/>
                <w:szCs w:val="22"/>
                <w:lang w:eastAsia="zh-CN" w:bidi="ar-SA"/>
              </w:rPr>
              <w:t>第3.5.1项规定，具备有效的营业执照</w:t>
            </w:r>
          </w:p>
        </w:tc>
      </w:tr>
      <w:tr w14:paraId="0D594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00" w:type="dxa"/>
            <w:vMerge w:val="continue"/>
            <w:vAlign w:val="center"/>
          </w:tcPr>
          <w:p w14:paraId="2462A385">
            <w:pPr>
              <w:jc w:val="both"/>
              <w:rPr>
                <w:rFonts w:eastAsia="宋体"/>
                <w:color w:val="auto"/>
                <w:kern w:val="2"/>
                <w:sz w:val="21"/>
                <w:szCs w:val="22"/>
                <w:lang w:eastAsia="zh-CN" w:bidi="ar-SA"/>
              </w:rPr>
            </w:pPr>
          </w:p>
        </w:tc>
        <w:tc>
          <w:tcPr>
            <w:tcW w:w="540" w:type="dxa"/>
            <w:vMerge w:val="continue"/>
            <w:vAlign w:val="center"/>
          </w:tcPr>
          <w:p w14:paraId="7727DBF0">
            <w:pPr>
              <w:jc w:val="both"/>
              <w:rPr>
                <w:rFonts w:eastAsia="宋体"/>
                <w:color w:val="auto"/>
                <w:kern w:val="2"/>
                <w:sz w:val="21"/>
                <w:szCs w:val="22"/>
                <w:lang w:eastAsia="zh-CN" w:bidi="ar-SA"/>
              </w:rPr>
            </w:pPr>
          </w:p>
        </w:tc>
        <w:tc>
          <w:tcPr>
            <w:tcW w:w="584" w:type="dxa"/>
            <w:vMerge w:val="continue"/>
            <w:vAlign w:val="center"/>
          </w:tcPr>
          <w:p w14:paraId="4F2D6FFC">
            <w:pPr>
              <w:jc w:val="both"/>
              <w:rPr>
                <w:rFonts w:eastAsia="宋体"/>
                <w:color w:val="auto"/>
                <w:kern w:val="2"/>
                <w:sz w:val="21"/>
                <w:szCs w:val="22"/>
                <w:lang w:eastAsia="zh-CN" w:bidi="ar-SA"/>
              </w:rPr>
            </w:pPr>
          </w:p>
        </w:tc>
        <w:tc>
          <w:tcPr>
            <w:tcW w:w="2476" w:type="dxa"/>
            <w:vAlign w:val="center"/>
          </w:tcPr>
          <w:p w14:paraId="1D2E02AC">
            <w:pPr>
              <w:jc w:val="center"/>
              <w:rPr>
                <w:rFonts w:eastAsia="宋体"/>
                <w:color w:val="auto"/>
                <w:kern w:val="2"/>
                <w:sz w:val="21"/>
                <w:szCs w:val="22"/>
                <w:lang w:eastAsia="zh-CN" w:bidi="ar-SA"/>
              </w:rPr>
            </w:pPr>
            <w:r>
              <w:rPr>
                <w:rFonts w:eastAsia="宋体"/>
                <w:color w:val="auto"/>
                <w:kern w:val="2"/>
                <w:sz w:val="21"/>
                <w:szCs w:val="22"/>
                <w:lang w:eastAsia="zh-CN" w:bidi="ar-SA"/>
              </w:rPr>
              <w:t>资质要求</w:t>
            </w:r>
          </w:p>
        </w:tc>
        <w:tc>
          <w:tcPr>
            <w:tcW w:w="4680" w:type="dxa"/>
            <w:vAlign w:val="center"/>
          </w:tcPr>
          <w:p w14:paraId="09293816">
            <w:pPr>
              <w:jc w:val="both"/>
              <w:rPr>
                <w:rFonts w:eastAsia="宋体"/>
                <w:color w:val="auto"/>
                <w:kern w:val="2"/>
                <w:sz w:val="21"/>
                <w:szCs w:val="22"/>
                <w:lang w:eastAsia="zh-CN" w:bidi="ar-SA"/>
              </w:rPr>
            </w:pPr>
            <w:r>
              <w:rPr>
                <w:rFonts w:eastAsia="宋体"/>
                <w:color w:val="auto"/>
                <w:kern w:val="2"/>
                <w:sz w:val="21"/>
                <w:szCs w:val="22"/>
                <w:lang w:eastAsia="zh-CN" w:bidi="ar-SA"/>
              </w:rPr>
              <w:t>符合第二章</w:t>
            </w:r>
            <w:r>
              <w:rPr>
                <w:rFonts w:hint="eastAsia" w:eastAsia="宋体"/>
                <w:color w:val="auto"/>
                <w:kern w:val="2"/>
                <w:sz w:val="21"/>
                <w:szCs w:val="22"/>
                <w:lang w:eastAsia="zh-CN" w:bidi="ar-SA"/>
              </w:rPr>
              <w:t>“投标人须知”</w:t>
            </w:r>
            <w:r>
              <w:rPr>
                <w:rFonts w:eastAsia="宋体"/>
                <w:color w:val="auto"/>
                <w:kern w:val="2"/>
                <w:sz w:val="21"/>
                <w:szCs w:val="22"/>
                <w:lang w:eastAsia="zh-CN" w:bidi="ar-SA"/>
              </w:rPr>
              <w:t>第1.4.1项规定</w:t>
            </w:r>
          </w:p>
        </w:tc>
      </w:tr>
      <w:tr w14:paraId="52B881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00" w:type="dxa"/>
            <w:vMerge w:val="continue"/>
            <w:vAlign w:val="center"/>
          </w:tcPr>
          <w:p w14:paraId="3635B702">
            <w:pPr>
              <w:jc w:val="both"/>
              <w:rPr>
                <w:rFonts w:eastAsia="宋体"/>
                <w:color w:val="auto"/>
                <w:kern w:val="2"/>
                <w:sz w:val="21"/>
                <w:szCs w:val="22"/>
                <w:lang w:eastAsia="zh-CN" w:bidi="ar-SA"/>
              </w:rPr>
            </w:pPr>
          </w:p>
        </w:tc>
        <w:tc>
          <w:tcPr>
            <w:tcW w:w="540" w:type="dxa"/>
            <w:vMerge w:val="continue"/>
            <w:vAlign w:val="center"/>
          </w:tcPr>
          <w:p w14:paraId="45BAAA8F">
            <w:pPr>
              <w:jc w:val="both"/>
              <w:rPr>
                <w:rFonts w:eastAsia="宋体"/>
                <w:color w:val="auto"/>
                <w:kern w:val="2"/>
                <w:sz w:val="21"/>
                <w:szCs w:val="22"/>
                <w:lang w:eastAsia="zh-CN" w:bidi="ar-SA"/>
              </w:rPr>
            </w:pPr>
          </w:p>
        </w:tc>
        <w:tc>
          <w:tcPr>
            <w:tcW w:w="584" w:type="dxa"/>
            <w:vMerge w:val="continue"/>
            <w:vAlign w:val="center"/>
          </w:tcPr>
          <w:p w14:paraId="252DF9D5">
            <w:pPr>
              <w:jc w:val="both"/>
              <w:rPr>
                <w:rFonts w:eastAsia="宋体"/>
                <w:color w:val="auto"/>
                <w:kern w:val="2"/>
                <w:sz w:val="21"/>
                <w:szCs w:val="22"/>
                <w:lang w:eastAsia="zh-CN" w:bidi="ar-SA"/>
              </w:rPr>
            </w:pPr>
          </w:p>
        </w:tc>
        <w:tc>
          <w:tcPr>
            <w:tcW w:w="2476" w:type="dxa"/>
            <w:vAlign w:val="center"/>
          </w:tcPr>
          <w:p w14:paraId="6FD61799">
            <w:pPr>
              <w:jc w:val="center"/>
              <w:rPr>
                <w:rFonts w:eastAsia="宋体"/>
                <w:color w:val="auto"/>
                <w:kern w:val="2"/>
                <w:sz w:val="21"/>
                <w:szCs w:val="22"/>
                <w:lang w:eastAsia="zh-CN" w:bidi="ar-SA"/>
              </w:rPr>
            </w:pPr>
            <w:r>
              <w:rPr>
                <w:rFonts w:eastAsia="宋体"/>
                <w:color w:val="auto"/>
                <w:kern w:val="2"/>
                <w:sz w:val="21"/>
                <w:szCs w:val="22"/>
                <w:lang w:eastAsia="zh-CN" w:bidi="ar-SA"/>
              </w:rPr>
              <w:t>财务要求</w:t>
            </w:r>
          </w:p>
        </w:tc>
        <w:tc>
          <w:tcPr>
            <w:tcW w:w="4680" w:type="dxa"/>
            <w:vAlign w:val="center"/>
          </w:tcPr>
          <w:p w14:paraId="035443C5">
            <w:pPr>
              <w:jc w:val="both"/>
              <w:rPr>
                <w:rFonts w:eastAsia="宋体"/>
                <w:color w:val="auto"/>
                <w:kern w:val="2"/>
                <w:sz w:val="21"/>
                <w:szCs w:val="22"/>
                <w:lang w:eastAsia="zh-CN" w:bidi="ar-SA"/>
              </w:rPr>
            </w:pPr>
            <w:r>
              <w:rPr>
                <w:rFonts w:eastAsia="宋体"/>
                <w:color w:val="auto"/>
                <w:kern w:val="2"/>
                <w:sz w:val="21"/>
                <w:szCs w:val="22"/>
                <w:lang w:eastAsia="zh-CN" w:bidi="ar-SA"/>
              </w:rPr>
              <w:t>符合第二章</w:t>
            </w:r>
            <w:r>
              <w:rPr>
                <w:rFonts w:hint="eastAsia" w:eastAsia="宋体"/>
                <w:color w:val="auto"/>
                <w:kern w:val="2"/>
                <w:sz w:val="21"/>
                <w:szCs w:val="22"/>
                <w:lang w:eastAsia="zh-CN" w:bidi="ar-SA"/>
              </w:rPr>
              <w:t>“投标人须知”</w:t>
            </w:r>
            <w:r>
              <w:rPr>
                <w:rFonts w:eastAsia="宋体"/>
                <w:color w:val="auto"/>
                <w:kern w:val="2"/>
                <w:sz w:val="21"/>
                <w:szCs w:val="22"/>
                <w:lang w:eastAsia="zh-CN" w:bidi="ar-SA"/>
              </w:rPr>
              <w:t>第1.4.1项规定</w:t>
            </w:r>
            <w:r>
              <w:rPr>
                <w:rFonts w:hint="eastAsia" w:eastAsia="宋体"/>
                <w:color w:val="auto"/>
                <w:kern w:val="2"/>
                <w:sz w:val="21"/>
                <w:szCs w:val="22"/>
                <w:lang w:eastAsia="zh-CN" w:bidi="ar-SA"/>
              </w:rPr>
              <w:t>（若资格条件中有要求才适用）</w:t>
            </w:r>
          </w:p>
        </w:tc>
      </w:tr>
      <w:tr w14:paraId="059831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00" w:type="dxa"/>
            <w:vMerge w:val="continue"/>
            <w:vAlign w:val="center"/>
          </w:tcPr>
          <w:p w14:paraId="0B476106">
            <w:pPr>
              <w:jc w:val="both"/>
              <w:rPr>
                <w:rFonts w:eastAsia="宋体"/>
                <w:color w:val="auto"/>
                <w:kern w:val="2"/>
                <w:sz w:val="21"/>
                <w:szCs w:val="22"/>
                <w:lang w:eastAsia="zh-CN" w:bidi="ar-SA"/>
              </w:rPr>
            </w:pPr>
          </w:p>
        </w:tc>
        <w:tc>
          <w:tcPr>
            <w:tcW w:w="540" w:type="dxa"/>
            <w:vMerge w:val="continue"/>
            <w:vAlign w:val="center"/>
          </w:tcPr>
          <w:p w14:paraId="4C61C8F1">
            <w:pPr>
              <w:jc w:val="both"/>
              <w:rPr>
                <w:rFonts w:eastAsia="宋体"/>
                <w:color w:val="auto"/>
                <w:kern w:val="2"/>
                <w:sz w:val="21"/>
                <w:szCs w:val="22"/>
                <w:lang w:eastAsia="zh-CN" w:bidi="ar-SA"/>
              </w:rPr>
            </w:pPr>
          </w:p>
        </w:tc>
        <w:tc>
          <w:tcPr>
            <w:tcW w:w="584" w:type="dxa"/>
            <w:vMerge w:val="continue"/>
            <w:vAlign w:val="center"/>
          </w:tcPr>
          <w:p w14:paraId="5E66B45E">
            <w:pPr>
              <w:jc w:val="both"/>
              <w:rPr>
                <w:rFonts w:eastAsia="宋体"/>
                <w:color w:val="auto"/>
                <w:kern w:val="2"/>
                <w:sz w:val="21"/>
                <w:szCs w:val="22"/>
                <w:lang w:eastAsia="zh-CN" w:bidi="ar-SA"/>
              </w:rPr>
            </w:pPr>
          </w:p>
        </w:tc>
        <w:tc>
          <w:tcPr>
            <w:tcW w:w="2476" w:type="dxa"/>
            <w:vAlign w:val="center"/>
          </w:tcPr>
          <w:p w14:paraId="25226CCA">
            <w:pPr>
              <w:jc w:val="center"/>
              <w:rPr>
                <w:rFonts w:eastAsia="宋体"/>
                <w:color w:val="auto"/>
                <w:kern w:val="2"/>
                <w:sz w:val="21"/>
                <w:szCs w:val="22"/>
                <w:lang w:eastAsia="zh-CN" w:bidi="ar-SA"/>
              </w:rPr>
            </w:pPr>
            <w:r>
              <w:rPr>
                <w:rFonts w:eastAsia="宋体"/>
                <w:color w:val="auto"/>
                <w:kern w:val="2"/>
                <w:sz w:val="21"/>
                <w:szCs w:val="22"/>
                <w:lang w:eastAsia="zh-CN" w:bidi="ar-SA"/>
              </w:rPr>
              <w:t>业绩要求</w:t>
            </w:r>
          </w:p>
        </w:tc>
        <w:tc>
          <w:tcPr>
            <w:tcW w:w="4680" w:type="dxa"/>
            <w:vAlign w:val="center"/>
          </w:tcPr>
          <w:p w14:paraId="34B457C7">
            <w:pPr>
              <w:jc w:val="both"/>
              <w:rPr>
                <w:rFonts w:eastAsia="宋体"/>
                <w:color w:val="auto"/>
                <w:kern w:val="2"/>
                <w:sz w:val="21"/>
                <w:szCs w:val="22"/>
                <w:lang w:eastAsia="zh-CN" w:bidi="ar-SA"/>
              </w:rPr>
            </w:pPr>
            <w:r>
              <w:rPr>
                <w:rFonts w:eastAsia="宋体"/>
                <w:color w:val="auto"/>
                <w:kern w:val="2"/>
                <w:sz w:val="21"/>
                <w:szCs w:val="22"/>
                <w:lang w:eastAsia="zh-CN" w:bidi="ar-SA"/>
              </w:rPr>
              <w:t>符合第二章</w:t>
            </w:r>
            <w:r>
              <w:rPr>
                <w:rFonts w:hint="eastAsia" w:eastAsia="宋体"/>
                <w:color w:val="auto"/>
                <w:kern w:val="2"/>
                <w:sz w:val="21"/>
                <w:szCs w:val="22"/>
                <w:lang w:eastAsia="zh-CN" w:bidi="ar-SA"/>
              </w:rPr>
              <w:t>“投标人须知”</w:t>
            </w:r>
            <w:r>
              <w:rPr>
                <w:rFonts w:eastAsia="宋体"/>
                <w:color w:val="auto"/>
                <w:kern w:val="2"/>
                <w:sz w:val="21"/>
                <w:szCs w:val="22"/>
                <w:lang w:eastAsia="zh-CN" w:bidi="ar-SA"/>
              </w:rPr>
              <w:t>第1.4.1项规定</w:t>
            </w:r>
          </w:p>
        </w:tc>
      </w:tr>
      <w:tr w14:paraId="15912D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00" w:type="dxa"/>
            <w:vMerge w:val="continue"/>
            <w:vAlign w:val="center"/>
          </w:tcPr>
          <w:p w14:paraId="3AA93AA8">
            <w:pPr>
              <w:jc w:val="both"/>
              <w:rPr>
                <w:rFonts w:eastAsia="宋体"/>
                <w:color w:val="auto"/>
                <w:kern w:val="2"/>
                <w:sz w:val="21"/>
                <w:szCs w:val="22"/>
                <w:lang w:eastAsia="zh-CN" w:bidi="ar-SA"/>
              </w:rPr>
            </w:pPr>
          </w:p>
        </w:tc>
        <w:tc>
          <w:tcPr>
            <w:tcW w:w="540" w:type="dxa"/>
            <w:vMerge w:val="continue"/>
            <w:vAlign w:val="center"/>
          </w:tcPr>
          <w:p w14:paraId="093C2264">
            <w:pPr>
              <w:jc w:val="both"/>
              <w:rPr>
                <w:rFonts w:eastAsia="宋体"/>
                <w:color w:val="auto"/>
                <w:kern w:val="2"/>
                <w:sz w:val="21"/>
                <w:szCs w:val="22"/>
                <w:lang w:eastAsia="zh-CN" w:bidi="ar-SA"/>
              </w:rPr>
            </w:pPr>
          </w:p>
        </w:tc>
        <w:tc>
          <w:tcPr>
            <w:tcW w:w="584" w:type="dxa"/>
            <w:vMerge w:val="continue"/>
            <w:vAlign w:val="center"/>
          </w:tcPr>
          <w:p w14:paraId="63000442">
            <w:pPr>
              <w:jc w:val="both"/>
              <w:rPr>
                <w:rFonts w:eastAsia="宋体"/>
                <w:color w:val="auto"/>
                <w:kern w:val="2"/>
                <w:sz w:val="21"/>
                <w:szCs w:val="22"/>
                <w:lang w:eastAsia="zh-CN" w:bidi="ar-SA"/>
              </w:rPr>
            </w:pPr>
          </w:p>
        </w:tc>
        <w:tc>
          <w:tcPr>
            <w:tcW w:w="2476" w:type="dxa"/>
            <w:vAlign w:val="center"/>
          </w:tcPr>
          <w:p w14:paraId="12B03F15">
            <w:pPr>
              <w:jc w:val="center"/>
              <w:rPr>
                <w:rFonts w:eastAsia="宋体"/>
                <w:color w:val="auto"/>
                <w:kern w:val="2"/>
                <w:sz w:val="21"/>
                <w:szCs w:val="22"/>
                <w:lang w:eastAsia="zh-CN" w:bidi="ar-SA"/>
              </w:rPr>
            </w:pPr>
            <w:r>
              <w:rPr>
                <w:rFonts w:eastAsia="宋体"/>
                <w:color w:val="auto"/>
                <w:kern w:val="2"/>
                <w:sz w:val="21"/>
                <w:szCs w:val="22"/>
                <w:lang w:eastAsia="zh-CN" w:bidi="ar-SA"/>
              </w:rPr>
              <w:t>信誉要求</w:t>
            </w:r>
          </w:p>
        </w:tc>
        <w:tc>
          <w:tcPr>
            <w:tcW w:w="4680" w:type="dxa"/>
            <w:vAlign w:val="center"/>
          </w:tcPr>
          <w:p w14:paraId="0E70B9B6">
            <w:pPr>
              <w:jc w:val="both"/>
              <w:rPr>
                <w:rFonts w:eastAsia="宋体"/>
                <w:color w:val="auto"/>
                <w:kern w:val="2"/>
                <w:sz w:val="21"/>
                <w:szCs w:val="22"/>
                <w:lang w:eastAsia="zh-CN" w:bidi="ar-SA"/>
              </w:rPr>
            </w:pPr>
            <w:r>
              <w:rPr>
                <w:rFonts w:eastAsia="宋体"/>
                <w:color w:val="auto"/>
                <w:kern w:val="2"/>
                <w:sz w:val="21"/>
                <w:szCs w:val="22"/>
                <w:lang w:eastAsia="zh-CN" w:bidi="ar-SA"/>
              </w:rPr>
              <w:t>符合第二章</w:t>
            </w:r>
            <w:r>
              <w:rPr>
                <w:rFonts w:hint="eastAsia" w:eastAsia="宋体"/>
                <w:color w:val="auto"/>
                <w:kern w:val="2"/>
                <w:sz w:val="21"/>
                <w:szCs w:val="22"/>
                <w:lang w:eastAsia="zh-CN" w:bidi="ar-SA"/>
              </w:rPr>
              <w:t>“投标人须知”</w:t>
            </w:r>
            <w:r>
              <w:rPr>
                <w:rFonts w:eastAsia="宋体"/>
                <w:color w:val="auto"/>
                <w:kern w:val="2"/>
                <w:sz w:val="21"/>
                <w:szCs w:val="22"/>
                <w:lang w:eastAsia="zh-CN" w:bidi="ar-SA"/>
              </w:rPr>
              <w:t>第1.4.1项规定</w:t>
            </w:r>
          </w:p>
        </w:tc>
      </w:tr>
      <w:tr w14:paraId="51C653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00" w:type="dxa"/>
            <w:vMerge w:val="continue"/>
            <w:vAlign w:val="center"/>
          </w:tcPr>
          <w:p w14:paraId="7D8FF092">
            <w:pPr>
              <w:jc w:val="both"/>
              <w:rPr>
                <w:rFonts w:eastAsia="宋体"/>
                <w:color w:val="auto"/>
                <w:kern w:val="2"/>
                <w:sz w:val="21"/>
                <w:szCs w:val="22"/>
                <w:lang w:eastAsia="zh-CN" w:bidi="ar-SA"/>
              </w:rPr>
            </w:pPr>
          </w:p>
        </w:tc>
        <w:tc>
          <w:tcPr>
            <w:tcW w:w="540" w:type="dxa"/>
            <w:vMerge w:val="continue"/>
            <w:vAlign w:val="center"/>
          </w:tcPr>
          <w:p w14:paraId="160CF9A4">
            <w:pPr>
              <w:jc w:val="both"/>
              <w:rPr>
                <w:rFonts w:eastAsia="宋体"/>
                <w:color w:val="auto"/>
                <w:kern w:val="2"/>
                <w:sz w:val="21"/>
                <w:szCs w:val="22"/>
                <w:lang w:eastAsia="zh-CN" w:bidi="ar-SA"/>
              </w:rPr>
            </w:pPr>
          </w:p>
        </w:tc>
        <w:tc>
          <w:tcPr>
            <w:tcW w:w="584" w:type="dxa"/>
            <w:vMerge w:val="continue"/>
            <w:vAlign w:val="center"/>
          </w:tcPr>
          <w:p w14:paraId="0AD1D1F0">
            <w:pPr>
              <w:jc w:val="both"/>
              <w:rPr>
                <w:rFonts w:eastAsia="宋体"/>
                <w:color w:val="auto"/>
                <w:kern w:val="2"/>
                <w:sz w:val="21"/>
                <w:szCs w:val="22"/>
                <w:lang w:eastAsia="zh-CN" w:bidi="ar-SA"/>
              </w:rPr>
            </w:pPr>
          </w:p>
        </w:tc>
        <w:tc>
          <w:tcPr>
            <w:tcW w:w="2476" w:type="dxa"/>
            <w:vAlign w:val="center"/>
          </w:tcPr>
          <w:p w14:paraId="2E6F90FF">
            <w:pPr>
              <w:jc w:val="center"/>
              <w:rPr>
                <w:rFonts w:eastAsia="宋体"/>
                <w:color w:val="auto"/>
                <w:kern w:val="2"/>
                <w:sz w:val="21"/>
                <w:szCs w:val="22"/>
                <w:lang w:eastAsia="zh-CN" w:bidi="ar-SA"/>
              </w:rPr>
            </w:pPr>
            <w:r>
              <w:rPr>
                <w:rFonts w:eastAsia="宋体"/>
                <w:color w:val="auto"/>
                <w:kern w:val="2"/>
                <w:sz w:val="21"/>
                <w:szCs w:val="22"/>
                <w:lang w:eastAsia="zh-CN" w:bidi="ar-SA"/>
              </w:rPr>
              <w:t>总监理工程师</w:t>
            </w:r>
          </w:p>
        </w:tc>
        <w:tc>
          <w:tcPr>
            <w:tcW w:w="4680" w:type="dxa"/>
            <w:vAlign w:val="center"/>
          </w:tcPr>
          <w:p w14:paraId="091A51F1">
            <w:pPr>
              <w:jc w:val="both"/>
              <w:rPr>
                <w:rFonts w:eastAsia="宋体"/>
                <w:color w:val="auto"/>
                <w:kern w:val="2"/>
                <w:sz w:val="21"/>
                <w:szCs w:val="22"/>
                <w:lang w:eastAsia="zh-CN" w:bidi="ar-SA"/>
              </w:rPr>
            </w:pPr>
            <w:r>
              <w:rPr>
                <w:rFonts w:eastAsia="宋体"/>
                <w:color w:val="auto"/>
                <w:kern w:val="2"/>
                <w:sz w:val="21"/>
                <w:szCs w:val="22"/>
                <w:lang w:eastAsia="zh-CN" w:bidi="ar-SA"/>
              </w:rPr>
              <w:t>符合第二章</w:t>
            </w:r>
            <w:r>
              <w:rPr>
                <w:rFonts w:hint="eastAsia" w:eastAsia="宋体"/>
                <w:color w:val="auto"/>
                <w:kern w:val="2"/>
                <w:sz w:val="21"/>
                <w:szCs w:val="22"/>
                <w:lang w:eastAsia="zh-CN" w:bidi="ar-SA"/>
              </w:rPr>
              <w:t>“投标人须知”</w:t>
            </w:r>
            <w:r>
              <w:rPr>
                <w:rFonts w:eastAsia="宋体"/>
                <w:color w:val="auto"/>
                <w:kern w:val="2"/>
                <w:sz w:val="21"/>
                <w:szCs w:val="22"/>
                <w:lang w:eastAsia="zh-CN" w:bidi="ar-SA"/>
              </w:rPr>
              <w:t>第1.4.1项规定</w:t>
            </w:r>
          </w:p>
        </w:tc>
      </w:tr>
      <w:tr w14:paraId="21FEB2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00" w:type="dxa"/>
            <w:vMerge w:val="continue"/>
            <w:vAlign w:val="center"/>
          </w:tcPr>
          <w:p w14:paraId="406E1FE0">
            <w:pPr>
              <w:jc w:val="both"/>
              <w:rPr>
                <w:rFonts w:eastAsia="宋体"/>
                <w:color w:val="auto"/>
                <w:kern w:val="2"/>
                <w:sz w:val="21"/>
                <w:szCs w:val="22"/>
                <w:lang w:eastAsia="zh-CN" w:bidi="ar-SA"/>
              </w:rPr>
            </w:pPr>
          </w:p>
        </w:tc>
        <w:tc>
          <w:tcPr>
            <w:tcW w:w="540" w:type="dxa"/>
            <w:vMerge w:val="continue"/>
            <w:vAlign w:val="center"/>
          </w:tcPr>
          <w:p w14:paraId="5BC9A6A5">
            <w:pPr>
              <w:jc w:val="both"/>
              <w:rPr>
                <w:rFonts w:eastAsia="宋体"/>
                <w:color w:val="auto"/>
                <w:kern w:val="2"/>
                <w:sz w:val="21"/>
                <w:szCs w:val="22"/>
                <w:lang w:eastAsia="zh-CN" w:bidi="ar-SA"/>
              </w:rPr>
            </w:pPr>
          </w:p>
        </w:tc>
        <w:tc>
          <w:tcPr>
            <w:tcW w:w="584" w:type="dxa"/>
            <w:vMerge w:val="continue"/>
            <w:vAlign w:val="center"/>
          </w:tcPr>
          <w:p w14:paraId="620AF2B6">
            <w:pPr>
              <w:jc w:val="both"/>
              <w:rPr>
                <w:rFonts w:eastAsia="宋体"/>
                <w:color w:val="auto"/>
                <w:kern w:val="2"/>
                <w:sz w:val="21"/>
                <w:szCs w:val="22"/>
                <w:lang w:eastAsia="zh-CN" w:bidi="ar-SA"/>
              </w:rPr>
            </w:pPr>
          </w:p>
        </w:tc>
        <w:tc>
          <w:tcPr>
            <w:tcW w:w="2476" w:type="dxa"/>
            <w:vAlign w:val="center"/>
          </w:tcPr>
          <w:p w14:paraId="590E2A19">
            <w:pPr>
              <w:jc w:val="center"/>
              <w:rPr>
                <w:rFonts w:eastAsia="宋体"/>
                <w:color w:val="auto"/>
                <w:kern w:val="2"/>
                <w:sz w:val="21"/>
                <w:szCs w:val="22"/>
                <w:lang w:eastAsia="zh-CN" w:bidi="ar-SA"/>
              </w:rPr>
            </w:pPr>
            <w:r>
              <w:rPr>
                <w:rFonts w:eastAsia="宋体"/>
                <w:color w:val="auto"/>
                <w:kern w:val="2"/>
                <w:sz w:val="21"/>
                <w:szCs w:val="22"/>
                <w:lang w:eastAsia="zh-CN" w:bidi="ar-SA"/>
              </w:rPr>
              <w:t>其他主要人员</w:t>
            </w:r>
          </w:p>
        </w:tc>
        <w:tc>
          <w:tcPr>
            <w:tcW w:w="4680" w:type="dxa"/>
            <w:vAlign w:val="center"/>
          </w:tcPr>
          <w:p w14:paraId="0F71F633">
            <w:pPr>
              <w:jc w:val="both"/>
              <w:rPr>
                <w:rFonts w:eastAsia="宋体"/>
                <w:color w:val="auto"/>
                <w:kern w:val="2"/>
                <w:sz w:val="21"/>
                <w:szCs w:val="22"/>
                <w:lang w:eastAsia="zh-CN" w:bidi="ar-SA"/>
              </w:rPr>
            </w:pPr>
            <w:r>
              <w:rPr>
                <w:rFonts w:eastAsia="宋体"/>
                <w:color w:val="auto"/>
                <w:kern w:val="2"/>
                <w:sz w:val="21"/>
                <w:szCs w:val="22"/>
                <w:lang w:eastAsia="zh-CN" w:bidi="ar-SA"/>
              </w:rPr>
              <w:t>符合第二章</w:t>
            </w:r>
            <w:r>
              <w:rPr>
                <w:rFonts w:hint="eastAsia" w:eastAsia="宋体"/>
                <w:color w:val="auto"/>
                <w:kern w:val="2"/>
                <w:sz w:val="21"/>
                <w:szCs w:val="22"/>
                <w:lang w:eastAsia="zh-CN" w:bidi="ar-SA"/>
              </w:rPr>
              <w:t>“投标人须知”</w:t>
            </w:r>
            <w:r>
              <w:rPr>
                <w:rFonts w:eastAsia="宋体"/>
                <w:color w:val="auto"/>
                <w:kern w:val="2"/>
                <w:sz w:val="21"/>
                <w:szCs w:val="22"/>
                <w:lang w:eastAsia="zh-CN" w:bidi="ar-SA"/>
              </w:rPr>
              <w:t>第1.4.1项规定</w:t>
            </w:r>
          </w:p>
        </w:tc>
      </w:tr>
      <w:tr w14:paraId="3D2596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00" w:type="dxa"/>
            <w:vMerge w:val="continue"/>
            <w:vAlign w:val="center"/>
          </w:tcPr>
          <w:p w14:paraId="430C3C5F">
            <w:pPr>
              <w:jc w:val="both"/>
              <w:rPr>
                <w:rFonts w:eastAsia="宋体"/>
                <w:color w:val="auto"/>
                <w:kern w:val="2"/>
                <w:sz w:val="21"/>
                <w:szCs w:val="22"/>
                <w:lang w:eastAsia="zh-CN" w:bidi="ar-SA"/>
              </w:rPr>
            </w:pPr>
          </w:p>
        </w:tc>
        <w:tc>
          <w:tcPr>
            <w:tcW w:w="540" w:type="dxa"/>
            <w:vMerge w:val="continue"/>
            <w:vAlign w:val="center"/>
          </w:tcPr>
          <w:p w14:paraId="4774EC04">
            <w:pPr>
              <w:jc w:val="both"/>
              <w:rPr>
                <w:rFonts w:eastAsia="宋体"/>
                <w:color w:val="auto"/>
                <w:kern w:val="2"/>
                <w:sz w:val="21"/>
                <w:szCs w:val="22"/>
                <w:lang w:eastAsia="zh-CN" w:bidi="ar-SA"/>
              </w:rPr>
            </w:pPr>
          </w:p>
        </w:tc>
        <w:tc>
          <w:tcPr>
            <w:tcW w:w="584" w:type="dxa"/>
            <w:vMerge w:val="continue"/>
            <w:vAlign w:val="center"/>
          </w:tcPr>
          <w:p w14:paraId="6B8F37AF">
            <w:pPr>
              <w:jc w:val="both"/>
              <w:rPr>
                <w:rFonts w:eastAsia="宋体"/>
                <w:color w:val="auto"/>
                <w:kern w:val="2"/>
                <w:sz w:val="21"/>
                <w:szCs w:val="22"/>
                <w:lang w:eastAsia="zh-CN" w:bidi="ar-SA"/>
              </w:rPr>
            </w:pPr>
          </w:p>
        </w:tc>
        <w:tc>
          <w:tcPr>
            <w:tcW w:w="2476" w:type="dxa"/>
            <w:vAlign w:val="center"/>
          </w:tcPr>
          <w:p w14:paraId="7058136E">
            <w:pPr>
              <w:jc w:val="center"/>
              <w:rPr>
                <w:rFonts w:eastAsia="宋体"/>
                <w:color w:val="auto"/>
                <w:kern w:val="2"/>
                <w:sz w:val="21"/>
                <w:szCs w:val="22"/>
                <w:lang w:eastAsia="zh-CN" w:bidi="ar-SA"/>
              </w:rPr>
            </w:pPr>
            <w:r>
              <w:rPr>
                <w:rFonts w:eastAsia="宋体"/>
                <w:color w:val="auto"/>
                <w:kern w:val="2"/>
                <w:sz w:val="21"/>
                <w:szCs w:val="22"/>
                <w:lang w:eastAsia="zh-CN" w:bidi="ar-SA"/>
              </w:rPr>
              <w:t>试验检测仪器设备</w:t>
            </w:r>
          </w:p>
        </w:tc>
        <w:tc>
          <w:tcPr>
            <w:tcW w:w="4680" w:type="dxa"/>
            <w:vAlign w:val="center"/>
          </w:tcPr>
          <w:p w14:paraId="7DEE61A9">
            <w:pPr>
              <w:jc w:val="both"/>
              <w:rPr>
                <w:rFonts w:eastAsia="宋体"/>
                <w:color w:val="auto"/>
                <w:kern w:val="2"/>
                <w:sz w:val="21"/>
                <w:szCs w:val="22"/>
                <w:lang w:eastAsia="zh-CN" w:bidi="ar-SA"/>
              </w:rPr>
            </w:pPr>
            <w:r>
              <w:rPr>
                <w:rFonts w:eastAsia="宋体"/>
                <w:color w:val="auto"/>
                <w:kern w:val="2"/>
                <w:sz w:val="21"/>
                <w:szCs w:val="22"/>
                <w:lang w:eastAsia="zh-CN" w:bidi="ar-SA"/>
              </w:rPr>
              <w:t>符合第二章</w:t>
            </w:r>
            <w:r>
              <w:rPr>
                <w:rFonts w:hint="eastAsia" w:eastAsia="宋体"/>
                <w:color w:val="auto"/>
                <w:kern w:val="2"/>
                <w:sz w:val="21"/>
                <w:szCs w:val="22"/>
                <w:lang w:eastAsia="zh-CN" w:bidi="ar-SA"/>
              </w:rPr>
              <w:t>“投标人须知”</w:t>
            </w:r>
            <w:r>
              <w:rPr>
                <w:rFonts w:eastAsia="宋体"/>
                <w:color w:val="auto"/>
                <w:kern w:val="2"/>
                <w:sz w:val="21"/>
                <w:szCs w:val="22"/>
                <w:lang w:eastAsia="zh-CN" w:bidi="ar-SA"/>
              </w:rPr>
              <w:t>第1.4.1项规定</w:t>
            </w:r>
            <w:r>
              <w:rPr>
                <w:rFonts w:hint="eastAsia" w:eastAsia="宋体"/>
                <w:color w:val="auto"/>
                <w:kern w:val="2"/>
                <w:sz w:val="21"/>
                <w:szCs w:val="22"/>
                <w:lang w:eastAsia="zh-CN" w:bidi="ar-SA"/>
              </w:rPr>
              <w:t>（若资格条件中有要求才适用）</w:t>
            </w:r>
          </w:p>
        </w:tc>
      </w:tr>
      <w:tr w14:paraId="7459C6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00" w:type="dxa"/>
            <w:vMerge w:val="continue"/>
            <w:vAlign w:val="center"/>
          </w:tcPr>
          <w:p w14:paraId="660F04FB">
            <w:pPr>
              <w:jc w:val="both"/>
              <w:rPr>
                <w:rFonts w:eastAsia="宋体"/>
                <w:color w:val="auto"/>
                <w:kern w:val="2"/>
                <w:sz w:val="21"/>
                <w:szCs w:val="22"/>
                <w:lang w:eastAsia="zh-CN" w:bidi="ar-SA"/>
              </w:rPr>
            </w:pPr>
          </w:p>
        </w:tc>
        <w:tc>
          <w:tcPr>
            <w:tcW w:w="540" w:type="dxa"/>
            <w:vMerge w:val="continue"/>
            <w:vAlign w:val="center"/>
          </w:tcPr>
          <w:p w14:paraId="693F0120">
            <w:pPr>
              <w:jc w:val="both"/>
              <w:rPr>
                <w:rFonts w:eastAsia="宋体"/>
                <w:color w:val="auto"/>
                <w:kern w:val="2"/>
                <w:sz w:val="21"/>
                <w:szCs w:val="22"/>
                <w:lang w:eastAsia="zh-CN" w:bidi="ar-SA"/>
              </w:rPr>
            </w:pPr>
          </w:p>
        </w:tc>
        <w:tc>
          <w:tcPr>
            <w:tcW w:w="584" w:type="dxa"/>
            <w:vMerge w:val="continue"/>
            <w:vAlign w:val="center"/>
          </w:tcPr>
          <w:p w14:paraId="311B10B4">
            <w:pPr>
              <w:jc w:val="both"/>
              <w:rPr>
                <w:rFonts w:eastAsia="宋体"/>
                <w:color w:val="auto"/>
                <w:kern w:val="2"/>
                <w:sz w:val="21"/>
                <w:szCs w:val="22"/>
                <w:lang w:eastAsia="zh-CN" w:bidi="ar-SA"/>
              </w:rPr>
            </w:pPr>
          </w:p>
        </w:tc>
        <w:tc>
          <w:tcPr>
            <w:tcW w:w="2476" w:type="dxa"/>
            <w:vAlign w:val="center"/>
          </w:tcPr>
          <w:p w14:paraId="765C8854">
            <w:pPr>
              <w:jc w:val="center"/>
              <w:rPr>
                <w:rFonts w:eastAsia="宋体"/>
                <w:color w:val="auto"/>
                <w:kern w:val="2"/>
                <w:sz w:val="21"/>
                <w:szCs w:val="22"/>
                <w:lang w:eastAsia="zh-CN" w:bidi="ar-SA"/>
              </w:rPr>
            </w:pPr>
            <w:r>
              <w:rPr>
                <w:rFonts w:eastAsia="宋体"/>
                <w:color w:val="auto"/>
                <w:kern w:val="2"/>
                <w:sz w:val="21"/>
                <w:szCs w:val="22"/>
                <w:lang w:eastAsia="zh-CN" w:bidi="ar-SA"/>
              </w:rPr>
              <w:t>其他要求</w:t>
            </w:r>
          </w:p>
        </w:tc>
        <w:tc>
          <w:tcPr>
            <w:tcW w:w="4680" w:type="dxa"/>
            <w:vAlign w:val="center"/>
          </w:tcPr>
          <w:p w14:paraId="56E6EE88">
            <w:pPr>
              <w:jc w:val="both"/>
              <w:rPr>
                <w:rFonts w:eastAsia="宋体"/>
                <w:color w:val="auto"/>
                <w:kern w:val="2"/>
                <w:sz w:val="21"/>
                <w:szCs w:val="22"/>
                <w:lang w:eastAsia="zh-CN" w:bidi="ar-SA"/>
              </w:rPr>
            </w:pPr>
            <w:r>
              <w:rPr>
                <w:rFonts w:eastAsia="宋体"/>
                <w:color w:val="auto"/>
                <w:kern w:val="2"/>
                <w:sz w:val="21"/>
                <w:szCs w:val="22"/>
                <w:lang w:eastAsia="zh-CN" w:bidi="ar-SA"/>
              </w:rPr>
              <w:t>符合第二章</w:t>
            </w:r>
            <w:r>
              <w:rPr>
                <w:rFonts w:hint="eastAsia" w:eastAsia="宋体"/>
                <w:color w:val="auto"/>
                <w:kern w:val="2"/>
                <w:sz w:val="21"/>
                <w:szCs w:val="22"/>
                <w:lang w:eastAsia="zh-CN" w:bidi="ar-SA"/>
              </w:rPr>
              <w:t>“投标人须知”</w:t>
            </w:r>
            <w:r>
              <w:rPr>
                <w:rFonts w:eastAsia="宋体"/>
                <w:color w:val="auto"/>
                <w:kern w:val="2"/>
                <w:sz w:val="21"/>
                <w:szCs w:val="22"/>
                <w:lang w:eastAsia="zh-CN" w:bidi="ar-SA"/>
              </w:rPr>
              <w:t>第1.4.1项规定</w:t>
            </w:r>
          </w:p>
        </w:tc>
      </w:tr>
      <w:tr w14:paraId="4A9A62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00" w:type="dxa"/>
            <w:vMerge w:val="continue"/>
            <w:vAlign w:val="center"/>
          </w:tcPr>
          <w:p w14:paraId="3321EAD5">
            <w:pPr>
              <w:spacing w:line="440" w:lineRule="exact"/>
              <w:jc w:val="center"/>
              <w:rPr>
                <w:rFonts w:eastAsia="宋体"/>
                <w:color w:val="auto"/>
                <w:kern w:val="2"/>
                <w:sz w:val="21"/>
                <w:szCs w:val="22"/>
                <w:lang w:eastAsia="zh-CN" w:bidi="ar-SA"/>
              </w:rPr>
            </w:pPr>
          </w:p>
        </w:tc>
        <w:tc>
          <w:tcPr>
            <w:tcW w:w="540" w:type="dxa"/>
            <w:vMerge w:val="continue"/>
            <w:vAlign w:val="center"/>
          </w:tcPr>
          <w:p w14:paraId="373AB370">
            <w:pPr>
              <w:spacing w:line="440" w:lineRule="exact"/>
              <w:jc w:val="center"/>
              <w:rPr>
                <w:rFonts w:eastAsia="宋体"/>
                <w:color w:val="auto"/>
                <w:kern w:val="2"/>
                <w:sz w:val="21"/>
                <w:szCs w:val="22"/>
                <w:lang w:eastAsia="zh-CN" w:bidi="ar-SA"/>
              </w:rPr>
            </w:pPr>
          </w:p>
        </w:tc>
        <w:tc>
          <w:tcPr>
            <w:tcW w:w="584" w:type="dxa"/>
            <w:vMerge w:val="continue"/>
            <w:vAlign w:val="center"/>
          </w:tcPr>
          <w:p w14:paraId="6202A328">
            <w:pPr>
              <w:spacing w:line="440" w:lineRule="exact"/>
              <w:jc w:val="center"/>
              <w:rPr>
                <w:rFonts w:eastAsia="宋体"/>
                <w:color w:val="auto"/>
                <w:kern w:val="2"/>
                <w:sz w:val="21"/>
                <w:szCs w:val="22"/>
                <w:lang w:eastAsia="zh-CN" w:bidi="ar-SA"/>
              </w:rPr>
            </w:pPr>
          </w:p>
        </w:tc>
        <w:tc>
          <w:tcPr>
            <w:tcW w:w="2476" w:type="dxa"/>
            <w:vAlign w:val="center"/>
          </w:tcPr>
          <w:p w14:paraId="1A3A1CB6">
            <w:pPr>
              <w:spacing w:line="440" w:lineRule="exact"/>
              <w:jc w:val="center"/>
              <w:rPr>
                <w:rFonts w:eastAsia="宋体"/>
                <w:color w:val="auto"/>
                <w:kern w:val="2"/>
                <w:sz w:val="21"/>
                <w:szCs w:val="22"/>
                <w:lang w:eastAsia="zh-CN" w:bidi="ar-SA"/>
              </w:rPr>
            </w:pPr>
            <w:r>
              <w:rPr>
                <w:rFonts w:eastAsia="宋体"/>
                <w:color w:val="auto"/>
                <w:kern w:val="2"/>
                <w:sz w:val="21"/>
                <w:szCs w:val="22"/>
                <w:lang w:eastAsia="zh-CN" w:bidi="ar-SA"/>
              </w:rPr>
              <w:t>监理服务期限</w:t>
            </w:r>
          </w:p>
        </w:tc>
        <w:tc>
          <w:tcPr>
            <w:tcW w:w="4680" w:type="dxa"/>
            <w:vAlign w:val="center"/>
          </w:tcPr>
          <w:p w14:paraId="426C2A2A">
            <w:pPr>
              <w:spacing w:line="440" w:lineRule="exact"/>
              <w:rPr>
                <w:rFonts w:eastAsia="宋体"/>
                <w:color w:val="auto"/>
                <w:kern w:val="2"/>
                <w:sz w:val="21"/>
                <w:szCs w:val="22"/>
                <w:lang w:eastAsia="zh-CN" w:bidi="ar-SA"/>
              </w:rPr>
            </w:pPr>
            <w:r>
              <w:rPr>
                <w:rFonts w:eastAsia="宋体"/>
                <w:color w:val="auto"/>
                <w:kern w:val="2"/>
                <w:sz w:val="21"/>
                <w:szCs w:val="22"/>
                <w:lang w:eastAsia="zh-CN" w:bidi="ar-SA"/>
              </w:rPr>
              <w:t>符合第二章</w:t>
            </w:r>
            <w:r>
              <w:rPr>
                <w:rFonts w:hint="eastAsia" w:eastAsia="宋体"/>
                <w:color w:val="auto"/>
                <w:kern w:val="2"/>
                <w:sz w:val="21"/>
                <w:szCs w:val="22"/>
                <w:lang w:eastAsia="zh-CN" w:bidi="ar-SA"/>
              </w:rPr>
              <w:t>“投标人须知”</w:t>
            </w:r>
            <w:r>
              <w:rPr>
                <w:rFonts w:eastAsia="宋体"/>
                <w:color w:val="auto"/>
                <w:kern w:val="2"/>
                <w:sz w:val="21"/>
                <w:szCs w:val="22"/>
                <w:lang w:eastAsia="zh-CN" w:bidi="ar-SA"/>
              </w:rPr>
              <w:t>第1.3.2项规定</w:t>
            </w:r>
          </w:p>
        </w:tc>
      </w:tr>
      <w:tr w14:paraId="33255F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00" w:type="dxa"/>
            <w:vMerge w:val="continue"/>
            <w:vAlign w:val="center"/>
          </w:tcPr>
          <w:p w14:paraId="1FAE848D">
            <w:pPr>
              <w:spacing w:line="440" w:lineRule="exact"/>
              <w:jc w:val="center"/>
              <w:rPr>
                <w:rFonts w:eastAsia="宋体"/>
                <w:color w:val="auto"/>
                <w:kern w:val="2"/>
                <w:sz w:val="21"/>
                <w:szCs w:val="22"/>
                <w:lang w:eastAsia="zh-CN" w:bidi="ar-SA"/>
              </w:rPr>
            </w:pPr>
          </w:p>
        </w:tc>
        <w:tc>
          <w:tcPr>
            <w:tcW w:w="540" w:type="dxa"/>
            <w:vMerge w:val="continue"/>
            <w:vAlign w:val="center"/>
          </w:tcPr>
          <w:p w14:paraId="051FD3F1">
            <w:pPr>
              <w:spacing w:line="440" w:lineRule="exact"/>
              <w:jc w:val="center"/>
              <w:rPr>
                <w:rFonts w:eastAsia="宋体"/>
                <w:color w:val="auto"/>
                <w:kern w:val="2"/>
                <w:sz w:val="21"/>
                <w:szCs w:val="22"/>
                <w:lang w:eastAsia="zh-CN" w:bidi="ar-SA"/>
              </w:rPr>
            </w:pPr>
          </w:p>
        </w:tc>
        <w:tc>
          <w:tcPr>
            <w:tcW w:w="584" w:type="dxa"/>
            <w:vMerge w:val="continue"/>
            <w:vAlign w:val="center"/>
          </w:tcPr>
          <w:p w14:paraId="3112794D">
            <w:pPr>
              <w:spacing w:line="440" w:lineRule="exact"/>
              <w:jc w:val="center"/>
              <w:rPr>
                <w:rFonts w:eastAsia="宋体"/>
                <w:color w:val="auto"/>
                <w:kern w:val="2"/>
                <w:sz w:val="21"/>
                <w:szCs w:val="22"/>
                <w:lang w:eastAsia="zh-CN" w:bidi="ar-SA"/>
              </w:rPr>
            </w:pPr>
          </w:p>
        </w:tc>
        <w:tc>
          <w:tcPr>
            <w:tcW w:w="2476" w:type="dxa"/>
            <w:vAlign w:val="center"/>
          </w:tcPr>
          <w:p w14:paraId="2CC45405">
            <w:pPr>
              <w:spacing w:line="440" w:lineRule="exact"/>
              <w:jc w:val="center"/>
              <w:rPr>
                <w:rFonts w:eastAsia="宋体"/>
                <w:color w:val="auto"/>
                <w:kern w:val="2"/>
                <w:sz w:val="21"/>
                <w:szCs w:val="22"/>
                <w:lang w:eastAsia="zh-CN" w:bidi="ar-SA"/>
              </w:rPr>
            </w:pPr>
            <w:r>
              <w:rPr>
                <w:rFonts w:hint="eastAsia" w:eastAsia="宋体"/>
                <w:color w:val="auto"/>
                <w:kern w:val="2"/>
                <w:sz w:val="21"/>
                <w:szCs w:val="22"/>
                <w:lang w:eastAsia="zh-CN" w:bidi="ar-SA"/>
              </w:rPr>
              <w:t>质量标准</w:t>
            </w:r>
          </w:p>
        </w:tc>
        <w:tc>
          <w:tcPr>
            <w:tcW w:w="4680" w:type="dxa"/>
            <w:vAlign w:val="center"/>
          </w:tcPr>
          <w:p w14:paraId="02D7FD84">
            <w:pPr>
              <w:spacing w:line="440" w:lineRule="exact"/>
              <w:rPr>
                <w:rFonts w:eastAsia="宋体"/>
                <w:color w:val="auto"/>
                <w:kern w:val="2"/>
                <w:sz w:val="21"/>
                <w:szCs w:val="22"/>
                <w:lang w:eastAsia="zh-CN" w:bidi="ar-SA"/>
              </w:rPr>
            </w:pPr>
            <w:r>
              <w:rPr>
                <w:rFonts w:eastAsia="宋体"/>
                <w:color w:val="auto"/>
                <w:kern w:val="2"/>
                <w:sz w:val="21"/>
                <w:szCs w:val="22"/>
                <w:lang w:eastAsia="zh-CN" w:bidi="ar-SA"/>
              </w:rPr>
              <w:t>符合第二章</w:t>
            </w:r>
            <w:r>
              <w:rPr>
                <w:rFonts w:hint="eastAsia" w:eastAsia="宋体"/>
                <w:color w:val="auto"/>
                <w:kern w:val="2"/>
                <w:sz w:val="21"/>
                <w:szCs w:val="22"/>
                <w:lang w:eastAsia="zh-CN" w:bidi="ar-SA"/>
              </w:rPr>
              <w:t>“投标人须知”</w:t>
            </w:r>
            <w:r>
              <w:rPr>
                <w:rFonts w:eastAsia="宋体"/>
                <w:color w:val="auto"/>
                <w:kern w:val="2"/>
                <w:sz w:val="21"/>
                <w:szCs w:val="22"/>
                <w:lang w:eastAsia="zh-CN" w:bidi="ar-SA"/>
              </w:rPr>
              <w:t>第1.3.</w:t>
            </w:r>
            <w:r>
              <w:rPr>
                <w:rFonts w:hint="eastAsia" w:eastAsia="宋体"/>
                <w:color w:val="auto"/>
                <w:kern w:val="2"/>
                <w:sz w:val="21"/>
                <w:szCs w:val="22"/>
                <w:lang w:eastAsia="zh-CN" w:bidi="ar-SA"/>
              </w:rPr>
              <w:t>3</w:t>
            </w:r>
            <w:r>
              <w:rPr>
                <w:rFonts w:eastAsia="宋体"/>
                <w:color w:val="auto"/>
                <w:kern w:val="2"/>
                <w:sz w:val="21"/>
                <w:szCs w:val="22"/>
                <w:lang w:eastAsia="zh-CN" w:bidi="ar-SA"/>
              </w:rPr>
              <w:t>项规定</w:t>
            </w:r>
          </w:p>
        </w:tc>
      </w:tr>
      <w:tr w14:paraId="2C6EF2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00" w:type="dxa"/>
            <w:vMerge w:val="continue"/>
            <w:vAlign w:val="center"/>
          </w:tcPr>
          <w:p w14:paraId="3BC16AB0">
            <w:pPr>
              <w:spacing w:line="440" w:lineRule="exact"/>
              <w:jc w:val="center"/>
              <w:rPr>
                <w:rFonts w:eastAsia="宋体"/>
                <w:color w:val="auto"/>
                <w:kern w:val="2"/>
                <w:sz w:val="21"/>
                <w:szCs w:val="22"/>
                <w:lang w:eastAsia="zh-CN" w:bidi="ar-SA"/>
              </w:rPr>
            </w:pPr>
          </w:p>
        </w:tc>
        <w:tc>
          <w:tcPr>
            <w:tcW w:w="540" w:type="dxa"/>
            <w:vMerge w:val="continue"/>
            <w:vAlign w:val="center"/>
          </w:tcPr>
          <w:p w14:paraId="0626BFE7">
            <w:pPr>
              <w:spacing w:line="440" w:lineRule="exact"/>
              <w:jc w:val="center"/>
              <w:rPr>
                <w:rFonts w:eastAsia="宋体"/>
                <w:color w:val="auto"/>
                <w:kern w:val="2"/>
                <w:sz w:val="21"/>
                <w:szCs w:val="22"/>
                <w:lang w:eastAsia="zh-CN" w:bidi="ar-SA"/>
              </w:rPr>
            </w:pPr>
          </w:p>
        </w:tc>
        <w:tc>
          <w:tcPr>
            <w:tcW w:w="584" w:type="dxa"/>
            <w:vMerge w:val="continue"/>
            <w:vAlign w:val="center"/>
          </w:tcPr>
          <w:p w14:paraId="179CABDB">
            <w:pPr>
              <w:spacing w:line="440" w:lineRule="exact"/>
              <w:jc w:val="center"/>
              <w:rPr>
                <w:rFonts w:eastAsia="宋体"/>
                <w:color w:val="auto"/>
                <w:kern w:val="2"/>
                <w:sz w:val="21"/>
                <w:szCs w:val="22"/>
                <w:lang w:eastAsia="zh-CN" w:bidi="ar-SA"/>
              </w:rPr>
            </w:pPr>
          </w:p>
        </w:tc>
        <w:tc>
          <w:tcPr>
            <w:tcW w:w="2476" w:type="dxa"/>
            <w:vAlign w:val="center"/>
          </w:tcPr>
          <w:p w14:paraId="7079A71B">
            <w:pPr>
              <w:spacing w:line="440" w:lineRule="exact"/>
              <w:jc w:val="center"/>
              <w:rPr>
                <w:rFonts w:eastAsia="宋体"/>
                <w:color w:val="auto"/>
                <w:kern w:val="2"/>
                <w:sz w:val="21"/>
                <w:szCs w:val="22"/>
                <w:lang w:eastAsia="zh-CN" w:bidi="ar-SA"/>
              </w:rPr>
            </w:pPr>
            <w:r>
              <w:rPr>
                <w:rFonts w:eastAsia="宋体"/>
                <w:color w:val="auto"/>
                <w:kern w:val="2"/>
                <w:sz w:val="21"/>
                <w:szCs w:val="22"/>
                <w:lang w:eastAsia="zh-CN" w:bidi="ar-SA"/>
              </w:rPr>
              <w:t>投标保证金</w:t>
            </w:r>
          </w:p>
        </w:tc>
        <w:tc>
          <w:tcPr>
            <w:tcW w:w="4680" w:type="dxa"/>
            <w:vAlign w:val="center"/>
          </w:tcPr>
          <w:p w14:paraId="060C99A5">
            <w:pPr>
              <w:spacing w:line="440" w:lineRule="exact"/>
              <w:rPr>
                <w:rFonts w:eastAsia="宋体"/>
                <w:color w:val="auto"/>
                <w:kern w:val="2"/>
                <w:sz w:val="21"/>
                <w:szCs w:val="22"/>
                <w:lang w:eastAsia="zh-CN" w:bidi="ar-SA"/>
              </w:rPr>
            </w:pPr>
            <w:r>
              <w:rPr>
                <w:rFonts w:eastAsia="宋体"/>
                <w:color w:val="auto"/>
                <w:kern w:val="2"/>
                <w:sz w:val="21"/>
                <w:szCs w:val="22"/>
                <w:lang w:eastAsia="zh-CN" w:bidi="ar-SA"/>
              </w:rPr>
              <w:t>符合第二章</w:t>
            </w:r>
            <w:r>
              <w:rPr>
                <w:rFonts w:hint="eastAsia" w:eastAsia="宋体"/>
                <w:color w:val="auto"/>
                <w:kern w:val="2"/>
                <w:sz w:val="21"/>
                <w:szCs w:val="22"/>
                <w:lang w:eastAsia="zh-CN" w:bidi="ar-SA"/>
              </w:rPr>
              <w:t>“投标人须知”</w:t>
            </w:r>
            <w:r>
              <w:rPr>
                <w:rFonts w:eastAsia="宋体"/>
                <w:color w:val="auto"/>
                <w:kern w:val="2"/>
                <w:sz w:val="21"/>
                <w:szCs w:val="22"/>
                <w:lang w:eastAsia="zh-CN" w:bidi="ar-SA"/>
              </w:rPr>
              <w:t>第3.4</w:t>
            </w:r>
            <w:r>
              <w:rPr>
                <w:rFonts w:hint="eastAsia" w:eastAsia="宋体"/>
                <w:color w:val="auto"/>
                <w:kern w:val="2"/>
                <w:sz w:val="21"/>
                <w:szCs w:val="22"/>
                <w:lang w:eastAsia="zh-CN" w:bidi="ar-SA"/>
              </w:rPr>
              <w:t>.1项</w:t>
            </w:r>
            <w:r>
              <w:rPr>
                <w:rFonts w:eastAsia="宋体"/>
                <w:color w:val="auto"/>
                <w:kern w:val="2"/>
                <w:sz w:val="21"/>
                <w:szCs w:val="22"/>
                <w:lang w:eastAsia="zh-CN" w:bidi="ar-SA"/>
              </w:rPr>
              <w:t>规定</w:t>
            </w:r>
          </w:p>
        </w:tc>
      </w:tr>
      <w:tr w14:paraId="4D0913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jc w:val="center"/>
        </w:trPr>
        <w:tc>
          <w:tcPr>
            <w:tcW w:w="900" w:type="dxa"/>
            <w:vMerge w:val="continue"/>
            <w:vAlign w:val="center"/>
          </w:tcPr>
          <w:p w14:paraId="375B2FF6">
            <w:pPr>
              <w:jc w:val="both"/>
              <w:rPr>
                <w:rFonts w:eastAsia="宋体"/>
                <w:color w:val="auto"/>
                <w:kern w:val="2"/>
                <w:sz w:val="21"/>
                <w:szCs w:val="22"/>
                <w:lang w:eastAsia="zh-CN" w:bidi="ar-SA"/>
              </w:rPr>
            </w:pPr>
          </w:p>
        </w:tc>
        <w:tc>
          <w:tcPr>
            <w:tcW w:w="540" w:type="dxa"/>
            <w:vMerge w:val="continue"/>
            <w:vAlign w:val="center"/>
          </w:tcPr>
          <w:p w14:paraId="404BC111">
            <w:pPr>
              <w:jc w:val="both"/>
              <w:rPr>
                <w:rFonts w:eastAsia="宋体"/>
                <w:color w:val="auto"/>
                <w:kern w:val="2"/>
                <w:sz w:val="21"/>
                <w:szCs w:val="22"/>
                <w:lang w:eastAsia="zh-CN" w:bidi="ar-SA"/>
              </w:rPr>
            </w:pPr>
          </w:p>
        </w:tc>
        <w:tc>
          <w:tcPr>
            <w:tcW w:w="584" w:type="dxa"/>
            <w:vMerge w:val="continue"/>
            <w:vAlign w:val="center"/>
          </w:tcPr>
          <w:p w14:paraId="353A74B4">
            <w:pPr>
              <w:jc w:val="both"/>
              <w:rPr>
                <w:rFonts w:eastAsia="宋体"/>
                <w:color w:val="auto"/>
                <w:kern w:val="2"/>
                <w:sz w:val="21"/>
                <w:szCs w:val="22"/>
                <w:lang w:eastAsia="zh-CN" w:bidi="ar-SA"/>
              </w:rPr>
            </w:pPr>
          </w:p>
        </w:tc>
        <w:tc>
          <w:tcPr>
            <w:tcW w:w="2476" w:type="dxa"/>
            <w:vAlign w:val="center"/>
          </w:tcPr>
          <w:p w14:paraId="1E9BFAD4">
            <w:pPr>
              <w:spacing w:line="440" w:lineRule="exact"/>
              <w:jc w:val="center"/>
              <w:rPr>
                <w:rFonts w:eastAsia="宋体"/>
                <w:color w:val="auto"/>
                <w:kern w:val="2"/>
                <w:sz w:val="21"/>
                <w:szCs w:val="22"/>
                <w:lang w:eastAsia="zh-CN" w:bidi="ar-SA"/>
              </w:rPr>
            </w:pPr>
            <w:r>
              <w:rPr>
                <w:rFonts w:eastAsia="宋体"/>
                <w:color w:val="auto"/>
                <w:kern w:val="2"/>
                <w:sz w:val="21"/>
                <w:szCs w:val="22"/>
                <w:lang w:eastAsia="zh-CN" w:bidi="ar-SA"/>
              </w:rPr>
              <w:t>监理大纲</w:t>
            </w:r>
          </w:p>
        </w:tc>
        <w:tc>
          <w:tcPr>
            <w:tcW w:w="4680" w:type="dxa"/>
            <w:vAlign w:val="center"/>
          </w:tcPr>
          <w:p w14:paraId="60F25DE5">
            <w:pPr>
              <w:spacing w:line="360" w:lineRule="exact"/>
              <w:jc w:val="both"/>
              <w:rPr>
                <w:rFonts w:eastAsia="宋体"/>
                <w:color w:val="auto"/>
                <w:kern w:val="2"/>
                <w:sz w:val="21"/>
                <w:szCs w:val="22"/>
                <w:lang w:eastAsia="zh-CN" w:bidi="ar-SA"/>
              </w:rPr>
            </w:pPr>
            <w:r>
              <w:rPr>
                <w:rFonts w:eastAsia="宋体"/>
                <w:color w:val="auto"/>
                <w:kern w:val="2"/>
                <w:sz w:val="21"/>
                <w:szCs w:val="22"/>
                <w:lang w:eastAsia="zh-CN" w:bidi="ar-SA"/>
              </w:rPr>
              <w:t>符合第五章</w:t>
            </w:r>
            <w:r>
              <w:rPr>
                <w:rFonts w:hint="eastAsia" w:eastAsia="宋体"/>
                <w:color w:val="auto"/>
                <w:kern w:val="2"/>
                <w:sz w:val="21"/>
                <w:szCs w:val="22"/>
                <w:lang w:eastAsia="zh-CN" w:bidi="ar-SA"/>
              </w:rPr>
              <w:t>“</w:t>
            </w:r>
            <w:r>
              <w:rPr>
                <w:rFonts w:eastAsia="宋体"/>
                <w:color w:val="auto"/>
                <w:kern w:val="2"/>
                <w:sz w:val="21"/>
                <w:szCs w:val="22"/>
                <w:lang w:eastAsia="zh-CN" w:bidi="ar-SA"/>
              </w:rPr>
              <w:t>委托人要求</w:t>
            </w:r>
            <w:r>
              <w:rPr>
                <w:rFonts w:hint="eastAsia" w:eastAsia="宋体"/>
                <w:color w:val="auto"/>
                <w:kern w:val="2"/>
                <w:sz w:val="21"/>
                <w:szCs w:val="22"/>
                <w:lang w:eastAsia="zh-CN" w:bidi="ar-SA"/>
              </w:rPr>
              <w:t>”</w:t>
            </w:r>
            <w:r>
              <w:rPr>
                <w:rFonts w:eastAsia="宋体"/>
                <w:color w:val="auto"/>
                <w:kern w:val="2"/>
                <w:sz w:val="21"/>
                <w:szCs w:val="22"/>
                <w:lang w:eastAsia="zh-CN" w:bidi="ar-SA"/>
              </w:rPr>
              <w:t>中的实质性要求和条件</w:t>
            </w:r>
          </w:p>
        </w:tc>
      </w:tr>
      <w:tr w14:paraId="73F56F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00" w:type="dxa"/>
            <w:vMerge w:val="restart"/>
            <w:vAlign w:val="center"/>
          </w:tcPr>
          <w:p w14:paraId="704F317C">
            <w:pPr>
              <w:jc w:val="center"/>
              <w:rPr>
                <w:rFonts w:eastAsia="宋体"/>
                <w:color w:val="auto"/>
                <w:kern w:val="2"/>
                <w:sz w:val="21"/>
                <w:szCs w:val="22"/>
                <w:lang w:eastAsia="zh-CN" w:bidi="ar-SA"/>
              </w:rPr>
            </w:pPr>
            <w:r>
              <w:rPr>
                <w:rFonts w:hint="eastAsia" w:eastAsia="宋体"/>
                <w:color w:val="auto"/>
                <w:kern w:val="2"/>
                <w:sz w:val="21"/>
                <w:szCs w:val="22"/>
                <w:lang w:eastAsia="zh-CN" w:bidi="ar-SA"/>
              </w:rPr>
              <w:t>2</w:t>
            </w:r>
            <w:r>
              <w:rPr>
                <w:rFonts w:eastAsia="宋体"/>
                <w:color w:val="auto"/>
                <w:kern w:val="2"/>
                <w:sz w:val="21"/>
                <w:szCs w:val="22"/>
                <w:lang w:eastAsia="zh-CN" w:bidi="ar-SA"/>
              </w:rPr>
              <w:t>.1.4</w:t>
            </w:r>
          </w:p>
        </w:tc>
        <w:tc>
          <w:tcPr>
            <w:tcW w:w="540" w:type="dxa"/>
            <w:vMerge w:val="restart"/>
            <w:vAlign w:val="center"/>
          </w:tcPr>
          <w:p w14:paraId="292A4494">
            <w:pPr>
              <w:jc w:val="center"/>
              <w:rPr>
                <w:rFonts w:eastAsia="宋体"/>
                <w:color w:val="auto"/>
                <w:kern w:val="2"/>
                <w:sz w:val="21"/>
                <w:szCs w:val="22"/>
                <w:lang w:eastAsia="zh-CN" w:bidi="ar-SA"/>
              </w:rPr>
            </w:pPr>
            <w:r>
              <w:rPr>
                <w:rFonts w:hint="eastAsia" w:eastAsia="宋体"/>
                <w:color w:val="auto"/>
                <w:kern w:val="2"/>
                <w:sz w:val="21"/>
                <w:szCs w:val="22"/>
                <w:lang w:eastAsia="zh-CN" w:bidi="ar-SA"/>
              </w:rPr>
              <w:t>第二信封（报价文件）</w:t>
            </w:r>
          </w:p>
        </w:tc>
        <w:tc>
          <w:tcPr>
            <w:tcW w:w="584" w:type="dxa"/>
            <w:vMerge w:val="restart"/>
            <w:tcBorders>
              <w:right w:val="single" w:color="auto" w:sz="4" w:space="0"/>
            </w:tcBorders>
            <w:vAlign w:val="center"/>
          </w:tcPr>
          <w:p w14:paraId="5595B635">
            <w:pPr>
              <w:spacing w:line="440" w:lineRule="exact"/>
              <w:jc w:val="center"/>
              <w:rPr>
                <w:rFonts w:eastAsia="宋体"/>
                <w:color w:val="auto"/>
                <w:kern w:val="2"/>
                <w:sz w:val="21"/>
                <w:szCs w:val="22"/>
                <w:lang w:eastAsia="zh-CN" w:bidi="ar-SA"/>
              </w:rPr>
            </w:pPr>
            <w:r>
              <w:rPr>
                <w:rFonts w:hint="eastAsia" w:eastAsia="宋体"/>
                <w:color w:val="auto"/>
                <w:kern w:val="2"/>
                <w:sz w:val="21"/>
                <w:szCs w:val="22"/>
                <w:lang w:eastAsia="zh-CN" w:bidi="ar-SA"/>
              </w:rPr>
              <w:t>初步评审</w:t>
            </w:r>
          </w:p>
        </w:tc>
        <w:tc>
          <w:tcPr>
            <w:tcW w:w="2476" w:type="dxa"/>
            <w:tcBorders>
              <w:top w:val="single" w:color="auto" w:sz="4" w:space="0"/>
              <w:left w:val="single" w:color="auto" w:sz="4" w:space="0"/>
              <w:bottom w:val="single" w:color="auto" w:sz="4" w:space="0"/>
              <w:right w:val="single" w:color="auto" w:sz="4" w:space="0"/>
            </w:tcBorders>
            <w:vAlign w:val="center"/>
          </w:tcPr>
          <w:p w14:paraId="6B7C044A">
            <w:pPr>
              <w:spacing w:line="360" w:lineRule="exact"/>
              <w:jc w:val="center"/>
              <w:rPr>
                <w:rFonts w:eastAsia="宋体"/>
                <w:color w:val="auto"/>
                <w:kern w:val="2"/>
                <w:sz w:val="21"/>
                <w:szCs w:val="22"/>
                <w:lang w:eastAsia="zh-CN" w:bidi="ar-SA"/>
              </w:rPr>
            </w:pPr>
            <w:r>
              <w:rPr>
                <w:rFonts w:hint="eastAsia" w:eastAsia="宋体"/>
                <w:color w:val="auto"/>
                <w:kern w:val="2"/>
                <w:sz w:val="21"/>
                <w:szCs w:val="22"/>
                <w:lang w:eastAsia="zh-CN" w:bidi="ar-SA"/>
              </w:rPr>
              <w:t>文件签字盖章</w:t>
            </w:r>
          </w:p>
        </w:tc>
        <w:tc>
          <w:tcPr>
            <w:tcW w:w="4680" w:type="dxa"/>
            <w:tcBorders>
              <w:top w:val="single" w:color="auto" w:sz="4" w:space="0"/>
              <w:left w:val="single" w:color="auto" w:sz="4" w:space="0"/>
              <w:bottom w:val="single" w:color="auto" w:sz="4" w:space="0"/>
              <w:right w:val="single" w:color="auto" w:sz="4" w:space="0"/>
            </w:tcBorders>
            <w:vAlign w:val="center"/>
          </w:tcPr>
          <w:p w14:paraId="0FBD8073">
            <w:pPr>
              <w:spacing w:line="360" w:lineRule="exact"/>
              <w:jc w:val="both"/>
              <w:rPr>
                <w:rFonts w:eastAsia="宋体"/>
                <w:color w:val="auto"/>
                <w:kern w:val="2"/>
                <w:sz w:val="21"/>
                <w:szCs w:val="22"/>
                <w:lang w:eastAsia="zh-CN" w:bidi="ar-SA"/>
              </w:rPr>
            </w:pPr>
            <w:r>
              <w:rPr>
                <w:rFonts w:hint="eastAsia" w:eastAsia="宋体"/>
                <w:color w:val="auto"/>
                <w:kern w:val="2"/>
                <w:sz w:val="21"/>
                <w:szCs w:val="22"/>
                <w:lang w:eastAsia="zh-CN" w:bidi="ar-SA"/>
              </w:rPr>
              <w:t>符合第二章“投标人须知”第</w:t>
            </w:r>
            <w:r>
              <w:rPr>
                <w:rFonts w:eastAsia="宋体"/>
                <w:color w:val="auto"/>
                <w:kern w:val="2"/>
                <w:sz w:val="21"/>
                <w:szCs w:val="22"/>
                <w:lang w:eastAsia="zh-CN" w:bidi="ar-SA"/>
              </w:rPr>
              <w:t xml:space="preserve"> 3.7.3 </w:t>
            </w:r>
            <w:r>
              <w:rPr>
                <w:rFonts w:hint="eastAsia" w:eastAsia="宋体"/>
                <w:color w:val="auto"/>
                <w:kern w:val="2"/>
                <w:sz w:val="21"/>
                <w:szCs w:val="22"/>
                <w:lang w:eastAsia="zh-CN" w:bidi="ar-SA"/>
              </w:rPr>
              <w:t>项规定</w:t>
            </w:r>
          </w:p>
        </w:tc>
      </w:tr>
      <w:tr w14:paraId="685809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00" w:type="dxa"/>
            <w:vMerge w:val="continue"/>
            <w:vAlign w:val="center"/>
          </w:tcPr>
          <w:p w14:paraId="29B4228C">
            <w:pPr>
              <w:jc w:val="both"/>
              <w:rPr>
                <w:rFonts w:eastAsia="宋体"/>
                <w:color w:val="auto"/>
                <w:kern w:val="2"/>
                <w:sz w:val="21"/>
                <w:szCs w:val="22"/>
                <w:lang w:eastAsia="zh-CN" w:bidi="ar-SA"/>
              </w:rPr>
            </w:pPr>
          </w:p>
        </w:tc>
        <w:tc>
          <w:tcPr>
            <w:tcW w:w="540" w:type="dxa"/>
            <w:vMerge w:val="continue"/>
            <w:vAlign w:val="center"/>
          </w:tcPr>
          <w:p w14:paraId="7E9E1020">
            <w:pPr>
              <w:jc w:val="both"/>
              <w:rPr>
                <w:rFonts w:eastAsia="宋体"/>
                <w:color w:val="auto"/>
                <w:kern w:val="2"/>
                <w:sz w:val="21"/>
                <w:szCs w:val="22"/>
                <w:lang w:eastAsia="zh-CN" w:bidi="ar-SA"/>
              </w:rPr>
            </w:pPr>
          </w:p>
        </w:tc>
        <w:tc>
          <w:tcPr>
            <w:tcW w:w="584" w:type="dxa"/>
            <w:vMerge w:val="continue"/>
            <w:tcBorders>
              <w:right w:val="single" w:color="auto" w:sz="4" w:space="0"/>
            </w:tcBorders>
            <w:vAlign w:val="center"/>
          </w:tcPr>
          <w:p w14:paraId="10DD8F78">
            <w:pPr>
              <w:jc w:val="both"/>
              <w:rPr>
                <w:rFonts w:eastAsia="宋体"/>
                <w:color w:val="auto"/>
                <w:kern w:val="2"/>
                <w:sz w:val="21"/>
                <w:szCs w:val="22"/>
                <w:lang w:eastAsia="zh-CN" w:bidi="ar-SA"/>
              </w:rPr>
            </w:pPr>
          </w:p>
        </w:tc>
        <w:tc>
          <w:tcPr>
            <w:tcW w:w="2476" w:type="dxa"/>
            <w:tcBorders>
              <w:top w:val="single" w:color="auto" w:sz="4" w:space="0"/>
              <w:left w:val="single" w:color="auto" w:sz="4" w:space="0"/>
              <w:bottom w:val="single" w:color="auto" w:sz="4" w:space="0"/>
              <w:right w:val="single" w:color="auto" w:sz="4" w:space="0"/>
            </w:tcBorders>
            <w:vAlign w:val="center"/>
          </w:tcPr>
          <w:p w14:paraId="1ED59B2E">
            <w:pPr>
              <w:spacing w:line="360" w:lineRule="exact"/>
              <w:jc w:val="center"/>
              <w:rPr>
                <w:rFonts w:eastAsia="宋体"/>
                <w:color w:val="auto"/>
                <w:kern w:val="2"/>
                <w:sz w:val="21"/>
                <w:szCs w:val="22"/>
                <w:lang w:eastAsia="zh-CN" w:bidi="ar-SA"/>
              </w:rPr>
            </w:pPr>
            <w:r>
              <w:rPr>
                <w:rFonts w:hint="eastAsia" w:eastAsia="宋体"/>
                <w:color w:val="auto"/>
                <w:kern w:val="2"/>
                <w:sz w:val="21"/>
                <w:szCs w:val="22"/>
                <w:lang w:eastAsia="zh-CN" w:bidi="ar-SA"/>
              </w:rPr>
              <w:t>文件填写及组成</w:t>
            </w:r>
          </w:p>
        </w:tc>
        <w:tc>
          <w:tcPr>
            <w:tcW w:w="4680" w:type="dxa"/>
            <w:tcBorders>
              <w:top w:val="single" w:color="auto" w:sz="4" w:space="0"/>
              <w:left w:val="single" w:color="auto" w:sz="4" w:space="0"/>
              <w:bottom w:val="single" w:color="auto" w:sz="4" w:space="0"/>
              <w:right w:val="single" w:color="auto" w:sz="4" w:space="0"/>
            </w:tcBorders>
            <w:vAlign w:val="center"/>
          </w:tcPr>
          <w:p w14:paraId="03AEEA1D">
            <w:pPr>
              <w:spacing w:line="360" w:lineRule="exact"/>
              <w:jc w:val="both"/>
              <w:rPr>
                <w:rFonts w:eastAsia="宋体"/>
                <w:color w:val="auto"/>
                <w:kern w:val="2"/>
                <w:sz w:val="21"/>
                <w:szCs w:val="22"/>
                <w:lang w:eastAsia="zh-CN" w:bidi="ar-SA"/>
              </w:rPr>
            </w:pPr>
            <w:r>
              <w:rPr>
                <w:rFonts w:hint="eastAsia" w:eastAsia="宋体"/>
                <w:color w:val="auto"/>
                <w:kern w:val="2"/>
                <w:sz w:val="21"/>
                <w:szCs w:val="22"/>
                <w:lang w:eastAsia="zh-CN" w:bidi="ar-SA"/>
              </w:rPr>
              <w:t>组成齐全，没有缺项或缺页，内容均按招标文件规定填写</w:t>
            </w:r>
          </w:p>
        </w:tc>
      </w:tr>
      <w:tr w14:paraId="580457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00" w:type="dxa"/>
            <w:vMerge w:val="continue"/>
            <w:vAlign w:val="center"/>
          </w:tcPr>
          <w:p w14:paraId="1460A34D">
            <w:pPr>
              <w:jc w:val="both"/>
              <w:rPr>
                <w:rFonts w:eastAsia="宋体"/>
                <w:color w:val="auto"/>
                <w:kern w:val="2"/>
                <w:sz w:val="21"/>
                <w:szCs w:val="22"/>
                <w:lang w:eastAsia="zh-CN" w:bidi="ar-SA"/>
              </w:rPr>
            </w:pPr>
          </w:p>
        </w:tc>
        <w:tc>
          <w:tcPr>
            <w:tcW w:w="540" w:type="dxa"/>
            <w:vMerge w:val="continue"/>
            <w:vAlign w:val="center"/>
          </w:tcPr>
          <w:p w14:paraId="5A657772">
            <w:pPr>
              <w:jc w:val="both"/>
              <w:rPr>
                <w:rFonts w:eastAsia="宋体"/>
                <w:color w:val="auto"/>
                <w:kern w:val="2"/>
                <w:sz w:val="21"/>
                <w:szCs w:val="22"/>
                <w:lang w:eastAsia="zh-CN" w:bidi="ar-SA"/>
              </w:rPr>
            </w:pPr>
          </w:p>
        </w:tc>
        <w:tc>
          <w:tcPr>
            <w:tcW w:w="584" w:type="dxa"/>
            <w:vMerge w:val="continue"/>
            <w:tcBorders>
              <w:right w:val="single" w:color="auto" w:sz="4" w:space="0"/>
            </w:tcBorders>
            <w:vAlign w:val="center"/>
          </w:tcPr>
          <w:p w14:paraId="01A42C48">
            <w:pPr>
              <w:jc w:val="both"/>
              <w:rPr>
                <w:rFonts w:eastAsia="宋体"/>
                <w:color w:val="auto"/>
                <w:kern w:val="2"/>
                <w:sz w:val="21"/>
                <w:szCs w:val="22"/>
                <w:lang w:eastAsia="zh-CN" w:bidi="ar-SA"/>
              </w:rPr>
            </w:pPr>
          </w:p>
        </w:tc>
        <w:tc>
          <w:tcPr>
            <w:tcW w:w="2476" w:type="dxa"/>
            <w:tcBorders>
              <w:top w:val="single" w:color="auto" w:sz="4" w:space="0"/>
              <w:left w:val="single" w:color="auto" w:sz="4" w:space="0"/>
              <w:bottom w:val="single" w:color="auto" w:sz="4" w:space="0"/>
              <w:right w:val="single" w:color="auto" w:sz="4" w:space="0"/>
            </w:tcBorders>
            <w:vAlign w:val="center"/>
          </w:tcPr>
          <w:p w14:paraId="12436DCC">
            <w:pPr>
              <w:spacing w:line="360" w:lineRule="exact"/>
              <w:jc w:val="center"/>
              <w:rPr>
                <w:rFonts w:eastAsia="宋体"/>
                <w:color w:val="auto"/>
                <w:kern w:val="2"/>
                <w:sz w:val="21"/>
                <w:szCs w:val="22"/>
                <w:lang w:eastAsia="zh-CN" w:bidi="ar-SA"/>
              </w:rPr>
            </w:pPr>
            <w:r>
              <w:rPr>
                <w:rFonts w:hint="eastAsia" w:eastAsia="宋体"/>
                <w:color w:val="auto"/>
                <w:kern w:val="2"/>
                <w:sz w:val="21"/>
                <w:szCs w:val="22"/>
                <w:lang w:eastAsia="zh-CN" w:bidi="ar-SA"/>
              </w:rPr>
              <w:t>投标函填写</w:t>
            </w:r>
          </w:p>
        </w:tc>
        <w:tc>
          <w:tcPr>
            <w:tcW w:w="4680" w:type="dxa"/>
            <w:tcBorders>
              <w:top w:val="single" w:color="auto" w:sz="4" w:space="0"/>
              <w:left w:val="single" w:color="auto" w:sz="4" w:space="0"/>
              <w:bottom w:val="single" w:color="auto" w:sz="4" w:space="0"/>
              <w:right w:val="single" w:color="auto" w:sz="4" w:space="0"/>
            </w:tcBorders>
            <w:vAlign w:val="center"/>
          </w:tcPr>
          <w:p w14:paraId="3FD7E1F5">
            <w:pPr>
              <w:spacing w:line="360" w:lineRule="exact"/>
              <w:jc w:val="both"/>
              <w:rPr>
                <w:rFonts w:eastAsia="宋体"/>
                <w:color w:val="auto"/>
                <w:kern w:val="2"/>
                <w:sz w:val="21"/>
                <w:szCs w:val="22"/>
                <w:lang w:eastAsia="zh-CN" w:bidi="ar-SA"/>
              </w:rPr>
            </w:pPr>
            <w:r>
              <w:rPr>
                <w:rFonts w:hint="eastAsia" w:eastAsia="宋体"/>
                <w:color w:val="auto"/>
                <w:kern w:val="2"/>
                <w:sz w:val="21"/>
                <w:szCs w:val="22"/>
                <w:lang w:eastAsia="zh-CN" w:bidi="ar-SA"/>
              </w:rPr>
              <w:t>投标函按招标文件规定填报了项目名称、标段号、补遗书编号（如有）、投标价（包括大写金额和小写金额）</w:t>
            </w:r>
          </w:p>
        </w:tc>
      </w:tr>
      <w:tr w14:paraId="283B7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00" w:type="dxa"/>
            <w:vMerge w:val="continue"/>
            <w:vAlign w:val="center"/>
          </w:tcPr>
          <w:p w14:paraId="39AAE7EA">
            <w:pPr>
              <w:jc w:val="both"/>
              <w:rPr>
                <w:rFonts w:eastAsia="宋体"/>
                <w:color w:val="auto"/>
                <w:kern w:val="2"/>
                <w:sz w:val="21"/>
                <w:szCs w:val="22"/>
                <w:lang w:eastAsia="zh-CN" w:bidi="ar-SA"/>
              </w:rPr>
            </w:pPr>
          </w:p>
        </w:tc>
        <w:tc>
          <w:tcPr>
            <w:tcW w:w="540" w:type="dxa"/>
            <w:vMerge w:val="continue"/>
            <w:vAlign w:val="center"/>
          </w:tcPr>
          <w:p w14:paraId="6C8FCBCE">
            <w:pPr>
              <w:jc w:val="both"/>
              <w:rPr>
                <w:rFonts w:eastAsia="宋体"/>
                <w:color w:val="auto"/>
                <w:kern w:val="2"/>
                <w:sz w:val="21"/>
                <w:szCs w:val="22"/>
                <w:lang w:eastAsia="zh-CN" w:bidi="ar-SA"/>
              </w:rPr>
            </w:pPr>
          </w:p>
        </w:tc>
        <w:tc>
          <w:tcPr>
            <w:tcW w:w="584" w:type="dxa"/>
            <w:vMerge w:val="continue"/>
            <w:tcBorders>
              <w:right w:val="single" w:color="auto" w:sz="4" w:space="0"/>
            </w:tcBorders>
            <w:vAlign w:val="center"/>
          </w:tcPr>
          <w:p w14:paraId="638A88D5">
            <w:pPr>
              <w:jc w:val="both"/>
              <w:rPr>
                <w:rFonts w:eastAsia="宋体"/>
                <w:color w:val="auto"/>
                <w:kern w:val="2"/>
                <w:sz w:val="21"/>
                <w:szCs w:val="22"/>
                <w:lang w:eastAsia="zh-CN" w:bidi="ar-SA"/>
              </w:rPr>
            </w:pPr>
          </w:p>
        </w:tc>
        <w:tc>
          <w:tcPr>
            <w:tcW w:w="2476" w:type="dxa"/>
            <w:tcBorders>
              <w:top w:val="single" w:color="auto" w:sz="4" w:space="0"/>
              <w:left w:val="single" w:color="auto" w:sz="4" w:space="0"/>
              <w:bottom w:val="single" w:color="auto" w:sz="4" w:space="0"/>
              <w:right w:val="single" w:color="auto" w:sz="4" w:space="0"/>
            </w:tcBorders>
            <w:vAlign w:val="center"/>
          </w:tcPr>
          <w:p w14:paraId="54B03BE7">
            <w:pPr>
              <w:spacing w:line="360" w:lineRule="exact"/>
              <w:jc w:val="center"/>
              <w:rPr>
                <w:rFonts w:eastAsia="宋体"/>
                <w:color w:val="auto"/>
                <w:kern w:val="2"/>
                <w:sz w:val="21"/>
                <w:szCs w:val="22"/>
                <w:lang w:eastAsia="zh-CN" w:bidi="ar-SA"/>
              </w:rPr>
            </w:pPr>
            <w:r>
              <w:rPr>
                <w:rFonts w:hint="eastAsia" w:eastAsia="宋体"/>
                <w:color w:val="auto"/>
                <w:kern w:val="2"/>
                <w:sz w:val="21"/>
                <w:szCs w:val="22"/>
                <w:lang w:eastAsia="zh-CN" w:bidi="ar-SA"/>
              </w:rPr>
              <w:t>投标报价</w:t>
            </w:r>
          </w:p>
        </w:tc>
        <w:tc>
          <w:tcPr>
            <w:tcW w:w="4680" w:type="dxa"/>
            <w:tcBorders>
              <w:top w:val="single" w:color="auto" w:sz="4" w:space="0"/>
              <w:left w:val="single" w:color="auto" w:sz="4" w:space="0"/>
              <w:bottom w:val="single" w:color="auto" w:sz="4" w:space="0"/>
              <w:right w:val="single" w:color="auto" w:sz="4" w:space="0"/>
            </w:tcBorders>
            <w:vAlign w:val="center"/>
          </w:tcPr>
          <w:p w14:paraId="07F6F5AC">
            <w:pPr>
              <w:spacing w:line="360" w:lineRule="exact"/>
              <w:jc w:val="both"/>
              <w:rPr>
                <w:rFonts w:eastAsia="宋体"/>
                <w:color w:val="auto"/>
                <w:kern w:val="2"/>
                <w:sz w:val="21"/>
                <w:szCs w:val="22"/>
                <w:lang w:eastAsia="zh-CN" w:bidi="ar-SA"/>
              </w:rPr>
            </w:pPr>
            <w:r>
              <w:rPr>
                <w:rFonts w:hint="eastAsia" w:eastAsia="宋体"/>
                <w:color w:val="auto"/>
                <w:kern w:val="2"/>
                <w:sz w:val="21"/>
                <w:szCs w:val="22"/>
                <w:lang w:eastAsia="zh-CN" w:bidi="ar-SA"/>
              </w:rPr>
              <w:t>符合第二章“投标人须知”第</w:t>
            </w:r>
            <w:r>
              <w:rPr>
                <w:rFonts w:eastAsia="宋体"/>
                <w:color w:val="auto"/>
                <w:kern w:val="2"/>
                <w:sz w:val="21"/>
                <w:szCs w:val="22"/>
                <w:lang w:eastAsia="zh-CN" w:bidi="ar-SA"/>
              </w:rPr>
              <w:t>3.2</w:t>
            </w:r>
            <w:r>
              <w:rPr>
                <w:rFonts w:hint="eastAsia" w:eastAsia="宋体"/>
                <w:color w:val="auto"/>
                <w:kern w:val="2"/>
                <w:sz w:val="21"/>
                <w:szCs w:val="22"/>
                <w:lang w:eastAsia="zh-CN" w:bidi="ar-SA"/>
              </w:rPr>
              <w:t>款规定</w:t>
            </w:r>
          </w:p>
        </w:tc>
      </w:tr>
      <w:tr w14:paraId="7E9665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00" w:type="dxa"/>
            <w:vMerge w:val="continue"/>
            <w:vAlign w:val="center"/>
          </w:tcPr>
          <w:p w14:paraId="0C874571">
            <w:pPr>
              <w:jc w:val="both"/>
              <w:rPr>
                <w:rFonts w:eastAsia="宋体"/>
                <w:color w:val="auto"/>
                <w:kern w:val="2"/>
                <w:sz w:val="21"/>
                <w:szCs w:val="22"/>
                <w:lang w:eastAsia="zh-CN" w:bidi="ar-SA"/>
              </w:rPr>
            </w:pPr>
          </w:p>
        </w:tc>
        <w:tc>
          <w:tcPr>
            <w:tcW w:w="540" w:type="dxa"/>
            <w:vMerge w:val="continue"/>
            <w:vAlign w:val="center"/>
          </w:tcPr>
          <w:p w14:paraId="3C7FA5BE">
            <w:pPr>
              <w:jc w:val="both"/>
              <w:rPr>
                <w:rFonts w:eastAsia="宋体"/>
                <w:color w:val="auto"/>
                <w:kern w:val="2"/>
                <w:sz w:val="21"/>
                <w:szCs w:val="22"/>
                <w:lang w:eastAsia="zh-CN" w:bidi="ar-SA"/>
              </w:rPr>
            </w:pPr>
          </w:p>
        </w:tc>
        <w:tc>
          <w:tcPr>
            <w:tcW w:w="584" w:type="dxa"/>
            <w:vMerge w:val="continue"/>
            <w:vAlign w:val="center"/>
          </w:tcPr>
          <w:p w14:paraId="08062B84">
            <w:pPr>
              <w:jc w:val="both"/>
              <w:rPr>
                <w:rFonts w:eastAsia="宋体"/>
                <w:color w:val="auto"/>
                <w:kern w:val="2"/>
                <w:sz w:val="21"/>
                <w:szCs w:val="22"/>
                <w:lang w:eastAsia="zh-CN" w:bidi="ar-SA"/>
              </w:rPr>
            </w:pPr>
          </w:p>
        </w:tc>
        <w:tc>
          <w:tcPr>
            <w:tcW w:w="2476" w:type="dxa"/>
            <w:tcBorders>
              <w:top w:val="single" w:color="auto" w:sz="4" w:space="0"/>
              <w:left w:val="single" w:color="auto" w:sz="4" w:space="0"/>
              <w:bottom w:val="single" w:color="auto" w:sz="4" w:space="0"/>
              <w:right w:val="single" w:color="auto" w:sz="4" w:space="0"/>
            </w:tcBorders>
            <w:vAlign w:val="center"/>
          </w:tcPr>
          <w:p w14:paraId="6FC010FC">
            <w:pPr>
              <w:spacing w:line="360" w:lineRule="exact"/>
              <w:jc w:val="center"/>
              <w:rPr>
                <w:rFonts w:eastAsia="宋体"/>
                <w:color w:val="auto"/>
                <w:kern w:val="2"/>
                <w:sz w:val="21"/>
                <w:szCs w:val="22"/>
                <w:lang w:eastAsia="zh-CN" w:bidi="ar-SA"/>
              </w:rPr>
            </w:pPr>
            <w:r>
              <w:rPr>
                <w:rFonts w:hint="eastAsia" w:eastAsia="宋体"/>
                <w:color w:val="auto"/>
                <w:kern w:val="2"/>
                <w:sz w:val="21"/>
                <w:szCs w:val="22"/>
                <w:lang w:eastAsia="zh-CN" w:bidi="ar-SA"/>
              </w:rPr>
              <w:t>报价唯一</w:t>
            </w:r>
          </w:p>
        </w:tc>
        <w:tc>
          <w:tcPr>
            <w:tcW w:w="4680" w:type="dxa"/>
            <w:tcBorders>
              <w:top w:val="single" w:color="auto" w:sz="4" w:space="0"/>
              <w:left w:val="single" w:color="auto" w:sz="4" w:space="0"/>
              <w:bottom w:val="single" w:color="auto" w:sz="4" w:space="0"/>
              <w:right w:val="single" w:color="auto" w:sz="4" w:space="0"/>
            </w:tcBorders>
            <w:vAlign w:val="center"/>
          </w:tcPr>
          <w:p w14:paraId="36588FEE">
            <w:pPr>
              <w:spacing w:line="360" w:lineRule="exact"/>
              <w:jc w:val="both"/>
              <w:rPr>
                <w:rFonts w:eastAsia="宋体"/>
                <w:color w:val="auto"/>
                <w:kern w:val="2"/>
                <w:sz w:val="21"/>
                <w:szCs w:val="22"/>
                <w:lang w:eastAsia="zh-CN" w:bidi="ar-SA"/>
              </w:rPr>
            </w:pPr>
            <w:r>
              <w:rPr>
                <w:rFonts w:hint="eastAsia" w:eastAsia="宋体"/>
                <w:color w:val="auto"/>
                <w:kern w:val="2"/>
                <w:sz w:val="21"/>
                <w:szCs w:val="22"/>
                <w:lang w:eastAsia="zh-CN" w:bidi="ar-SA"/>
              </w:rPr>
              <w:t>只能有一个有效报价</w:t>
            </w:r>
          </w:p>
        </w:tc>
      </w:tr>
    </w:tbl>
    <w:p w14:paraId="6AAE3633">
      <w:pPr>
        <w:rPr>
          <w:rFonts w:eastAsiaTheme="minorEastAsia"/>
          <w:color w:val="auto"/>
          <w:lang w:eastAsia="zh-CN"/>
        </w:rPr>
      </w:pPr>
    </w:p>
    <w:tbl>
      <w:tblPr>
        <w:tblStyle w:val="47"/>
        <w:tblW w:w="9214"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916"/>
        <w:gridCol w:w="2476"/>
        <w:gridCol w:w="4822"/>
      </w:tblGrid>
      <w:tr w14:paraId="36BBCE8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jc w:val="center"/>
        </w:trPr>
        <w:tc>
          <w:tcPr>
            <w:tcW w:w="1916" w:type="dxa"/>
            <w:tcBorders>
              <w:top w:val="single" w:color="auto" w:sz="4" w:space="0"/>
              <w:bottom w:val="single" w:color="auto" w:sz="4" w:space="0"/>
              <w:right w:val="single" w:color="auto" w:sz="4" w:space="0"/>
            </w:tcBorders>
            <w:vAlign w:val="center"/>
          </w:tcPr>
          <w:p w14:paraId="38622429">
            <w:pPr>
              <w:spacing w:line="440" w:lineRule="exact"/>
              <w:jc w:val="center"/>
              <w:rPr>
                <w:rFonts w:hint="eastAsia" w:ascii="宋体" w:hAnsi="宋体" w:eastAsia="宋体"/>
                <w:b/>
                <w:color w:val="auto"/>
                <w:sz w:val="21"/>
                <w:szCs w:val="21"/>
              </w:rPr>
            </w:pPr>
            <w:r>
              <w:rPr>
                <w:rFonts w:ascii="宋体" w:hAnsi="宋体" w:eastAsia="宋体"/>
                <w:b/>
                <w:color w:val="auto"/>
                <w:sz w:val="21"/>
                <w:szCs w:val="21"/>
              </w:rPr>
              <w:t>条款号</w:t>
            </w:r>
          </w:p>
        </w:tc>
        <w:tc>
          <w:tcPr>
            <w:tcW w:w="2476" w:type="dxa"/>
            <w:tcBorders>
              <w:top w:val="single" w:color="auto" w:sz="4" w:space="0"/>
              <w:left w:val="single" w:color="auto" w:sz="4" w:space="0"/>
              <w:bottom w:val="single" w:color="auto" w:sz="4" w:space="0"/>
              <w:right w:val="single" w:color="auto" w:sz="4" w:space="0"/>
            </w:tcBorders>
            <w:vAlign w:val="center"/>
          </w:tcPr>
          <w:p w14:paraId="2812065F">
            <w:pPr>
              <w:spacing w:line="440" w:lineRule="exact"/>
              <w:jc w:val="center"/>
              <w:rPr>
                <w:rFonts w:hint="eastAsia" w:ascii="宋体" w:hAnsi="宋体" w:eastAsia="宋体"/>
                <w:b/>
                <w:color w:val="auto"/>
                <w:sz w:val="21"/>
                <w:szCs w:val="21"/>
              </w:rPr>
            </w:pPr>
            <w:r>
              <w:rPr>
                <w:rFonts w:ascii="宋体" w:hAnsi="宋体" w:eastAsia="宋体"/>
                <w:b/>
                <w:color w:val="auto"/>
                <w:sz w:val="21"/>
                <w:szCs w:val="21"/>
              </w:rPr>
              <w:t>条款内容</w:t>
            </w:r>
          </w:p>
        </w:tc>
        <w:tc>
          <w:tcPr>
            <w:tcW w:w="4822" w:type="dxa"/>
            <w:tcBorders>
              <w:top w:val="single" w:color="auto" w:sz="4" w:space="0"/>
              <w:left w:val="single" w:color="auto" w:sz="4" w:space="0"/>
              <w:bottom w:val="single" w:color="auto" w:sz="4" w:space="0"/>
              <w:right w:val="single" w:color="auto" w:sz="4" w:space="0"/>
            </w:tcBorders>
            <w:vAlign w:val="center"/>
          </w:tcPr>
          <w:p w14:paraId="568B3D4E">
            <w:pPr>
              <w:spacing w:line="440" w:lineRule="exact"/>
              <w:jc w:val="center"/>
              <w:rPr>
                <w:rFonts w:hint="eastAsia" w:ascii="宋体" w:hAnsi="宋体" w:eastAsia="宋体"/>
                <w:b/>
                <w:color w:val="auto"/>
                <w:sz w:val="21"/>
                <w:szCs w:val="21"/>
              </w:rPr>
            </w:pPr>
            <w:r>
              <w:rPr>
                <w:rFonts w:ascii="宋体" w:hAnsi="宋体" w:eastAsia="宋体"/>
                <w:b/>
                <w:color w:val="auto"/>
                <w:sz w:val="21"/>
                <w:szCs w:val="21"/>
              </w:rPr>
              <w:t>编列内容</w:t>
            </w:r>
          </w:p>
        </w:tc>
      </w:tr>
      <w:tr w14:paraId="21A379F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41" w:hRule="atLeast"/>
          <w:jc w:val="center"/>
        </w:trPr>
        <w:tc>
          <w:tcPr>
            <w:tcW w:w="1916" w:type="dxa"/>
            <w:tcBorders>
              <w:bottom w:val="single" w:color="auto" w:sz="4" w:space="0"/>
              <w:right w:val="single" w:color="auto" w:sz="4" w:space="0"/>
            </w:tcBorders>
            <w:vAlign w:val="center"/>
          </w:tcPr>
          <w:p w14:paraId="5DEEC7D0">
            <w:pPr>
              <w:spacing w:line="440" w:lineRule="exact"/>
              <w:jc w:val="center"/>
              <w:rPr>
                <w:rFonts w:hint="eastAsia" w:ascii="宋体" w:hAnsi="宋体" w:eastAsia="宋体"/>
                <w:color w:val="auto"/>
                <w:sz w:val="21"/>
                <w:szCs w:val="21"/>
              </w:rPr>
            </w:pPr>
            <w:r>
              <w:rPr>
                <w:rFonts w:ascii="宋体" w:hAnsi="宋体" w:eastAsia="宋体"/>
                <w:color w:val="auto"/>
                <w:sz w:val="21"/>
                <w:szCs w:val="21"/>
              </w:rPr>
              <w:t>2.2.1</w:t>
            </w:r>
          </w:p>
        </w:tc>
        <w:tc>
          <w:tcPr>
            <w:tcW w:w="2476" w:type="dxa"/>
            <w:tcBorders>
              <w:top w:val="single" w:color="auto" w:sz="4" w:space="0"/>
              <w:left w:val="single" w:color="auto" w:sz="4" w:space="0"/>
              <w:bottom w:val="single" w:color="auto" w:sz="4" w:space="0"/>
              <w:right w:val="single" w:color="auto" w:sz="4" w:space="0"/>
            </w:tcBorders>
            <w:vAlign w:val="center"/>
          </w:tcPr>
          <w:p w14:paraId="2C746E4D">
            <w:pPr>
              <w:jc w:val="center"/>
              <w:rPr>
                <w:rFonts w:hint="eastAsia" w:ascii="宋体" w:hAnsi="宋体" w:eastAsia="宋体"/>
                <w:color w:val="auto"/>
                <w:sz w:val="21"/>
                <w:szCs w:val="21"/>
              </w:rPr>
            </w:pPr>
            <w:r>
              <w:rPr>
                <w:rFonts w:ascii="宋体" w:hAnsi="宋体" w:eastAsia="宋体"/>
                <w:color w:val="auto"/>
                <w:sz w:val="21"/>
                <w:szCs w:val="21"/>
              </w:rPr>
              <w:t>分值构成</w:t>
            </w:r>
          </w:p>
          <w:p w14:paraId="09B83D7E">
            <w:pPr>
              <w:jc w:val="center"/>
              <w:rPr>
                <w:rFonts w:hint="eastAsia" w:ascii="宋体" w:hAnsi="宋体" w:eastAsia="宋体"/>
                <w:color w:val="auto"/>
                <w:sz w:val="21"/>
                <w:szCs w:val="21"/>
              </w:rPr>
            </w:pPr>
            <w:r>
              <w:rPr>
                <w:rFonts w:ascii="宋体" w:hAnsi="宋体" w:eastAsia="宋体"/>
                <w:color w:val="auto"/>
                <w:sz w:val="21"/>
                <w:szCs w:val="21"/>
              </w:rPr>
              <w:t>(总分100分)</w:t>
            </w:r>
          </w:p>
        </w:tc>
        <w:tc>
          <w:tcPr>
            <w:tcW w:w="4822" w:type="dxa"/>
            <w:tcBorders>
              <w:top w:val="single" w:color="auto" w:sz="4" w:space="0"/>
              <w:left w:val="single" w:color="auto" w:sz="4" w:space="0"/>
              <w:bottom w:val="single" w:color="auto" w:sz="4" w:space="0"/>
              <w:right w:val="single" w:color="auto" w:sz="4" w:space="0"/>
            </w:tcBorders>
            <w:vAlign w:val="center"/>
          </w:tcPr>
          <w:p w14:paraId="7C1BC31E">
            <w:pPr>
              <w:rPr>
                <w:rFonts w:hint="eastAsia" w:ascii="宋体" w:hAnsi="宋体" w:eastAsia="宋体"/>
                <w:color w:val="auto"/>
                <w:sz w:val="21"/>
                <w:szCs w:val="21"/>
                <w:lang w:eastAsia="zh-CN"/>
              </w:rPr>
            </w:pPr>
            <w:r>
              <w:rPr>
                <w:rFonts w:hint="eastAsia" w:ascii="宋体" w:hAnsi="宋体" w:eastAsia="宋体"/>
                <w:color w:val="auto"/>
                <w:sz w:val="21"/>
                <w:szCs w:val="21"/>
                <w:lang w:eastAsia="zh-CN"/>
              </w:rPr>
              <w:t>技术分</w:t>
            </w:r>
            <w:r>
              <w:rPr>
                <w:rFonts w:ascii="宋体" w:hAnsi="宋体" w:eastAsia="宋体"/>
                <w:color w:val="auto"/>
                <w:sz w:val="21"/>
                <w:szCs w:val="21"/>
                <w:lang w:eastAsia="zh-CN"/>
              </w:rPr>
              <w:t>：</w:t>
            </w:r>
            <w:r>
              <w:rPr>
                <w:rFonts w:ascii="宋体" w:hAnsi="宋体" w:eastAsia="宋体"/>
                <w:color w:val="auto"/>
                <w:sz w:val="21"/>
                <w:szCs w:val="21"/>
                <w:u w:val="single"/>
                <w:lang w:eastAsia="zh-CN"/>
              </w:rPr>
              <w:t xml:space="preserve"> </w:t>
            </w:r>
            <w:r>
              <w:rPr>
                <w:rFonts w:hint="eastAsia" w:ascii="宋体" w:hAnsi="宋体" w:eastAsia="宋体"/>
                <w:color w:val="auto"/>
                <w:sz w:val="21"/>
                <w:szCs w:val="21"/>
                <w:u w:val="single"/>
                <w:lang w:eastAsia="zh-CN"/>
              </w:rPr>
              <w:t>45</w:t>
            </w:r>
            <w:r>
              <w:rPr>
                <w:rFonts w:ascii="宋体" w:hAnsi="宋体" w:eastAsia="宋体"/>
                <w:color w:val="auto"/>
                <w:sz w:val="21"/>
                <w:szCs w:val="21"/>
                <w:u w:val="single"/>
                <w:lang w:eastAsia="zh-CN"/>
              </w:rPr>
              <w:t xml:space="preserve"> </w:t>
            </w:r>
            <w:r>
              <w:rPr>
                <w:rFonts w:ascii="宋体" w:hAnsi="宋体" w:eastAsia="宋体"/>
                <w:color w:val="auto"/>
                <w:sz w:val="21"/>
                <w:szCs w:val="21"/>
                <w:lang w:eastAsia="zh-CN"/>
              </w:rPr>
              <w:t>分</w:t>
            </w:r>
          </w:p>
          <w:p w14:paraId="50194684">
            <w:pPr>
              <w:rPr>
                <w:rFonts w:hint="eastAsia" w:ascii="宋体" w:hAnsi="宋体" w:eastAsia="宋体"/>
                <w:color w:val="auto"/>
                <w:sz w:val="21"/>
                <w:szCs w:val="21"/>
                <w:lang w:eastAsia="zh-CN"/>
              </w:rPr>
            </w:pPr>
            <w:r>
              <w:rPr>
                <w:rFonts w:hint="eastAsia" w:ascii="宋体" w:hAnsi="宋体" w:eastAsia="宋体"/>
                <w:color w:val="auto"/>
                <w:sz w:val="21"/>
                <w:szCs w:val="21"/>
                <w:lang w:eastAsia="zh-CN"/>
              </w:rPr>
              <w:t>商务分</w:t>
            </w:r>
            <w:r>
              <w:rPr>
                <w:rFonts w:ascii="宋体" w:hAnsi="宋体" w:eastAsia="宋体"/>
                <w:color w:val="auto"/>
                <w:sz w:val="21"/>
                <w:szCs w:val="21"/>
                <w:lang w:eastAsia="zh-CN"/>
              </w:rPr>
              <w:t>：</w:t>
            </w:r>
            <w:r>
              <w:rPr>
                <w:rFonts w:ascii="宋体" w:hAnsi="宋体" w:eastAsia="宋体"/>
                <w:color w:val="auto"/>
                <w:sz w:val="21"/>
                <w:szCs w:val="21"/>
                <w:u w:val="single"/>
                <w:lang w:eastAsia="zh-CN"/>
              </w:rPr>
              <w:t xml:space="preserve"> 4</w:t>
            </w:r>
            <w:r>
              <w:rPr>
                <w:rFonts w:hint="eastAsia" w:ascii="宋体" w:hAnsi="宋体" w:eastAsia="宋体"/>
                <w:color w:val="auto"/>
                <w:sz w:val="21"/>
                <w:szCs w:val="21"/>
                <w:u w:val="single"/>
                <w:lang w:eastAsia="zh-CN"/>
              </w:rPr>
              <w:t>5</w:t>
            </w:r>
            <w:r>
              <w:rPr>
                <w:rFonts w:ascii="宋体" w:hAnsi="宋体" w:eastAsia="宋体"/>
                <w:color w:val="auto"/>
                <w:sz w:val="21"/>
                <w:szCs w:val="21"/>
                <w:lang w:eastAsia="zh-CN"/>
              </w:rPr>
              <w:t>分</w:t>
            </w:r>
          </w:p>
          <w:p w14:paraId="74B31017">
            <w:pPr>
              <w:rPr>
                <w:rFonts w:hint="eastAsia" w:ascii="宋体" w:hAnsi="宋体" w:eastAsia="宋体"/>
                <w:color w:val="auto"/>
                <w:sz w:val="21"/>
                <w:szCs w:val="21"/>
                <w:lang w:eastAsia="zh-CN"/>
              </w:rPr>
            </w:pPr>
            <w:r>
              <w:rPr>
                <w:rFonts w:ascii="宋体" w:hAnsi="宋体" w:eastAsia="宋体"/>
                <w:color w:val="auto"/>
                <w:sz w:val="21"/>
                <w:szCs w:val="21"/>
                <w:lang w:eastAsia="zh-CN"/>
              </w:rPr>
              <w:t>投标报价：</w:t>
            </w:r>
            <w:r>
              <w:rPr>
                <w:rFonts w:ascii="宋体" w:hAnsi="宋体" w:eastAsia="宋体"/>
                <w:color w:val="auto"/>
                <w:sz w:val="21"/>
                <w:szCs w:val="21"/>
                <w:u w:val="single"/>
                <w:lang w:eastAsia="zh-CN"/>
              </w:rPr>
              <w:t xml:space="preserve">10 </w:t>
            </w:r>
            <w:r>
              <w:rPr>
                <w:rFonts w:ascii="宋体" w:hAnsi="宋体" w:eastAsia="宋体"/>
                <w:color w:val="auto"/>
                <w:sz w:val="21"/>
                <w:szCs w:val="21"/>
                <w:lang w:eastAsia="zh-CN"/>
              </w:rPr>
              <w:t>分</w:t>
            </w:r>
          </w:p>
          <w:p w14:paraId="147D2FE7">
            <w:pPr>
              <w:rPr>
                <w:rFonts w:hint="eastAsia" w:ascii="宋体" w:hAnsi="宋体" w:eastAsia="宋体"/>
                <w:color w:val="auto"/>
                <w:sz w:val="21"/>
                <w:szCs w:val="21"/>
                <w:lang w:eastAsia="zh-CN"/>
              </w:rPr>
            </w:pPr>
            <w:r>
              <w:rPr>
                <w:rFonts w:ascii="宋体" w:hAnsi="宋体" w:eastAsia="宋体"/>
                <w:color w:val="auto"/>
                <w:sz w:val="21"/>
                <w:szCs w:val="21"/>
                <w:lang w:eastAsia="zh-CN"/>
              </w:rPr>
              <w:t>其他评分因素：</w:t>
            </w:r>
            <w:r>
              <w:rPr>
                <w:rFonts w:ascii="宋体" w:hAnsi="宋体" w:eastAsia="宋体"/>
                <w:color w:val="auto"/>
                <w:sz w:val="21"/>
                <w:szCs w:val="21"/>
                <w:u w:val="single"/>
                <w:lang w:eastAsia="zh-CN"/>
              </w:rPr>
              <w:t xml:space="preserve"> 0 </w:t>
            </w:r>
            <w:r>
              <w:rPr>
                <w:rFonts w:ascii="宋体" w:hAnsi="宋体" w:eastAsia="宋体"/>
                <w:color w:val="auto"/>
                <w:sz w:val="21"/>
                <w:szCs w:val="21"/>
                <w:lang w:eastAsia="zh-CN"/>
              </w:rPr>
              <w:t>分</w:t>
            </w:r>
          </w:p>
        </w:tc>
      </w:tr>
      <w:tr w14:paraId="606D9B1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16" w:hRule="atLeast"/>
          <w:jc w:val="center"/>
        </w:trPr>
        <w:tc>
          <w:tcPr>
            <w:tcW w:w="1916" w:type="dxa"/>
            <w:tcBorders>
              <w:top w:val="single" w:color="auto" w:sz="4" w:space="0"/>
              <w:bottom w:val="single" w:color="auto" w:sz="4" w:space="0"/>
              <w:right w:val="single" w:color="auto" w:sz="4" w:space="0"/>
            </w:tcBorders>
            <w:vAlign w:val="center"/>
          </w:tcPr>
          <w:p w14:paraId="178B231F">
            <w:pPr>
              <w:spacing w:line="440" w:lineRule="exact"/>
              <w:jc w:val="center"/>
              <w:rPr>
                <w:rFonts w:hint="eastAsia" w:ascii="宋体" w:hAnsi="宋体" w:eastAsia="宋体"/>
                <w:color w:val="auto"/>
                <w:sz w:val="21"/>
                <w:szCs w:val="21"/>
              </w:rPr>
            </w:pPr>
            <w:r>
              <w:rPr>
                <w:rFonts w:ascii="宋体" w:hAnsi="宋体" w:eastAsia="宋体"/>
                <w:color w:val="auto"/>
                <w:sz w:val="21"/>
                <w:szCs w:val="21"/>
              </w:rPr>
              <w:t>2.2.2</w:t>
            </w:r>
          </w:p>
        </w:tc>
        <w:tc>
          <w:tcPr>
            <w:tcW w:w="2476" w:type="dxa"/>
            <w:tcBorders>
              <w:top w:val="single" w:color="auto" w:sz="4" w:space="0"/>
              <w:left w:val="single" w:color="auto" w:sz="4" w:space="0"/>
              <w:bottom w:val="single" w:color="auto" w:sz="4" w:space="0"/>
              <w:right w:val="single" w:color="auto" w:sz="4" w:space="0"/>
            </w:tcBorders>
            <w:vAlign w:val="center"/>
          </w:tcPr>
          <w:p w14:paraId="4FCF11AF">
            <w:pPr>
              <w:spacing w:line="440" w:lineRule="exact"/>
              <w:jc w:val="center"/>
              <w:rPr>
                <w:rFonts w:hint="eastAsia" w:ascii="宋体" w:hAnsi="宋体" w:eastAsia="宋体"/>
                <w:color w:val="auto"/>
                <w:sz w:val="21"/>
                <w:szCs w:val="21"/>
              </w:rPr>
            </w:pPr>
            <w:r>
              <w:rPr>
                <w:rFonts w:ascii="宋体" w:hAnsi="宋体" w:eastAsia="宋体"/>
                <w:color w:val="auto"/>
                <w:sz w:val="21"/>
                <w:szCs w:val="21"/>
              </w:rPr>
              <w:t>评标基准价计算方法</w:t>
            </w:r>
          </w:p>
        </w:tc>
        <w:tc>
          <w:tcPr>
            <w:tcW w:w="4822" w:type="dxa"/>
            <w:tcBorders>
              <w:top w:val="single" w:color="auto" w:sz="4" w:space="0"/>
              <w:left w:val="single" w:color="auto" w:sz="4" w:space="0"/>
              <w:bottom w:val="single" w:color="auto" w:sz="4" w:space="0"/>
              <w:right w:val="single" w:color="auto" w:sz="4" w:space="0"/>
            </w:tcBorders>
            <w:vAlign w:val="center"/>
          </w:tcPr>
          <w:p w14:paraId="55E653F8">
            <w:pPr>
              <w:spacing w:line="276" w:lineRule="auto"/>
              <w:jc w:val="both"/>
              <w:rPr>
                <w:rFonts w:hint="eastAsia" w:hAnsi="宋体" w:eastAsia="宋体"/>
                <w:color w:val="auto"/>
                <w:sz w:val="21"/>
                <w:szCs w:val="21"/>
                <w:lang w:eastAsia="zh-CN" w:bidi="ar-SA"/>
              </w:rPr>
            </w:pPr>
            <w:r>
              <w:rPr>
                <w:rFonts w:hAnsi="宋体" w:eastAsia="宋体"/>
                <w:color w:val="auto"/>
                <w:sz w:val="21"/>
                <w:szCs w:val="21"/>
                <w:lang w:eastAsia="zh-CN" w:bidi="ar-SA"/>
              </w:rPr>
              <w:t xml:space="preserve">评标基准价的计算： </w:t>
            </w:r>
          </w:p>
          <w:p w14:paraId="0030326E">
            <w:pPr>
              <w:spacing w:line="276" w:lineRule="auto"/>
              <w:jc w:val="both"/>
              <w:rPr>
                <w:rFonts w:hint="eastAsia" w:hAnsi="宋体" w:eastAsia="宋体"/>
                <w:color w:val="auto"/>
                <w:sz w:val="21"/>
                <w:szCs w:val="21"/>
                <w:lang w:eastAsia="zh-CN" w:bidi="ar-SA"/>
              </w:rPr>
            </w:pPr>
            <w:r>
              <w:rPr>
                <w:rFonts w:hAnsi="宋体" w:eastAsia="宋体"/>
                <w:color w:val="auto"/>
                <w:sz w:val="21"/>
                <w:szCs w:val="21"/>
                <w:lang w:eastAsia="zh-CN" w:bidi="ar-SA"/>
              </w:rPr>
              <w:t>在开标现场，招标人将当场计算并宣布评标基准价。</w:t>
            </w:r>
          </w:p>
          <w:p w14:paraId="540B5790">
            <w:pPr>
              <w:spacing w:line="276" w:lineRule="auto"/>
              <w:jc w:val="both"/>
              <w:rPr>
                <w:rFonts w:hint="eastAsia" w:hAnsi="宋体" w:eastAsia="宋体"/>
                <w:color w:val="auto"/>
                <w:sz w:val="21"/>
                <w:szCs w:val="21"/>
                <w:lang w:eastAsia="zh-CN" w:bidi="ar-SA"/>
              </w:rPr>
            </w:pPr>
            <w:r>
              <w:rPr>
                <w:rFonts w:hAnsi="宋体" w:eastAsia="宋体"/>
                <w:color w:val="auto"/>
                <w:sz w:val="21"/>
                <w:szCs w:val="21"/>
                <w:lang w:eastAsia="zh-CN" w:bidi="ar-SA"/>
              </w:rPr>
              <w:t xml:space="preserve">（1）评标价的确定： </w:t>
            </w:r>
          </w:p>
          <w:p w14:paraId="522B1298">
            <w:pPr>
              <w:ind w:firstLine="210" w:firstLineChars="100"/>
              <w:rPr>
                <w:rFonts w:hint="eastAsia" w:hAnsi="宋体" w:eastAsia="宋体"/>
                <w:color w:val="auto"/>
                <w:sz w:val="21"/>
                <w:szCs w:val="21"/>
                <w:lang w:eastAsia="zh-CN" w:bidi="ar-SA"/>
              </w:rPr>
            </w:pPr>
            <w:r>
              <w:rPr>
                <w:rFonts w:hAnsi="宋体" w:eastAsia="宋体"/>
                <w:color w:val="auto"/>
                <w:sz w:val="21"/>
                <w:szCs w:val="21"/>
                <w:lang w:eastAsia="zh-CN" w:bidi="ar-SA"/>
              </w:rPr>
              <w:t>评标价=投标函文字报价</w:t>
            </w:r>
            <w:r>
              <w:rPr>
                <w:rFonts w:hint="eastAsia" w:hAnsi="宋体" w:eastAsia="宋体"/>
                <w:color w:val="auto"/>
                <w:sz w:val="21"/>
                <w:szCs w:val="21"/>
                <w:lang w:eastAsia="zh-CN" w:bidi="ar-SA"/>
              </w:rPr>
              <w:t>。</w:t>
            </w:r>
          </w:p>
          <w:p w14:paraId="59752CEE">
            <w:pPr>
              <w:spacing w:line="276" w:lineRule="auto"/>
              <w:jc w:val="both"/>
              <w:rPr>
                <w:rFonts w:hint="eastAsia" w:hAnsi="宋体" w:eastAsia="宋体"/>
                <w:color w:val="auto"/>
                <w:sz w:val="21"/>
                <w:szCs w:val="21"/>
                <w:lang w:eastAsia="zh-CN" w:bidi="ar-SA"/>
              </w:rPr>
            </w:pPr>
            <w:r>
              <w:rPr>
                <w:rFonts w:hAnsi="宋体" w:eastAsia="宋体"/>
                <w:color w:val="auto"/>
                <w:sz w:val="21"/>
                <w:szCs w:val="21"/>
                <w:lang w:eastAsia="zh-CN" w:bidi="ar-SA"/>
              </w:rPr>
              <w:t>（2）评标价平均值的计算</w:t>
            </w:r>
          </w:p>
          <w:p w14:paraId="7F498CE2">
            <w:pPr>
              <w:ind w:firstLine="210" w:firstLineChars="100"/>
              <w:rPr>
                <w:rFonts w:hint="eastAsia" w:hAnsi="宋体" w:eastAsia="宋体"/>
                <w:color w:val="auto"/>
                <w:sz w:val="21"/>
                <w:szCs w:val="21"/>
                <w:lang w:eastAsia="zh-CN" w:bidi="ar-SA"/>
              </w:rPr>
            </w:pPr>
            <w:r>
              <w:rPr>
                <w:rFonts w:hint="eastAsia" w:hAnsi="宋体" w:eastAsia="宋体"/>
                <w:color w:val="auto"/>
                <w:sz w:val="21"/>
                <w:szCs w:val="21"/>
                <w:lang w:eastAsia="zh-CN" w:bidi="ar-SA"/>
              </w:rPr>
              <w:t>评标基准价计算时去掉n个最高评标价和n个最低评标价。</w:t>
            </w:r>
          </w:p>
          <w:p w14:paraId="43AEC5EB">
            <w:pPr>
              <w:ind w:firstLine="210" w:firstLineChars="100"/>
              <w:rPr>
                <w:rFonts w:hint="eastAsia" w:hAnsi="宋体" w:eastAsia="宋体"/>
                <w:color w:val="auto"/>
                <w:sz w:val="21"/>
                <w:szCs w:val="21"/>
                <w:lang w:eastAsia="zh-CN" w:bidi="ar-SA"/>
              </w:rPr>
            </w:pPr>
            <w:r>
              <w:rPr>
                <w:rFonts w:hint="eastAsia" w:hAnsi="宋体" w:eastAsia="宋体"/>
                <w:color w:val="auto"/>
                <w:sz w:val="21"/>
                <w:szCs w:val="21"/>
                <w:lang w:eastAsia="zh-CN" w:bidi="ar-SA"/>
              </w:rPr>
              <w:t>①当N</w:t>
            </w:r>
            <w:r>
              <w:rPr>
                <w:rFonts w:hAnsi="宋体" w:eastAsia="宋体"/>
                <w:color w:val="auto"/>
                <w:sz w:val="21"/>
                <w:szCs w:val="21"/>
                <w:lang w:eastAsia="zh-CN" w:bidi="ar-SA"/>
              </w:rPr>
              <w:t>≤</w:t>
            </w:r>
            <w:r>
              <w:rPr>
                <w:rFonts w:hint="eastAsia" w:hAnsi="宋体" w:eastAsia="宋体"/>
                <w:color w:val="auto"/>
                <w:sz w:val="21"/>
                <w:szCs w:val="21"/>
                <w:lang w:eastAsia="zh-CN" w:bidi="ar-SA"/>
              </w:rPr>
              <w:t>5时，n取0；</w:t>
            </w:r>
          </w:p>
          <w:p w14:paraId="22EBA01D">
            <w:pPr>
              <w:ind w:firstLine="210" w:firstLineChars="100"/>
              <w:rPr>
                <w:rFonts w:hint="eastAsia" w:hAnsi="宋体" w:eastAsia="宋体"/>
                <w:color w:val="auto"/>
                <w:sz w:val="21"/>
                <w:szCs w:val="21"/>
                <w:lang w:eastAsia="zh-CN" w:bidi="ar-SA"/>
              </w:rPr>
            </w:pPr>
            <w:r>
              <w:rPr>
                <w:rFonts w:hint="eastAsia" w:hAnsi="宋体" w:eastAsia="宋体"/>
                <w:color w:val="auto"/>
                <w:sz w:val="21"/>
                <w:szCs w:val="21"/>
                <w:lang w:eastAsia="zh-CN" w:bidi="ar-SA"/>
              </w:rPr>
              <w:t>②当</w:t>
            </w:r>
            <w:r>
              <w:rPr>
                <w:rFonts w:hAnsi="宋体" w:eastAsia="宋体"/>
                <w:color w:val="auto"/>
                <w:sz w:val="21"/>
                <w:szCs w:val="21"/>
                <w:lang w:eastAsia="zh-CN" w:bidi="ar-SA"/>
              </w:rPr>
              <w:t>5</w:t>
            </w:r>
            <w:r>
              <w:rPr>
                <w:rFonts w:hint="eastAsia" w:hAnsi="宋体" w:eastAsia="宋体"/>
                <w:color w:val="auto"/>
                <w:sz w:val="21"/>
                <w:szCs w:val="21"/>
                <w:lang w:eastAsia="zh-CN" w:bidi="ar-SA"/>
              </w:rPr>
              <w:t>＜N</w:t>
            </w:r>
            <w:r>
              <w:rPr>
                <w:rFonts w:hAnsi="宋体" w:eastAsia="宋体"/>
                <w:color w:val="auto"/>
                <w:sz w:val="21"/>
                <w:szCs w:val="21"/>
                <w:lang w:eastAsia="zh-CN" w:bidi="ar-SA"/>
              </w:rPr>
              <w:t>≤</w:t>
            </w:r>
            <w:r>
              <w:rPr>
                <w:rFonts w:hint="eastAsia" w:hAnsi="宋体" w:eastAsia="宋体"/>
                <w:color w:val="auto"/>
                <w:sz w:val="21"/>
                <w:szCs w:val="21"/>
                <w:lang w:eastAsia="zh-CN" w:bidi="ar-SA"/>
              </w:rPr>
              <w:t>1</w:t>
            </w:r>
            <w:r>
              <w:rPr>
                <w:rFonts w:hAnsi="宋体" w:eastAsia="宋体"/>
                <w:color w:val="auto"/>
                <w:sz w:val="21"/>
                <w:szCs w:val="21"/>
                <w:lang w:eastAsia="zh-CN" w:bidi="ar-SA"/>
              </w:rPr>
              <w:t>0</w:t>
            </w:r>
            <w:r>
              <w:rPr>
                <w:rFonts w:hint="eastAsia" w:hAnsi="宋体" w:eastAsia="宋体"/>
                <w:color w:val="auto"/>
                <w:sz w:val="21"/>
                <w:szCs w:val="21"/>
                <w:lang w:eastAsia="zh-CN" w:bidi="ar-SA"/>
              </w:rPr>
              <w:t>时，n取1；</w:t>
            </w:r>
          </w:p>
          <w:p w14:paraId="446A46E9">
            <w:pPr>
              <w:ind w:firstLine="210" w:firstLineChars="100"/>
              <w:rPr>
                <w:rFonts w:hint="eastAsia" w:hAnsi="宋体" w:eastAsia="宋体"/>
                <w:color w:val="auto"/>
                <w:sz w:val="21"/>
                <w:szCs w:val="21"/>
                <w:lang w:eastAsia="zh-CN" w:bidi="ar-SA"/>
              </w:rPr>
            </w:pPr>
            <w:r>
              <w:rPr>
                <w:rFonts w:hint="eastAsia" w:hAnsi="宋体" w:eastAsia="宋体"/>
                <w:color w:val="auto"/>
                <w:sz w:val="21"/>
                <w:szCs w:val="21"/>
                <w:lang w:eastAsia="zh-CN" w:bidi="ar-SA"/>
              </w:rPr>
              <w:t>③当1</w:t>
            </w:r>
            <w:r>
              <w:rPr>
                <w:rFonts w:hAnsi="宋体" w:eastAsia="宋体"/>
                <w:color w:val="auto"/>
                <w:sz w:val="21"/>
                <w:szCs w:val="21"/>
                <w:lang w:eastAsia="zh-CN" w:bidi="ar-SA"/>
              </w:rPr>
              <w:t>0</w:t>
            </w:r>
            <w:r>
              <w:rPr>
                <w:rFonts w:hint="eastAsia" w:hAnsi="宋体" w:eastAsia="宋体"/>
                <w:color w:val="auto"/>
                <w:sz w:val="21"/>
                <w:szCs w:val="21"/>
                <w:lang w:eastAsia="zh-CN" w:bidi="ar-SA"/>
              </w:rPr>
              <w:t>＜N</w:t>
            </w:r>
            <w:r>
              <w:rPr>
                <w:rFonts w:hAnsi="宋体" w:eastAsia="宋体"/>
                <w:color w:val="auto"/>
                <w:sz w:val="21"/>
                <w:szCs w:val="21"/>
                <w:lang w:eastAsia="zh-CN" w:bidi="ar-SA"/>
              </w:rPr>
              <w:t>≤</w:t>
            </w:r>
            <w:r>
              <w:rPr>
                <w:rFonts w:hint="eastAsia" w:hAnsi="宋体" w:eastAsia="宋体"/>
                <w:color w:val="auto"/>
                <w:sz w:val="21"/>
                <w:szCs w:val="21"/>
                <w:lang w:eastAsia="zh-CN" w:bidi="ar-SA"/>
              </w:rPr>
              <w:t>1</w:t>
            </w:r>
            <w:r>
              <w:rPr>
                <w:rFonts w:hAnsi="宋体" w:eastAsia="宋体"/>
                <w:color w:val="auto"/>
                <w:sz w:val="21"/>
                <w:szCs w:val="21"/>
                <w:lang w:eastAsia="zh-CN" w:bidi="ar-SA"/>
              </w:rPr>
              <w:t>5</w:t>
            </w:r>
            <w:r>
              <w:rPr>
                <w:rFonts w:hint="eastAsia" w:hAnsi="宋体" w:eastAsia="宋体"/>
                <w:color w:val="auto"/>
                <w:sz w:val="21"/>
                <w:szCs w:val="21"/>
                <w:lang w:eastAsia="zh-CN" w:bidi="ar-SA"/>
              </w:rPr>
              <w:t>时，n取</w:t>
            </w:r>
            <w:r>
              <w:rPr>
                <w:rFonts w:hAnsi="宋体" w:eastAsia="宋体"/>
                <w:color w:val="auto"/>
                <w:sz w:val="21"/>
                <w:szCs w:val="21"/>
                <w:lang w:eastAsia="zh-CN" w:bidi="ar-SA"/>
              </w:rPr>
              <w:t>2</w:t>
            </w:r>
            <w:r>
              <w:rPr>
                <w:rFonts w:hint="eastAsia" w:hAnsi="宋体" w:eastAsia="宋体"/>
                <w:color w:val="auto"/>
                <w:sz w:val="21"/>
                <w:szCs w:val="21"/>
                <w:lang w:eastAsia="zh-CN" w:bidi="ar-SA"/>
              </w:rPr>
              <w:t>，以此类推。</w:t>
            </w:r>
          </w:p>
          <w:p w14:paraId="3C2F3256">
            <w:pPr>
              <w:ind w:firstLine="210" w:firstLineChars="100"/>
              <w:rPr>
                <w:rFonts w:hint="eastAsia" w:hAnsi="宋体" w:eastAsia="宋体"/>
                <w:color w:val="auto"/>
                <w:sz w:val="21"/>
                <w:szCs w:val="21"/>
                <w:lang w:eastAsia="zh-CN" w:bidi="ar-SA"/>
              </w:rPr>
            </w:pPr>
            <w:r>
              <w:rPr>
                <w:rFonts w:hint="eastAsia" w:hAnsi="宋体" w:eastAsia="宋体"/>
                <w:color w:val="auto"/>
                <w:sz w:val="21"/>
                <w:szCs w:val="21"/>
                <w:lang w:eastAsia="zh-CN" w:bidi="ar-SA"/>
              </w:rPr>
              <w:t>N为第二个信封（投标报价）现场开标有效且不存在投标人须知5</w:t>
            </w:r>
            <w:r>
              <w:rPr>
                <w:rFonts w:hAnsi="宋体" w:eastAsia="宋体"/>
                <w:color w:val="auto"/>
                <w:sz w:val="21"/>
                <w:szCs w:val="21"/>
                <w:lang w:eastAsia="zh-CN" w:bidi="ar-SA"/>
              </w:rPr>
              <w:t>.2.4</w:t>
            </w:r>
            <w:r>
              <w:rPr>
                <w:rFonts w:hint="eastAsia" w:hAnsi="宋体" w:eastAsia="宋体"/>
                <w:color w:val="auto"/>
                <w:sz w:val="21"/>
                <w:szCs w:val="21"/>
                <w:lang w:eastAsia="zh-CN" w:bidi="ar-SA"/>
              </w:rPr>
              <w:t>条情形的投标人数量。</w:t>
            </w:r>
          </w:p>
          <w:p w14:paraId="79AAD0F9">
            <w:pPr>
              <w:ind w:firstLine="210" w:firstLineChars="100"/>
              <w:rPr>
                <w:rFonts w:hint="eastAsia" w:hAnsi="宋体" w:eastAsia="宋体"/>
                <w:color w:val="auto"/>
                <w:sz w:val="21"/>
                <w:szCs w:val="21"/>
                <w:lang w:eastAsia="zh-CN" w:bidi="ar-SA"/>
              </w:rPr>
            </w:pPr>
            <w:r>
              <w:rPr>
                <w:rFonts w:hint="eastAsia" w:hAnsi="宋体" w:eastAsia="宋体"/>
                <w:color w:val="auto"/>
                <w:sz w:val="21"/>
                <w:szCs w:val="21"/>
                <w:lang w:eastAsia="zh-CN" w:bidi="ar-SA"/>
              </w:rPr>
              <w:t>评标基准价=根据上述规则去除n个最高值和n个最低值后，其余评标价的算术平均值。</w:t>
            </w:r>
          </w:p>
          <w:p w14:paraId="291FE874">
            <w:pPr>
              <w:ind w:firstLine="210" w:firstLineChars="100"/>
              <w:rPr>
                <w:rFonts w:hint="eastAsia" w:hAnsi="宋体" w:eastAsia="宋体"/>
                <w:color w:val="auto"/>
                <w:sz w:val="21"/>
                <w:szCs w:val="21"/>
                <w:lang w:eastAsia="zh-CN" w:bidi="ar-SA"/>
              </w:rPr>
            </w:pPr>
            <w:r>
              <w:rPr>
                <w:rFonts w:hint="eastAsia" w:hAnsi="宋体" w:eastAsia="宋体"/>
                <w:color w:val="auto"/>
                <w:sz w:val="21"/>
                <w:szCs w:val="21"/>
                <w:lang w:eastAsia="zh-CN" w:bidi="ar-SA"/>
              </w:rPr>
              <w:t>评标基准价保留两位小数，小数点后第三位“四舍五入”。</w:t>
            </w:r>
          </w:p>
          <w:p w14:paraId="482577B1">
            <w:pPr>
              <w:spacing w:line="276" w:lineRule="auto"/>
              <w:jc w:val="both"/>
              <w:rPr>
                <w:rFonts w:hint="eastAsia" w:hAnsi="宋体" w:eastAsia="宋体"/>
                <w:color w:val="auto"/>
                <w:sz w:val="21"/>
                <w:szCs w:val="21"/>
                <w:lang w:eastAsia="zh-CN" w:bidi="ar-SA"/>
              </w:rPr>
            </w:pPr>
            <w:r>
              <w:rPr>
                <w:rFonts w:hAnsi="宋体" w:eastAsia="宋体"/>
                <w:color w:val="auto"/>
                <w:sz w:val="21"/>
                <w:szCs w:val="21"/>
                <w:lang w:eastAsia="zh-CN" w:bidi="ar-SA"/>
              </w:rPr>
              <w:t>（3）</w:t>
            </w:r>
            <w:r>
              <w:rPr>
                <w:rFonts w:hint="eastAsia" w:hAnsi="宋体" w:eastAsia="宋体"/>
                <w:color w:val="auto"/>
                <w:sz w:val="21"/>
                <w:szCs w:val="21"/>
                <w:lang w:eastAsia="zh-CN" w:bidi="ar-SA"/>
              </w:rPr>
              <w:t>评标基准价除计算有误经评标委员会修正外，在整个评标期间保持不变。</w:t>
            </w:r>
          </w:p>
        </w:tc>
      </w:tr>
      <w:tr w14:paraId="617A187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77" w:hRule="atLeast"/>
          <w:jc w:val="center"/>
        </w:trPr>
        <w:tc>
          <w:tcPr>
            <w:tcW w:w="1916" w:type="dxa"/>
            <w:tcBorders>
              <w:top w:val="single" w:color="auto" w:sz="4" w:space="0"/>
              <w:bottom w:val="single" w:color="auto" w:sz="4" w:space="0"/>
              <w:right w:val="single" w:color="auto" w:sz="4" w:space="0"/>
            </w:tcBorders>
            <w:vAlign w:val="center"/>
          </w:tcPr>
          <w:p w14:paraId="67E2A5E1">
            <w:pPr>
              <w:spacing w:line="440" w:lineRule="exact"/>
              <w:jc w:val="center"/>
              <w:rPr>
                <w:rFonts w:hint="eastAsia" w:ascii="宋体" w:hAnsi="宋体" w:eastAsia="宋体"/>
                <w:color w:val="auto"/>
                <w:sz w:val="21"/>
                <w:szCs w:val="21"/>
              </w:rPr>
            </w:pPr>
            <w:r>
              <w:rPr>
                <w:rFonts w:ascii="宋体" w:hAnsi="宋体" w:eastAsia="宋体"/>
                <w:color w:val="auto"/>
                <w:sz w:val="21"/>
                <w:szCs w:val="21"/>
              </w:rPr>
              <w:t>2.2.3</w:t>
            </w:r>
          </w:p>
        </w:tc>
        <w:tc>
          <w:tcPr>
            <w:tcW w:w="2476" w:type="dxa"/>
            <w:tcBorders>
              <w:top w:val="single" w:color="auto" w:sz="4" w:space="0"/>
              <w:left w:val="single" w:color="auto" w:sz="4" w:space="0"/>
              <w:right w:val="single" w:color="auto" w:sz="4" w:space="0"/>
            </w:tcBorders>
            <w:vAlign w:val="center"/>
          </w:tcPr>
          <w:p w14:paraId="7D02863F">
            <w:pPr>
              <w:jc w:val="center"/>
              <w:rPr>
                <w:rFonts w:hint="eastAsia" w:ascii="宋体" w:hAnsi="宋体" w:eastAsia="宋体"/>
                <w:color w:val="auto"/>
                <w:sz w:val="21"/>
                <w:szCs w:val="21"/>
                <w:lang w:eastAsia="zh-CN"/>
              </w:rPr>
            </w:pPr>
            <w:r>
              <w:rPr>
                <w:rFonts w:ascii="宋体" w:hAnsi="宋体" w:eastAsia="宋体"/>
                <w:color w:val="auto"/>
                <w:sz w:val="21"/>
                <w:szCs w:val="21"/>
                <w:lang w:eastAsia="zh-CN"/>
              </w:rPr>
              <w:t>投标报价的偏差率</w:t>
            </w:r>
          </w:p>
          <w:p w14:paraId="64E51319">
            <w:pPr>
              <w:jc w:val="center"/>
              <w:rPr>
                <w:rFonts w:hint="eastAsia" w:ascii="宋体" w:hAnsi="宋体" w:eastAsia="宋体"/>
                <w:color w:val="auto"/>
                <w:sz w:val="21"/>
                <w:szCs w:val="21"/>
                <w:lang w:eastAsia="zh-CN"/>
              </w:rPr>
            </w:pPr>
            <w:r>
              <w:rPr>
                <w:rFonts w:ascii="宋体" w:hAnsi="宋体" w:eastAsia="宋体"/>
                <w:color w:val="auto"/>
                <w:sz w:val="21"/>
                <w:szCs w:val="21"/>
                <w:lang w:eastAsia="zh-CN"/>
              </w:rPr>
              <w:t>计算公式</w:t>
            </w:r>
          </w:p>
        </w:tc>
        <w:tc>
          <w:tcPr>
            <w:tcW w:w="4822" w:type="dxa"/>
            <w:tcBorders>
              <w:top w:val="single" w:color="auto" w:sz="4" w:space="0"/>
              <w:left w:val="single" w:color="auto" w:sz="4" w:space="0"/>
              <w:right w:val="single" w:color="auto" w:sz="4" w:space="0"/>
            </w:tcBorders>
            <w:vAlign w:val="center"/>
          </w:tcPr>
          <w:p w14:paraId="431A9BCB">
            <w:pPr>
              <w:rPr>
                <w:rFonts w:hint="eastAsia" w:ascii="宋体" w:hAnsi="宋体" w:eastAsia="宋体"/>
                <w:color w:val="auto"/>
                <w:sz w:val="21"/>
                <w:szCs w:val="21"/>
                <w:lang w:eastAsia="zh-CN"/>
              </w:rPr>
            </w:pPr>
            <w:r>
              <w:rPr>
                <w:rFonts w:hint="eastAsia" w:ascii="宋体" w:hAnsi="宋体" w:eastAsia="宋体"/>
                <w:color w:val="auto"/>
                <w:sz w:val="21"/>
                <w:szCs w:val="21"/>
                <w:lang w:eastAsia="zh-CN"/>
              </w:rPr>
              <w:t>偏差率</w:t>
            </w:r>
            <w:r>
              <w:rPr>
                <w:rFonts w:ascii="宋体" w:hAnsi="宋体" w:eastAsia="宋体"/>
                <w:color w:val="auto"/>
                <w:sz w:val="21"/>
                <w:szCs w:val="21"/>
                <w:lang w:eastAsia="zh-CN"/>
              </w:rPr>
              <w:t xml:space="preserve"> = 100% ×</w:t>
            </w:r>
            <w:r>
              <w:rPr>
                <w:rFonts w:hint="eastAsia" w:ascii="宋体" w:hAnsi="宋体" w:eastAsia="宋体"/>
                <w:color w:val="auto"/>
                <w:sz w:val="21"/>
                <w:szCs w:val="21"/>
                <w:lang w:eastAsia="zh-CN"/>
              </w:rPr>
              <w:t>（投标人评标价-评标基准价）</w:t>
            </w:r>
            <w:r>
              <w:rPr>
                <w:rFonts w:ascii="宋体" w:hAnsi="宋体" w:eastAsia="宋体"/>
                <w:color w:val="auto"/>
                <w:sz w:val="21"/>
                <w:szCs w:val="21"/>
                <w:lang w:eastAsia="zh-CN"/>
              </w:rPr>
              <w:t>/</w:t>
            </w:r>
            <w:r>
              <w:rPr>
                <w:rFonts w:hint="eastAsia" w:ascii="宋体" w:hAnsi="宋体" w:eastAsia="宋体"/>
                <w:color w:val="auto"/>
                <w:sz w:val="21"/>
                <w:szCs w:val="21"/>
                <w:lang w:eastAsia="zh-CN"/>
              </w:rPr>
              <w:t>评标基准价</w:t>
            </w:r>
          </w:p>
          <w:p w14:paraId="6ED7A24B">
            <w:pPr>
              <w:rPr>
                <w:rFonts w:hint="eastAsia" w:ascii="宋体" w:hAnsi="宋体" w:eastAsia="宋体"/>
                <w:color w:val="auto"/>
                <w:sz w:val="21"/>
                <w:szCs w:val="21"/>
                <w:lang w:eastAsia="zh-CN"/>
              </w:rPr>
            </w:pPr>
            <w:r>
              <w:rPr>
                <w:rFonts w:hint="eastAsia" w:ascii="宋体" w:hAnsi="宋体" w:eastAsia="宋体"/>
                <w:color w:val="auto"/>
                <w:sz w:val="21"/>
                <w:szCs w:val="21"/>
                <w:lang w:eastAsia="zh-CN"/>
              </w:rPr>
              <w:t>偏差率保留</w:t>
            </w:r>
            <w:r>
              <w:rPr>
                <w:rFonts w:ascii="宋体" w:hAnsi="宋体" w:eastAsia="宋体"/>
                <w:color w:val="auto"/>
                <w:sz w:val="21"/>
                <w:szCs w:val="21"/>
                <w:lang w:eastAsia="zh-CN"/>
              </w:rPr>
              <w:t>9</w:t>
            </w:r>
            <w:r>
              <w:rPr>
                <w:rFonts w:hint="eastAsia" w:ascii="宋体" w:hAnsi="宋体" w:eastAsia="宋体"/>
                <w:color w:val="auto"/>
                <w:sz w:val="21"/>
                <w:szCs w:val="21"/>
                <w:lang w:eastAsia="zh-CN"/>
              </w:rPr>
              <w:t>位小数，小数点后第</w:t>
            </w:r>
            <w:r>
              <w:rPr>
                <w:rFonts w:ascii="宋体" w:hAnsi="宋体" w:eastAsia="宋体"/>
                <w:color w:val="auto"/>
                <w:sz w:val="21"/>
                <w:szCs w:val="21"/>
                <w:lang w:eastAsia="zh-CN"/>
              </w:rPr>
              <w:t>10</w:t>
            </w:r>
            <w:r>
              <w:rPr>
                <w:rFonts w:hint="eastAsia" w:ascii="宋体" w:hAnsi="宋体" w:eastAsia="宋体"/>
                <w:color w:val="auto"/>
                <w:sz w:val="21"/>
                <w:szCs w:val="21"/>
                <w:lang w:eastAsia="zh-CN"/>
              </w:rPr>
              <w:t>位“四舍五入”，示例：</w:t>
            </w:r>
            <w:r>
              <w:rPr>
                <w:rFonts w:ascii="宋体" w:hAnsi="宋体" w:eastAsia="宋体"/>
                <w:color w:val="auto"/>
                <w:sz w:val="21"/>
                <w:szCs w:val="21"/>
                <w:lang w:eastAsia="zh-CN"/>
              </w:rPr>
              <w:t>0.123456789</w:t>
            </w:r>
            <w:r>
              <w:rPr>
                <w:rFonts w:hint="eastAsia" w:ascii="宋体" w:hAnsi="宋体" w:eastAsia="宋体"/>
                <w:color w:val="auto"/>
                <w:sz w:val="21"/>
                <w:szCs w:val="21"/>
                <w:lang w:eastAsia="zh-CN"/>
              </w:rPr>
              <w:t>。</w:t>
            </w:r>
          </w:p>
        </w:tc>
      </w:tr>
    </w:tbl>
    <w:p w14:paraId="240AA6B7">
      <w:pPr>
        <w:rPr>
          <w:color w:val="auto"/>
          <w:lang w:eastAsia="zh-CN"/>
        </w:rPr>
      </w:pPr>
    </w:p>
    <w:tbl>
      <w:tblPr>
        <w:tblStyle w:val="47"/>
        <w:tblW w:w="9864"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75"/>
        <w:gridCol w:w="657"/>
        <w:gridCol w:w="1005"/>
        <w:gridCol w:w="810"/>
        <w:gridCol w:w="4368"/>
        <w:gridCol w:w="1140"/>
        <w:gridCol w:w="1009"/>
      </w:tblGrid>
      <w:tr w14:paraId="7A546A3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1" w:hRule="atLeast"/>
          <w:tblHeader/>
          <w:jc w:val="center"/>
        </w:trPr>
        <w:tc>
          <w:tcPr>
            <w:tcW w:w="1532" w:type="dxa"/>
            <w:gridSpan w:val="2"/>
            <w:vMerge w:val="restart"/>
            <w:tcBorders>
              <w:top w:val="single" w:color="auto" w:sz="4" w:space="0"/>
              <w:right w:val="single" w:color="auto" w:sz="4" w:space="0"/>
            </w:tcBorders>
            <w:vAlign w:val="center"/>
          </w:tcPr>
          <w:p w14:paraId="47AA8782">
            <w:pPr>
              <w:spacing w:line="440" w:lineRule="exact"/>
              <w:jc w:val="center"/>
              <w:rPr>
                <w:rFonts w:hint="eastAsia" w:ascii="宋体" w:hAnsi="宋体" w:eastAsia="宋体"/>
                <w:b/>
                <w:color w:val="auto"/>
                <w:sz w:val="21"/>
                <w:szCs w:val="21"/>
              </w:rPr>
            </w:pPr>
            <w:bookmarkStart w:id="421" w:name="_Hlk45107523"/>
            <w:r>
              <w:rPr>
                <w:rFonts w:ascii="宋体" w:hAnsi="宋体" w:eastAsia="宋体"/>
                <w:b/>
                <w:color w:val="auto"/>
                <w:sz w:val="21"/>
                <w:szCs w:val="21"/>
              </w:rPr>
              <w:t>条款号</w:t>
            </w:r>
          </w:p>
        </w:tc>
        <w:tc>
          <w:tcPr>
            <w:tcW w:w="1005" w:type="dxa"/>
            <w:vMerge w:val="restart"/>
            <w:tcBorders>
              <w:top w:val="single" w:color="auto" w:sz="4" w:space="0"/>
              <w:left w:val="single" w:color="auto" w:sz="4" w:space="0"/>
              <w:right w:val="single" w:color="auto" w:sz="4" w:space="0"/>
            </w:tcBorders>
            <w:vAlign w:val="center"/>
          </w:tcPr>
          <w:p w14:paraId="741D5593">
            <w:pPr>
              <w:jc w:val="center"/>
              <w:rPr>
                <w:rFonts w:hint="eastAsia" w:ascii="宋体" w:hAnsi="宋体" w:eastAsia="宋体"/>
                <w:b/>
                <w:color w:val="auto"/>
                <w:sz w:val="21"/>
                <w:szCs w:val="21"/>
              </w:rPr>
            </w:pPr>
            <w:r>
              <w:rPr>
                <w:rFonts w:ascii="宋体" w:hAnsi="宋体" w:eastAsia="宋体"/>
                <w:b/>
                <w:color w:val="auto"/>
                <w:sz w:val="21"/>
                <w:szCs w:val="21"/>
              </w:rPr>
              <w:t>评分因素</w:t>
            </w:r>
          </w:p>
          <w:p w14:paraId="2468CFF5">
            <w:pPr>
              <w:jc w:val="center"/>
              <w:rPr>
                <w:rFonts w:hint="eastAsia" w:ascii="宋体" w:hAnsi="宋体" w:eastAsia="宋体"/>
                <w:b/>
                <w:color w:val="auto"/>
                <w:sz w:val="21"/>
                <w:szCs w:val="21"/>
              </w:rPr>
            </w:pPr>
            <w:r>
              <w:rPr>
                <w:rFonts w:hint="eastAsia" w:ascii="宋体" w:hAnsi="宋体" w:eastAsia="宋体"/>
                <w:b/>
                <w:color w:val="auto"/>
                <w:sz w:val="21"/>
                <w:szCs w:val="21"/>
              </w:rPr>
              <w:t>（偏差率）</w:t>
            </w:r>
          </w:p>
        </w:tc>
        <w:tc>
          <w:tcPr>
            <w:tcW w:w="810" w:type="dxa"/>
            <w:vMerge w:val="restart"/>
            <w:tcBorders>
              <w:top w:val="single" w:color="auto" w:sz="4" w:space="0"/>
              <w:left w:val="single" w:color="auto" w:sz="4" w:space="0"/>
              <w:right w:val="single" w:color="auto" w:sz="4" w:space="0"/>
            </w:tcBorders>
            <w:vAlign w:val="center"/>
          </w:tcPr>
          <w:p w14:paraId="63FE9EAD">
            <w:pPr>
              <w:spacing w:line="440" w:lineRule="exact"/>
              <w:jc w:val="center"/>
              <w:rPr>
                <w:rFonts w:hint="eastAsia" w:ascii="宋体" w:hAnsi="宋体" w:eastAsia="宋体"/>
                <w:b/>
                <w:color w:val="auto"/>
                <w:sz w:val="21"/>
                <w:szCs w:val="21"/>
              </w:rPr>
            </w:pPr>
            <w:r>
              <w:rPr>
                <w:rFonts w:hint="eastAsia" w:ascii="宋体" w:hAnsi="宋体" w:eastAsia="宋体"/>
                <w:b/>
                <w:color w:val="auto"/>
                <w:sz w:val="21"/>
                <w:szCs w:val="21"/>
              </w:rPr>
              <w:t>分值</w:t>
            </w:r>
          </w:p>
        </w:tc>
        <w:tc>
          <w:tcPr>
            <w:tcW w:w="4368" w:type="dxa"/>
            <w:vMerge w:val="restart"/>
            <w:tcBorders>
              <w:top w:val="single" w:color="auto" w:sz="4" w:space="0"/>
              <w:left w:val="single" w:color="auto" w:sz="4" w:space="0"/>
              <w:right w:val="single" w:color="auto" w:sz="4" w:space="0"/>
            </w:tcBorders>
            <w:vAlign w:val="center"/>
          </w:tcPr>
          <w:p w14:paraId="3A1A4749">
            <w:pPr>
              <w:spacing w:line="440" w:lineRule="exact"/>
              <w:jc w:val="center"/>
              <w:rPr>
                <w:rFonts w:hint="eastAsia" w:ascii="宋体" w:hAnsi="宋体" w:eastAsia="宋体"/>
                <w:b/>
                <w:color w:val="auto"/>
                <w:sz w:val="21"/>
                <w:szCs w:val="21"/>
              </w:rPr>
            </w:pPr>
            <w:r>
              <w:rPr>
                <w:rFonts w:ascii="宋体" w:hAnsi="宋体" w:eastAsia="宋体"/>
                <w:b/>
                <w:color w:val="auto"/>
                <w:sz w:val="21"/>
                <w:szCs w:val="21"/>
              </w:rPr>
              <w:t>评分标准</w:t>
            </w:r>
          </w:p>
        </w:tc>
        <w:tc>
          <w:tcPr>
            <w:tcW w:w="2149" w:type="dxa"/>
            <w:gridSpan w:val="2"/>
            <w:tcBorders>
              <w:top w:val="single" w:color="auto" w:sz="4" w:space="0"/>
              <w:left w:val="single" w:color="auto" w:sz="4" w:space="0"/>
              <w:right w:val="single" w:color="auto" w:sz="4" w:space="0"/>
            </w:tcBorders>
            <w:vAlign w:val="center"/>
          </w:tcPr>
          <w:p w14:paraId="1D2D9FB3">
            <w:pPr>
              <w:spacing w:line="440" w:lineRule="exact"/>
              <w:jc w:val="center"/>
              <w:rPr>
                <w:rFonts w:hint="eastAsia" w:ascii="宋体" w:hAnsi="宋体" w:eastAsia="宋体"/>
                <w:b/>
                <w:color w:val="auto"/>
                <w:sz w:val="21"/>
                <w:szCs w:val="21"/>
                <w:lang w:eastAsia="zh-CN"/>
              </w:rPr>
            </w:pPr>
            <w:r>
              <w:rPr>
                <w:rFonts w:hint="eastAsia" w:ascii="宋体" w:hAnsi="宋体" w:eastAsia="宋体"/>
                <w:b/>
                <w:color w:val="auto"/>
                <w:sz w:val="21"/>
                <w:szCs w:val="21"/>
                <w:lang w:eastAsia="zh-CN"/>
              </w:rPr>
              <w:t>分值</w:t>
            </w:r>
          </w:p>
        </w:tc>
      </w:tr>
      <w:tr w14:paraId="3993DC5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7" w:hRule="atLeast"/>
          <w:tblHeader/>
          <w:jc w:val="center"/>
        </w:trPr>
        <w:tc>
          <w:tcPr>
            <w:tcW w:w="1532" w:type="dxa"/>
            <w:gridSpan w:val="2"/>
            <w:vMerge w:val="continue"/>
            <w:tcBorders>
              <w:bottom w:val="single" w:color="auto" w:sz="4" w:space="0"/>
              <w:right w:val="single" w:color="auto" w:sz="4" w:space="0"/>
            </w:tcBorders>
            <w:vAlign w:val="center"/>
          </w:tcPr>
          <w:p w14:paraId="137CD306">
            <w:pPr>
              <w:spacing w:line="440" w:lineRule="exact"/>
              <w:jc w:val="center"/>
              <w:rPr>
                <w:color w:val="auto"/>
              </w:rPr>
            </w:pPr>
          </w:p>
        </w:tc>
        <w:tc>
          <w:tcPr>
            <w:tcW w:w="1005" w:type="dxa"/>
            <w:vMerge w:val="continue"/>
            <w:tcBorders>
              <w:left w:val="single" w:color="auto" w:sz="4" w:space="0"/>
              <w:bottom w:val="single" w:color="auto" w:sz="4" w:space="0"/>
              <w:right w:val="single" w:color="auto" w:sz="4" w:space="0"/>
            </w:tcBorders>
            <w:vAlign w:val="center"/>
          </w:tcPr>
          <w:p w14:paraId="36B84274">
            <w:pPr>
              <w:spacing w:line="440" w:lineRule="exact"/>
              <w:jc w:val="center"/>
              <w:rPr>
                <w:color w:val="auto"/>
              </w:rPr>
            </w:pPr>
          </w:p>
        </w:tc>
        <w:tc>
          <w:tcPr>
            <w:tcW w:w="810" w:type="dxa"/>
            <w:vMerge w:val="continue"/>
            <w:tcBorders>
              <w:left w:val="single" w:color="auto" w:sz="4" w:space="0"/>
              <w:bottom w:val="single" w:color="auto" w:sz="4" w:space="0"/>
              <w:right w:val="single" w:color="auto" w:sz="4" w:space="0"/>
            </w:tcBorders>
            <w:vAlign w:val="center"/>
          </w:tcPr>
          <w:p w14:paraId="55DA3B99">
            <w:pPr>
              <w:spacing w:line="440" w:lineRule="exact"/>
              <w:jc w:val="center"/>
              <w:rPr>
                <w:color w:val="auto"/>
              </w:rPr>
            </w:pPr>
          </w:p>
        </w:tc>
        <w:tc>
          <w:tcPr>
            <w:tcW w:w="4368" w:type="dxa"/>
            <w:vMerge w:val="continue"/>
            <w:tcBorders>
              <w:left w:val="single" w:color="auto" w:sz="4" w:space="0"/>
              <w:right w:val="single" w:color="auto" w:sz="4" w:space="0"/>
            </w:tcBorders>
            <w:vAlign w:val="center"/>
          </w:tcPr>
          <w:p w14:paraId="302D4628">
            <w:pPr>
              <w:spacing w:line="440" w:lineRule="exact"/>
              <w:jc w:val="center"/>
              <w:rPr>
                <w:color w:val="auto"/>
              </w:rPr>
            </w:pPr>
          </w:p>
        </w:tc>
        <w:tc>
          <w:tcPr>
            <w:tcW w:w="1140" w:type="dxa"/>
            <w:tcBorders>
              <w:top w:val="single" w:color="auto" w:sz="4" w:space="0"/>
              <w:left w:val="single" w:color="auto" w:sz="4" w:space="0"/>
              <w:right w:val="single" w:color="auto" w:sz="4" w:space="0"/>
            </w:tcBorders>
            <w:vAlign w:val="center"/>
          </w:tcPr>
          <w:p w14:paraId="53E943BF">
            <w:pPr>
              <w:spacing w:line="440" w:lineRule="exact"/>
              <w:jc w:val="center"/>
              <w:rPr>
                <w:rFonts w:hint="eastAsia" w:ascii="宋体" w:hAnsi="宋体" w:eastAsia="宋体"/>
                <w:b/>
                <w:color w:val="auto"/>
                <w:sz w:val="21"/>
                <w:szCs w:val="21"/>
                <w:lang w:eastAsia="zh-CN"/>
              </w:rPr>
            </w:pPr>
            <w:r>
              <w:rPr>
                <w:rFonts w:hint="eastAsia" w:ascii="宋体" w:hAnsi="宋体" w:eastAsia="宋体"/>
                <w:b/>
                <w:color w:val="auto"/>
                <w:sz w:val="21"/>
                <w:szCs w:val="21"/>
                <w:lang w:eastAsia="zh-CN"/>
              </w:rPr>
              <w:t>符合</w:t>
            </w:r>
          </w:p>
          <w:p w14:paraId="36D8E0B6">
            <w:pPr>
              <w:spacing w:line="440" w:lineRule="exact"/>
              <w:jc w:val="center"/>
              <w:rPr>
                <w:rFonts w:hint="eastAsia" w:ascii="宋体" w:hAnsi="宋体" w:eastAsia="宋体"/>
                <w:b/>
                <w:color w:val="auto"/>
                <w:sz w:val="21"/>
                <w:szCs w:val="21"/>
                <w:lang w:eastAsia="zh-CN"/>
              </w:rPr>
            </w:pPr>
            <w:r>
              <w:rPr>
                <w:rFonts w:hint="eastAsia" w:ascii="宋体" w:hAnsi="宋体" w:eastAsia="宋体"/>
                <w:b/>
                <w:color w:val="auto"/>
                <w:sz w:val="21"/>
                <w:szCs w:val="21"/>
                <w:lang w:eastAsia="zh-CN"/>
              </w:rPr>
              <w:t>（可计分）</w:t>
            </w:r>
          </w:p>
        </w:tc>
        <w:tc>
          <w:tcPr>
            <w:tcW w:w="1009" w:type="dxa"/>
            <w:tcBorders>
              <w:left w:val="single" w:color="auto" w:sz="4" w:space="0"/>
              <w:right w:val="single" w:color="auto" w:sz="4" w:space="0"/>
            </w:tcBorders>
            <w:vAlign w:val="center"/>
          </w:tcPr>
          <w:p w14:paraId="3931764B">
            <w:pPr>
              <w:spacing w:line="440" w:lineRule="exact"/>
              <w:jc w:val="center"/>
              <w:rPr>
                <w:rFonts w:hint="eastAsia" w:ascii="宋体" w:hAnsi="宋体" w:eastAsia="宋体"/>
                <w:b/>
                <w:color w:val="auto"/>
                <w:sz w:val="21"/>
                <w:szCs w:val="21"/>
                <w:lang w:eastAsia="zh-CN"/>
              </w:rPr>
            </w:pPr>
            <w:r>
              <w:rPr>
                <w:rFonts w:hint="eastAsia" w:ascii="宋体" w:hAnsi="宋体" w:eastAsia="宋体"/>
                <w:b/>
                <w:color w:val="auto"/>
                <w:sz w:val="21"/>
                <w:szCs w:val="21"/>
                <w:lang w:eastAsia="zh-CN"/>
              </w:rPr>
              <w:t>不符合（不计分）</w:t>
            </w:r>
          </w:p>
        </w:tc>
      </w:tr>
      <w:tr w14:paraId="10EED9A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4" w:hRule="atLeast"/>
          <w:jc w:val="center"/>
        </w:trPr>
        <w:tc>
          <w:tcPr>
            <w:tcW w:w="875" w:type="dxa"/>
            <w:vMerge w:val="restart"/>
            <w:tcBorders>
              <w:top w:val="single" w:color="auto" w:sz="4" w:space="0"/>
              <w:right w:val="single" w:color="auto" w:sz="4" w:space="0"/>
            </w:tcBorders>
            <w:vAlign w:val="center"/>
          </w:tcPr>
          <w:p w14:paraId="78798957">
            <w:pPr>
              <w:spacing w:line="440" w:lineRule="exact"/>
              <w:jc w:val="center"/>
              <w:rPr>
                <w:rFonts w:hint="eastAsia" w:ascii="宋体" w:hAnsi="宋体" w:eastAsia="宋体"/>
                <w:color w:val="auto"/>
                <w:sz w:val="21"/>
                <w:szCs w:val="21"/>
                <w:lang w:eastAsia="zh-CN"/>
              </w:rPr>
            </w:pPr>
            <w:r>
              <w:rPr>
                <w:rFonts w:ascii="宋体" w:hAnsi="宋体" w:eastAsia="宋体"/>
                <w:color w:val="auto"/>
                <w:sz w:val="21"/>
                <w:szCs w:val="21"/>
              </w:rPr>
              <w:t>2.2.4</w:t>
            </w:r>
          </w:p>
        </w:tc>
        <w:tc>
          <w:tcPr>
            <w:tcW w:w="657" w:type="dxa"/>
            <w:vMerge w:val="restart"/>
            <w:tcBorders>
              <w:top w:val="single" w:color="auto" w:sz="4" w:space="0"/>
              <w:right w:val="single" w:color="auto" w:sz="4" w:space="0"/>
            </w:tcBorders>
            <w:vAlign w:val="center"/>
          </w:tcPr>
          <w:p w14:paraId="6996B93A">
            <w:pPr>
              <w:jc w:val="center"/>
              <w:rPr>
                <w:rFonts w:hint="eastAsia" w:ascii="宋体" w:hAnsi="宋体" w:eastAsia="宋体"/>
                <w:color w:val="auto"/>
                <w:sz w:val="21"/>
                <w:szCs w:val="21"/>
                <w:lang w:eastAsia="zh-CN"/>
              </w:rPr>
            </w:pPr>
            <w:r>
              <w:rPr>
                <w:rFonts w:hint="eastAsia" w:ascii="宋体" w:hAnsi="宋体" w:eastAsia="宋体"/>
                <w:color w:val="auto"/>
                <w:sz w:val="21"/>
                <w:szCs w:val="21"/>
                <w:lang w:eastAsia="zh-CN"/>
              </w:rPr>
              <w:t>技术分</w:t>
            </w:r>
          </w:p>
          <w:p w14:paraId="564CD231">
            <w:pPr>
              <w:jc w:val="center"/>
              <w:rPr>
                <w:rFonts w:hint="eastAsia" w:ascii="宋体" w:hAnsi="宋体" w:eastAsia="宋体"/>
                <w:color w:val="auto"/>
                <w:sz w:val="21"/>
                <w:szCs w:val="21"/>
                <w:lang w:eastAsia="zh-CN"/>
              </w:rPr>
            </w:pPr>
            <w:r>
              <w:rPr>
                <w:rFonts w:hint="eastAsia" w:ascii="宋体" w:hAnsi="宋体" w:eastAsia="宋体"/>
                <w:color w:val="auto"/>
                <w:sz w:val="21"/>
                <w:szCs w:val="21"/>
                <w:lang w:eastAsia="zh-CN"/>
              </w:rPr>
              <w:t>（45分）</w:t>
            </w:r>
          </w:p>
        </w:tc>
        <w:tc>
          <w:tcPr>
            <w:tcW w:w="1005" w:type="dxa"/>
            <w:tcBorders>
              <w:top w:val="single" w:color="auto" w:sz="4" w:space="0"/>
              <w:left w:val="single" w:color="auto" w:sz="4" w:space="0"/>
              <w:right w:val="single" w:color="auto" w:sz="4" w:space="0"/>
            </w:tcBorders>
            <w:vAlign w:val="center"/>
          </w:tcPr>
          <w:p w14:paraId="5C287FC2">
            <w:pPr>
              <w:jc w:val="center"/>
              <w:rPr>
                <w:rFonts w:hint="eastAsia" w:ascii="宋体" w:hAnsi="宋体" w:eastAsia="宋体"/>
                <w:color w:val="auto"/>
                <w:sz w:val="21"/>
                <w:szCs w:val="21"/>
                <w:lang w:eastAsia="zh-CN"/>
              </w:rPr>
            </w:pPr>
            <w:r>
              <w:rPr>
                <w:rFonts w:hint="eastAsia" w:ascii="宋体" w:hAnsi="宋体" w:eastAsia="宋体"/>
                <w:color w:val="auto"/>
                <w:sz w:val="21"/>
                <w:szCs w:val="21"/>
                <w:lang w:eastAsia="zh-CN"/>
              </w:rPr>
              <w:t>监理大</w:t>
            </w:r>
            <w:r>
              <w:rPr>
                <w:rFonts w:ascii="宋体" w:hAnsi="宋体" w:eastAsia="宋体"/>
                <w:color w:val="auto"/>
                <w:sz w:val="21"/>
                <w:szCs w:val="21"/>
                <w:lang w:eastAsia="zh-CN"/>
              </w:rPr>
              <w:t>纲</w:t>
            </w:r>
          </w:p>
        </w:tc>
        <w:tc>
          <w:tcPr>
            <w:tcW w:w="810" w:type="dxa"/>
            <w:tcBorders>
              <w:top w:val="single" w:color="auto" w:sz="4" w:space="0"/>
              <w:left w:val="single" w:color="auto" w:sz="4" w:space="0"/>
              <w:right w:val="single" w:color="auto" w:sz="4" w:space="0"/>
            </w:tcBorders>
            <w:vAlign w:val="center"/>
          </w:tcPr>
          <w:p w14:paraId="18BA2D24">
            <w:pPr>
              <w:jc w:val="center"/>
              <w:rPr>
                <w:rFonts w:hint="eastAsia" w:ascii="宋体" w:hAnsi="宋体" w:eastAsia="宋体"/>
                <w:color w:val="auto"/>
                <w:sz w:val="21"/>
                <w:szCs w:val="21"/>
                <w:lang w:eastAsia="zh-CN"/>
              </w:rPr>
            </w:pPr>
            <w:r>
              <w:rPr>
                <w:rFonts w:hint="eastAsia" w:ascii="宋体" w:hAnsi="宋体" w:eastAsia="宋体"/>
                <w:color w:val="auto"/>
                <w:sz w:val="21"/>
                <w:szCs w:val="21"/>
                <w:lang w:eastAsia="zh-CN"/>
              </w:rPr>
              <w:t>40分</w:t>
            </w:r>
          </w:p>
        </w:tc>
        <w:tc>
          <w:tcPr>
            <w:tcW w:w="4368" w:type="dxa"/>
            <w:tcBorders>
              <w:top w:val="single" w:color="auto" w:sz="4" w:space="0"/>
              <w:left w:val="single" w:color="auto" w:sz="4" w:space="0"/>
              <w:right w:val="single" w:color="auto" w:sz="4" w:space="0"/>
            </w:tcBorders>
            <w:vAlign w:val="center"/>
          </w:tcPr>
          <w:p w14:paraId="396274A0">
            <w:pPr>
              <w:rPr>
                <w:rFonts w:hint="eastAsia" w:ascii="宋体" w:hAnsi="宋体" w:eastAsia="宋体"/>
                <w:color w:val="auto"/>
                <w:sz w:val="21"/>
                <w:szCs w:val="21"/>
                <w:lang w:eastAsia="zh-CN"/>
              </w:rPr>
            </w:pPr>
            <w:r>
              <w:rPr>
                <w:rFonts w:hint="eastAsia" w:ascii="宋体" w:hAnsi="宋体" w:eastAsia="宋体"/>
                <w:color w:val="auto"/>
                <w:sz w:val="21"/>
                <w:szCs w:val="21"/>
                <w:lang w:eastAsia="zh-CN"/>
              </w:rPr>
              <w:t>①项目监理组织结构设置合理、职责明确、功能健全；</w:t>
            </w:r>
          </w:p>
          <w:p w14:paraId="112100F5">
            <w:pPr>
              <w:rPr>
                <w:rFonts w:hint="eastAsia" w:ascii="宋体" w:hAnsi="宋体" w:eastAsia="宋体"/>
                <w:color w:val="auto"/>
                <w:sz w:val="21"/>
                <w:szCs w:val="21"/>
                <w:lang w:eastAsia="zh-CN"/>
              </w:rPr>
            </w:pPr>
            <w:r>
              <w:rPr>
                <w:rFonts w:hint="eastAsia" w:ascii="宋体" w:hAnsi="宋体" w:eastAsia="宋体"/>
                <w:color w:val="auto"/>
                <w:sz w:val="21"/>
                <w:szCs w:val="21"/>
                <w:lang w:eastAsia="zh-CN"/>
              </w:rPr>
              <w:t>②质量控制目标明确，控制方法合理，控制措施具体可行，针对性和操作性强；</w:t>
            </w:r>
          </w:p>
          <w:p w14:paraId="3A2E80E2">
            <w:pPr>
              <w:rPr>
                <w:rFonts w:hint="eastAsia" w:ascii="宋体" w:hAnsi="宋体" w:eastAsia="宋体"/>
                <w:color w:val="auto"/>
                <w:sz w:val="21"/>
                <w:szCs w:val="21"/>
                <w:lang w:eastAsia="zh-CN"/>
              </w:rPr>
            </w:pPr>
            <w:r>
              <w:rPr>
                <w:rFonts w:hint="eastAsia" w:ascii="宋体" w:hAnsi="宋体" w:eastAsia="宋体"/>
                <w:color w:val="auto"/>
                <w:sz w:val="21"/>
                <w:szCs w:val="21"/>
                <w:lang w:eastAsia="zh-CN"/>
              </w:rPr>
              <w:t>③进度控制目标明确，控制方法合理，控制措施具体可行，针对性和操作性强；</w:t>
            </w:r>
          </w:p>
          <w:p w14:paraId="25133BB0">
            <w:pPr>
              <w:rPr>
                <w:rFonts w:hint="eastAsia" w:ascii="宋体" w:hAnsi="宋体" w:eastAsia="宋体"/>
                <w:color w:val="auto"/>
                <w:sz w:val="21"/>
                <w:szCs w:val="21"/>
                <w:lang w:eastAsia="zh-CN"/>
              </w:rPr>
            </w:pPr>
            <w:r>
              <w:rPr>
                <w:rFonts w:hint="eastAsia" w:ascii="宋体" w:hAnsi="宋体" w:eastAsia="宋体"/>
                <w:color w:val="auto"/>
                <w:sz w:val="21"/>
                <w:szCs w:val="21"/>
                <w:lang w:eastAsia="zh-CN"/>
              </w:rPr>
              <w:t>④投资控制目标明确，控制方法合理，控制措施具体可行，针对性和操作性强；</w:t>
            </w:r>
          </w:p>
          <w:p w14:paraId="6DE5A3C1">
            <w:pPr>
              <w:rPr>
                <w:rFonts w:hint="eastAsia" w:ascii="宋体" w:hAnsi="宋体" w:eastAsia="宋体"/>
                <w:color w:val="auto"/>
                <w:sz w:val="21"/>
                <w:szCs w:val="21"/>
                <w:lang w:eastAsia="zh-CN"/>
              </w:rPr>
            </w:pPr>
            <w:r>
              <w:rPr>
                <w:rFonts w:hint="eastAsia" w:ascii="宋体" w:hAnsi="宋体" w:eastAsia="宋体"/>
                <w:color w:val="auto"/>
                <w:sz w:val="21"/>
                <w:szCs w:val="21"/>
                <w:lang w:eastAsia="zh-CN"/>
              </w:rPr>
              <w:t>⑤对安全生产、文明施工目标的管理措施可行、针对性和操作性强；</w:t>
            </w:r>
          </w:p>
          <w:p w14:paraId="1DC814A2">
            <w:pPr>
              <w:rPr>
                <w:rFonts w:hint="eastAsia" w:ascii="宋体" w:hAnsi="宋体" w:eastAsia="宋体"/>
                <w:color w:val="auto"/>
                <w:sz w:val="21"/>
                <w:szCs w:val="21"/>
                <w:lang w:eastAsia="zh-CN"/>
              </w:rPr>
            </w:pPr>
            <w:r>
              <w:rPr>
                <w:rFonts w:hint="eastAsia" w:ascii="宋体" w:hAnsi="宋体" w:eastAsia="宋体"/>
                <w:color w:val="auto"/>
                <w:sz w:val="21"/>
                <w:szCs w:val="21"/>
                <w:lang w:eastAsia="zh-CN"/>
              </w:rPr>
              <w:t>⑥对施工合同的管理目标明确、方法合理、措施可行；</w:t>
            </w:r>
          </w:p>
          <w:p w14:paraId="1FCC4586">
            <w:pPr>
              <w:rPr>
                <w:rFonts w:hint="eastAsia" w:ascii="宋体" w:hAnsi="宋体" w:eastAsia="宋体"/>
                <w:color w:val="auto"/>
                <w:sz w:val="21"/>
                <w:szCs w:val="21"/>
                <w:lang w:eastAsia="zh-CN"/>
              </w:rPr>
            </w:pPr>
            <w:r>
              <w:rPr>
                <w:rFonts w:hint="eastAsia" w:ascii="宋体" w:hAnsi="宋体" w:eastAsia="宋体"/>
                <w:color w:val="auto"/>
                <w:sz w:val="21"/>
                <w:szCs w:val="21"/>
                <w:lang w:eastAsia="zh-CN"/>
              </w:rPr>
              <w:fldChar w:fldCharType="begin"/>
            </w:r>
            <w:r>
              <w:rPr>
                <w:rFonts w:hint="eastAsia" w:ascii="宋体" w:hAnsi="宋体" w:eastAsia="宋体"/>
                <w:color w:val="auto"/>
                <w:sz w:val="21"/>
                <w:szCs w:val="21"/>
                <w:lang w:eastAsia="zh-CN"/>
              </w:rPr>
              <w:fldChar w:fldCharType="separate"/>
            </w:r>
            <w:r>
              <w:rPr>
                <w:color w:val="auto"/>
                <w:lang w:eastAsia="zh-CN"/>
              </w:rPr>
              <w:t>⑦</w:t>
            </w:r>
            <w:r>
              <w:rPr>
                <w:rFonts w:hint="eastAsia" w:ascii="宋体" w:hAnsi="宋体" w:eastAsia="宋体"/>
                <w:color w:val="auto"/>
                <w:sz w:val="21"/>
                <w:szCs w:val="21"/>
                <w:lang w:eastAsia="zh-CN"/>
              </w:rPr>
              <w:fldChar w:fldCharType="end"/>
            </w:r>
            <w:r>
              <w:rPr>
                <w:rFonts w:hint="eastAsia" w:ascii="宋体" w:hAnsi="宋体" w:eastAsia="宋体"/>
                <w:color w:val="auto"/>
                <w:sz w:val="21"/>
                <w:szCs w:val="21"/>
                <w:lang w:eastAsia="zh-CN"/>
              </w:rPr>
              <w:t>难点、重点监理措施合理可行；</w:t>
            </w:r>
          </w:p>
          <w:p w14:paraId="7A93E1C5">
            <w:pPr>
              <w:rPr>
                <w:rFonts w:hint="eastAsia" w:ascii="宋体" w:hAnsi="宋体" w:eastAsia="宋体"/>
                <w:color w:val="auto"/>
                <w:sz w:val="21"/>
                <w:szCs w:val="21"/>
                <w:lang w:eastAsia="zh-CN"/>
              </w:rPr>
            </w:pPr>
            <w:r>
              <w:rPr>
                <w:rFonts w:hint="eastAsia" w:ascii="宋体" w:hAnsi="宋体" w:eastAsia="宋体"/>
                <w:color w:val="auto"/>
                <w:sz w:val="21"/>
                <w:szCs w:val="21"/>
                <w:lang w:eastAsia="zh-CN"/>
              </w:rPr>
              <w:fldChar w:fldCharType="begin"/>
            </w:r>
            <w:r>
              <w:rPr>
                <w:rFonts w:hint="eastAsia" w:ascii="宋体" w:hAnsi="宋体" w:eastAsia="宋体"/>
                <w:color w:val="auto"/>
                <w:sz w:val="21"/>
                <w:szCs w:val="21"/>
                <w:lang w:eastAsia="zh-CN"/>
              </w:rPr>
              <w:fldChar w:fldCharType="separate"/>
            </w:r>
            <w:r>
              <w:rPr>
                <w:color w:val="auto"/>
                <w:lang w:eastAsia="zh-CN"/>
              </w:rPr>
              <w:t>⑧</w:t>
            </w:r>
            <w:r>
              <w:rPr>
                <w:rFonts w:hint="eastAsia" w:ascii="宋体" w:hAnsi="宋体" w:eastAsia="宋体"/>
                <w:color w:val="auto"/>
                <w:sz w:val="21"/>
                <w:szCs w:val="21"/>
                <w:lang w:eastAsia="zh-CN"/>
              </w:rPr>
              <w:fldChar w:fldCharType="end"/>
            </w:r>
            <w:r>
              <w:rPr>
                <w:rFonts w:hint="eastAsia" w:ascii="宋体" w:hAnsi="宋体" w:eastAsia="宋体"/>
                <w:color w:val="auto"/>
                <w:sz w:val="21"/>
                <w:szCs w:val="21"/>
                <w:lang w:eastAsia="zh-CN"/>
              </w:rPr>
              <w:t>合理化建议有科学性和可操作性，具有采用价值；</w:t>
            </w:r>
          </w:p>
          <w:p w14:paraId="16493655">
            <w:pPr>
              <w:rPr>
                <w:rFonts w:hint="eastAsia" w:ascii="宋体" w:hAnsi="宋体" w:eastAsia="宋体"/>
                <w:color w:val="auto"/>
                <w:sz w:val="21"/>
                <w:szCs w:val="21"/>
                <w:lang w:eastAsia="zh-CN"/>
              </w:rPr>
            </w:pPr>
          </w:p>
        </w:tc>
        <w:tc>
          <w:tcPr>
            <w:tcW w:w="1140" w:type="dxa"/>
            <w:tcBorders>
              <w:top w:val="single" w:color="auto" w:sz="4" w:space="0"/>
              <w:left w:val="single" w:color="auto" w:sz="4" w:space="0"/>
              <w:right w:val="single" w:color="auto" w:sz="4" w:space="0"/>
            </w:tcBorders>
            <w:vAlign w:val="center"/>
          </w:tcPr>
          <w:p w14:paraId="11B626C9">
            <w:pPr>
              <w:rPr>
                <w:rFonts w:hint="eastAsia" w:ascii="宋体" w:hAnsi="宋体" w:eastAsia="宋体"/>
                <w:color w:val="auto"/>
                <w:sz w:val="21"/>
                <w:szCs w:val="21"/>
                <w:lang w:eastAsia="zh-CN"/>
              </w:rPr>
            </w:pPr>
            <w:r>
              <w:rPr>
                <w:rFonts w:hint="eastAsia" w:ascii="宋体" w:hAnsi="宋体" w:eastAsia="宋体"/>
                <w:color w:val="auto"/>
                <w:sz w:val="21"/>
                <w:szCs w:val="21"/>
                <w:lang w:eastAsia="zh-CN"/>
              </w:rPr>
              <w:t>　　40</w:t>
            </w:r>
          </w:p>
        </w:tc>
        <w:tc>
          <w:tcPr>
            <w:tcW w:w="1009" w:type="dxa"/>
            <w:tcBorders>
              <w:top w:val="single" w:color="auto" w:sz="4" w:space="0"/>
              <w:left w:val="single" w:color="auto" w:sz="4" w:space="0"/>
              <w:right w:val="single" w:color="auto" w:sz="4" w:space="0"/>
            </w:tcBorders>
            <w:vAlign w:val="center"/>
          </w:tcPr>
          <w:p w14:paraId="13FAA093">
            <w:pPr>
              <w:rPr>
                <w:rFonts w:hint="eastAsia" w:ascii="宋体" w:hAnsi="宋体" w:eastAsia="宋体"/>
                <w:color w:val="auto"/>
                <w:sz w:val="21"/>
                <w:szCs w:val="21"/>
                <w:lang w:eastAsia="zh-CN"/>
              </w:rPr>
            </w:pPr>
            <w:r>
              <w:rPr>
                <w:rFonts w:hint="eastAsia" w:ascii="宋体" w:hAnsi="宋体" w:eastAsia="宋体"/>
                <w:color w:val="auto"/>
                <w:sz w:val="21"/>
                <w:szCs w:val="21"/>
                <w:lang w:eastAsia="zh-CN"/>
              </w:rPr>
              <w:t>　0</w:t>
            </w:r>
          </w:p>
        </w:tc>
      </w:tr>
      <w:tr w14:paraId="6E5AE72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875" w:type="dxa"/>
            <w:vMerge w:val="continue"/>
            <w:tcBorders>
              <w:right w:val="single" w:color="auto" w:sz="4" w:space="0"/>
            </w:tcBorders>
            <w:vAlign w:val="center"/>
          </w:tcPr>
          <w:p w14:paraId="3621BD7B">
            <w:pPr>
              <w:spacing w:line="440" w:lineRule="exact"/>
              <w:jc w:val="center"/>
              <w:rPr>
                <w:rFonts w:hint="eastAsia" w:ascii="宋体" w:hAnsi="宋体" w:eastAsia="宋体"/>
                <w:color w:val="auto"/>
                <w:sz w:val="21"/>
                <w:szCs w:val="21"/>
              </w:rPr>
            </w:pPr>
          </w:p>
        </w:tc>
        <w:tc>
          <w:tcPr>
            <w:tcW w:w="657" w:type="dxa"/>
            <w:vMerge w:val="continue"/>
            <w:tcBorders>
              <w:right w:val="single" w:color="auto" w:sz="4" w:space="0"/>
            </w:tcBorders>
            <w:vAlign w:val="center"/>
          </w:tcPr>
          <w:p w14:paraId="476EE649">
            <w:pPr>
              <w:jc w:val="center"/>
              <w:rPr>
                <w:rFonts w:hint="eastAsia" w:ascii="宋体" w:hAnsi="宋体" w:eastAsia="宋体"/>
                <w:color w:val="auto"/>
                <w:sz w:val="21"/>
                <w:szCs w:val="21"/>
                <w:lang w:eastAsia="zh-CN"/>
              </w:rPr>
            </w:pPr>
          </w:p>
        </w:tc>
        <w:tc>
          <w:tcPr>
            <w:tcW w:w="1005" w:type="dxa"/>
            <w:tcBorders>
              <w:top w:val="single" w:color="auto" w:sz="4" w:space="0"/>
              <w:left w:val="single" w:color="auto" w:sz="4" w:space="0"/>
              <w:right w:val="single" w:color="auto" w:sz="4" w:space="0"/>
            </w:tcBorders>
            <w:vAlign w:val="center"/>
          </w:tcPr>
          <w:p w14:paraId="048546C1">
            <w:pPr>
              <w:widowControl/>
              <w:jc w:val="center"/>
              <w:rPr>
                <w:rFonts w:hint="eastAsia" w:ascii="宋体" w:hAnsi="宋体" w:eastAsia="宋体"/>
                <w:color w:val="auto"/>
                <w:sz w:val="21"/>
                <w:szCs w:val="21"/>
                <w:lang w:eastAsia="zh-CN"/>
              </w:rPr>
            </w:pPr>
            <w:r>
              <w:rPr>
                <w:rFonts w:hint="eastAsia" w:ascii="宋体" w:hAnsi="宋体" w:eastAsia="宋体"/>
                <w:color w:val="auto"/>
                <w:sz w:val="21"/>
                <w:szCs w:val="21"/>
                <w:lang w:eastAsia="zh-CN"/>
              </w:rPr>
              <w:t>检测设备及检测手段</w:t>
            </w:r>
          </w:p>
        </w:tc>
        <w:tc>
          <w:tcPr>
            <w:tcW w:w="810" w:type="dxa"/>
            <w:tcBorders>
              <w:top w:val="single" w:color="auto" w:sz="4" w:space="0"/>
              <w:left w:val="single" w:color="auto" w:sz="4" w:space="0"/>
              <w:right w:val="single" w:color="auto" w:sz="4" w:space="0"/>
            </w:tcBorders>
            <w:vAlign w:val="center"/>
          </w:tcPr>
          <w:p w14:paraId="07F8117D">
            <w:pPr>
              <w:jc w:val="center"/>
              <w:rPr>
                <w:rFonts w:hint="eastAsia" w:ascii="宋体" w:hAnsi="宋体" w:eastAsia="宋体"/>
                <w:color w:val="auto"/>
                <w:sz w:val="21"/>
                <w:szCs w:val="21"/>
                <w:u w:val="single"/>
              </w:rPr>
            </w:pPr>
            <w:r>
              <w:rPr>
                <w:rFonts w:hint="eastAsia" w:ascii="宋体" w:hAnsi="宋体" w:eastAsia="宋体"/>
                <w:color w:val="auto"/>
                <w:sz w:val="21"/>
                <w:szCs w:val="21"/>
                <w:u w:val="single"/>
                <w:lang w:eastAsia="zh-CN"/>
              </w:rPr>
              <w:t>5</w:t>
            </w:r>
            <w:r>
              <w:rPr>
                <w:rFonts w:hint="eastAsia" w:ascii="宋体" w:hAnsi="宋体" w:eastAsia="宋体"/>
                <w:color w:val="auto"/>
                <w:sz w:val="21"/>
                <w:szCs w:val="21"/>
              </w:rPr>
              <w:t>分</w:t>
            </w:r>
          </w:p>
        </w:tc>
        <w:tc>
          <w:tcPr>
            <w:tcW w:w="4368" w:type="dxa"/>
            <w:tcBorders>
              <w:top w:val="single" w:color="auto" w:sz="4" w:space="0"/>
              <w:left w:val="single" w:color="auto" w:sz="4" w:space="0"/>
              <w:right w:val="single" w:color="auto" w:sz="4" w:space="0"/>
            </w:tcBorders>
          </w:tcPr>
          <w:p w14:paraId="52C3A4CD">
            <w:pPr>
              <w:rPr>
                <w:rFonts w:hint="eastAsia" w:ascii="宋体" w:hAnsi="宋体" w:eastAsia="宋体"/>
                <w:color w:val="auto"/>
                <w:sz w:val="21"/>
                <w:szCs w:val="21"/>
                <w:lang w:eastAsia="zh-CN"/>
              </w:rPr>
            </w:pPr>
            <w:r>
              <w:rPr>
                <w:rFonts w:hint="eastAsia" w:ascii="宋体" w:hAnsi="宋体" w:eastAsia="宋体"/>
                <w:color w:val="auto"/>
                <w:sz w:val="21"/>
                <w:szCs w:val="21"/>
                <w:lang w:eastAsia="zh-CN"/>
              </w:rPr>
              <w:t>满足本项目的检测设备及检测手段</w:t>
            </w:r>
          </w:p>
        </w:tc>
        <w:tc>
          <w:tcPr>
            <w:tcW w:w="1140" w:type="dxa"/>
            <w:tcBorders>
              <w:top w:val="single" w:color="auto" w:sz="4" w:space="0"/>
              <w:left w:val="single" w:color="auto" w:sz="4" w:space="0"/>
              <w:bottom w:val="single" w:color="auto" w:sz="4" w:space="0"/>
              <w:right w:val="single" w:color="auto" w:sz="4" w:space="0"/>
            </w:tcBorders>
          </w:tcPr>
          <w:p w14:paraId="369635BF">
            <w:pPr>
              <w:rPr>
                <w:rFonts w:hint="eastAsia" w:ascii="宋体" w:hAnsi="宋体" w:eastAsia="宋体"/>
                <w:color w:val="auto"/>
                <w:sz w:val="21"/>
                <w:szCs w:val="21"/>
                <w:lang w:eastAsia="zh-CN"/>
              </w:rPr>
            </w:pPr>
            <w:r>
              <w:rPr>
                <w:rFonts w:hint="eastAsia" w:ascii="宋体" w:hAnsi="宋体" w:eastAsia="宋体"/>
                <w:color w:val="auto"/>
                <w:sz w:val="21"/>
                <w:szCs w:val="21"/>
                <w:lang w:eastAsia="zh-CN"/>
              </w:rPr>
              <w:t>　　5</w:t>
            </w:r>
          </w:p>
        </w:tc>
        <w:tc>
          <w:tcPr>
            <w:tcW w:w="1009" w:type="dxa"/>
            <w:tcBorders>
              <w:top w:val="single" w:color="auto" w:sz="4" w:space="0"/>
              <w:left w:val="single" w:color="auto" w:sz="4" w:space="0"/>
              <w:right w:val="single" w:color="auto" w:sz="4" w:space="0"/>
            </w:tcBorders>
          </w:tcPr>
          <w:p w14:paraId="3B98C218">
            <w:pPr>
              <w:rPr>
                <w:rFonts w:hint="eastAsia" w:ascii="宋体" w:hAnsi="宋体" w:eastAsia="宋体"/>
                <w:color w:val="auto"/>
                <w:sz w:val="21"/>
                <w:szCs w:val="21"/>
                <w:lang w:eastAsia="zh-CN"/>
              </w:rPr>
            </w:pPr>
            <w:r>
              <w:rPr>
                <w:rFonts w:hint="eastAsia" w:ascii="宋体" w:hAnsi="宋体" w:eastAsia="宋体"/>
                <w:color w:val="auto"/>
                <w:sz w:val="21"/>
                <w:szCs w:val="21"/>
                <w:lang w:eastAsia="zh-CN"/>
              </w:rPr>
              <w:t>　　0</w:t>
            </w:r>
          </w:p>
        </w:tc>
      </w:tr>
    </w:tbl>
    <w:tbl>
      <w:tblPr>
        <w:tblStyle w:val="47"/>
        <w:tblpPr w:leftFromText="180" w:rightFromText="180" w:vertAnchor="text" w:horzAnchor="page" w:tblpX="1432" w:tblpY="342"/>
        <w:tblOverlap w:val="never"/>
        <w:tblW w:w="9215"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22"/>
        <w:gridCol w:w="1134"/>
        <w:gridCol w:w="1672"/>
        <w:gridCol w:w="1134"/>
        <w:gridCol w:w="4253"/>
      </w:tblGrid>
      <w:tr w14:paraId="1C9EF5D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6" w:hRule="atLeast"/>
          <w:tblHeader/>
        </w:trPr>
        <w:tc>
          <w:tcPr>
            <w:tcW w:w="2156" w:type="dxa"/>
            <w:gridSpan w:val="2"/>
            <w:tcBorders>
              <w:top w:val="single" w:color="auto" w:sz="4" w:space="0"/>
              <w:bottom w:val="single" w:color="auto" w:sz="4" w:space="0"/>
              <w:right w:val="single" w:color="auto" w:sz="4" w:space="0"/>
            </w:tcBorders>
            <w:vAlign w:val="center"/>
          </w:tcPr>
          <w:p w14:paraId="306304EF">
            <w:pPr>
              <w:spacing w:line="440" w:lineRule="exact"/>
              <w:jc w:val="center"/>
              <w:rPr>
                <w:rFonts w:hint="eastAsia" w:ascii="宋体" w:hAnsi="宋体" w:eastAsia="宋体"/>
                <w:b/>
                <w:color w:val="auto"/>
                <w:sz w:val="21"/>
                <w:szCs w:val="21"/>
              </w:rPr>
            </w:pPr>
            <w:r>
              <w:rPr>
                <w:rFonts w:ascii="宋体" w:hAnsi="宋体" w:eastAsia="宋体"/>
                <w:b/>
                <w:color w:val="auto"/>
                <w:sz w:val="21"/>
                <w:szCs w:val="21"/>
              </w:rPr>
              <w:t>条款号</w:t>
            </w:r>
          </w:p>
        </w:tc>
        <w:tc>
          <w:tcPr>
            <w:tcW w:w="1672" w:type="dxa"/>
            <w:tcBorders>
              <w:top w:val="single" w:color="auto" w:sz="4" w:space="0"/>
              <w:left w:val="single" w:color="auto" w:sz="4" w:space="0"/>
              <w:bottom w:val="single" w:color="auto" w:sz="4" w:space="0"/>
              <w:right w:val="single" w:color="auto" w:sz="4" w:space="0"/>
            </w:tcBorders>
            <w:vAlign w:val="center"/>
          </w:tcPr>
          <w:p w14:paraId="61C1142C">
            <w:pPr>
              <w:jc w:val="center"/>
              <w:rPr>
                <w:rFonts w:hint="eastAsia" w:ascii="宋体" w:hAnsi="宋体" w:eastAsia="宋体"/>
                <w:b/>
                <w:color w:val="auto"/>
                <w:sz w:val="21"/>
                <w:szCs w:val="21"/>
              </w:rPr>
            </w:pPr>
            <w:r>
              <w:rPr>
                <w:rFonts w:ascii="宋体" w:hAnsi="宋体" w:eastAsia="宋体"/>
                <w:b/>
                <w:color w:val="auto"/>
                <w:sz w:val="21"/>
                <w:szCs w:val="21"/>
              </w:rPr>
              <w:t>评分因素</w:t>
            </w:r>
          </w:p>
          <w:p w14:paraId="472FC389">
            <w:pPr>
              <w:jc w:val="center"/>
              <w:rPr>
                <w:rFonts w:hint="eastAsia" w:ascii="宋体" w:hAnsi="宋体" w:eastAsia="宋体"/>
                <w:b/>
                <w:color w:val="auto"/>
                <w:sz w:val="21"/>
                <w:szCs w:val="21"/>
              </w:rPr>
            </w:pPr>
            <w:r>
              <w:rPr>
                <w:rFonts w:hint="eastAsia" w:ascii="宋体" w:hAnsi="宋体" w:eastAsia="宋体"/>
                <w:b/>
                <w:color w:val="auto"/>
                <w:sz w:val="21"/>
                <w:szCs w:val="21"/>
              </w:rPr>
              <w:t>（偏差率）</w:t>
            </w:r>
          </w:p>
        </w:tc>
        <w:tc>
          <w:tcPr>
            <w:tcW w:w="1134" w:type="dxa"/>
            <w:tcBorders>
              <w:top w:val="single" w:color="auto" w:sz="4" w:space="0"/>
              <w:left w:val="single" w:color="auto" w:sz="4" w:space="0"/>
              <w:bottom w:val="single" w:color="auto" w:sz="4" w:space="0"/>
              <w:right w:val="single" w:color="auto" w:sz="4" w:space="0"/>
            </w:tcBorders>
            <w:vAlign w:val="center"/>
          </w:tcPr>
          <w:p w14:paraId="0E6D39A9">
            <w:pPr>
              <w:spacing w:line="440" w:lineRule="exact"/>
              <w:jc w:val="center"/>
              <w:rPr>
                <w:rFonts w:hint="eastAsia" w:ascii="宋体" w:hAnsi="宋体" w:eastAsia="宋体"/>
                <w:b/>
                <w:color w:val="auto"/>
                <w:sz w:val="21"/>
                <w:szCs w:val="21"/>
              </w:rPr>
            </w:pPr>
            <w:r>
              <w:rPr>
                <w:rFonts w:hint="eastAsia" w:ascii="宋体" w:hAnsi="宋体" w:eastAsia="宋体"/>
                <w:b/>
                <w:color w:val="auto"/>
                <w:sz w:val="21"/>
                <w:szCs w:val="21"/>
              </w:rPr>
              <w:t>分值</w:t>
            </w:r>
          </w:p>
        </w:tc>
        <w:tc>
          <w:tcPr>
            <w:tcW w:w="4253" w:type="dxa"/>
            <w:tcBorders>
              <w:top w:val="single" w:color="auto" w:sz="4" w:space="0"/>
              <w:left w:val="single" w:color="auto" w:sz="4" w:space="0"/>
              <w:right w:val="single" w:color="auto" w:sz="4" w:space="0"/>
            </w:tcBorders>
            <w:vAlign w:val="center"/>
          </w:tcPr>
          <w:p w14:paraId="0F49C889">
            <w:pPr>
              <w:spacing w:line="440" w:lineRule="exact"/>
              <w:jc w:val="center"/>
              <w:rPr>
                <w:rFonts w:hint="eastAsia" w:ascii="宋体" w:hAnsi="宋体" w:eastAsia="宋体"/>
                <w:b/>
                <w:color w:val="auto"/>
                <w:sz w:val="21"/>
                <w:szCs w:val="21"/>
              </w:rPr>
            </w:pPr>
            <w:r>
              <w:rPr>
                <w:rFonts w:ascii="宋体" w:hAnsi="宋体" w:eastAsia="宋体"/>
                <w:b/>
                <w:color w:val="auto"/>
                <w:sz w:val="21"/>
                <w:szCs w:val="21"/>
              </w:rPr>
              <w:t>评分标准</w:t>
            </w:r>
          </w:p>
        </w:tc>
      </w:tr>
      <w:tr w14:paraId="0CA2EF7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7" w:hRule="atLeast"/>
        </w:trPr>
        <w:tc>
          <w:tcPr>
            <w:tcW w:w="1022" w:type="dxa"/>
            <w:vMerge w:val="restart"/>
            <w:tcBorders>
              <w:top w:val="single" w:color="auto" w:sz="4" w:space="0"/>
              <w:right w:val="single" w:color="auto" w:sz="4" w:space="0"/>
            </w:tcBorders>
            <w:vAlign w:val="center"/>
          </w:tcPr>
          <w:p w14:paraId="1949997D">
            <w:pPr>
              <w:spacing w:line="440" w:lineRule="exact"/>
              <w:jc w:val="center"/>
              <w:rPr>
                <w:rFonts w:hint="eastAsia" w:ascii="宋体" w:hAnsi="宋体" w:eastAsia="宋体"/>
                <w:color w:val="auto"/>
                <w:sz w:val="21"/>
                <w:szCs w:val="21"/>
                <w:lang w:eastAsia="zh-CN"/>
              </w:rPr>
            </w:pPr>
            <w:r>
              <w:rPr>
                <w:rFonts w:ascii="宋体" w:hAnsi="宋体" w:eastAsia="宋体"/>
                <w:color w:val="auto"/>
                <w:sz w:val="21"/>
                <w:szCs w:val="21"/>
              </w:rPr>
              <w:t>2.2.</w:t>
            </w:r>
            <w:r>
              <w:rPr>
                <w:rFonts w:hint="eastAsia" w:ascii="宋体" w:hAnsi="宋体" w:eastAsia="宋体"/>
                <w:color w:val="auto"/>
                <w:sz w:val="21"/>
                <w:szCs w:val="21"/>
                <w:lang w:eastAsia="zh-CN"/>
              </w:rPr>
              <w:t>5</w:t>
            </w:r>
          </w:p>
        </w:tc>
        <w:tc>
          <w:tcPr>
            <w:tcW w:w="1134" w:type="dxa"/>
            <w:vMerge w:val="restart"/>
            <w:tcBorders>
              <w:top w:val="single" w:color="auto" w:sz="4" w:space="0"/>
              <w:right w:val="single" w:color="auto" w:sz="4" w:space="0"/>
            </w:tcBorders>
            <w:vAlign w:val="center"/>
          </w:tcPr>
          <w:p w14:paraId="37921139">
            <w:pPr>
              <w:jc w:val="center"/>
              <w:rPr>
                <w:rFonts w:hint="eastAsia" w:ascii="宋体" w:hAnsi="宋体" w:eastAsia="宋体"/>
                <w:color w:val="auto"/>
                <w:sz w:val="21"/>
                <w:szCs w:val="21"/>
                <w:lang w:eastAsia="zh-CN"/>
              </w:rPr>
            </w:pPr>
            <w:r>
              <w:rPr>
                <w:rFonts w:hint="eastAsia" w:ascii="宋体" w:hAnsi="宋体" w:eastAsia="宋体"/>
                <w:color w:val="auto"/>
                <w:sz w:val="21"/>
                <w:szCs w:val="21"/>
                <w:lang w:eastAsia="zh-CN"/>
              </w:rPr>
              <w:t>商务分</w:t>
            </w:r>
          </w:p>
          <w:p w14:paraId="79AB961D">
            <w:pPr>
              <w:jc w:val="center"/>
              <w:rPr>
                <w:rFonts w:hint="eastAsia" w:ascii="宋体" w:hAnsi="宋体" w:eastAsia="宋体"/>
                <w:color w:val="auto"/>
                <w:sz w:val="21"/>
                <w:szCs w:val="21"/>
                <w:lang w:eastAsia="zh-CN"/>
              </w:rPr>
            </w:pPr>
            <w:r>
              <w:rPr>
                <w:rFonts w:hint="eastAsia" w:ascii="宋体" w:hAnsi="宋体" w:eastAsia="宋体"/>
                <w:color w:val="auto"/>
                <w:sz w:val="21"/>
                <w:szCs w:val="21"/>
                <w:lang w:eastAsia="zh-CN"/>
              </w:rPr>
              <w:t>（45分）</w:t>
            </w:r>
          </w:p>
        </w:tc>
        <w:tc>
          <w:tcPr>
            <w:tcW w:w="1672" w:type="dxa"/>
            <w:tcBorders>
              <w:top w:val="single" w:color="auto" w:sz="4" w:space="0"/>
              <w:left w:val="single" w:color="auto" w:sz="4" w:space="0"/>
              <w:bottom w:val="single" w:color="auto" w:sz="4" w:space="0"/>
              <w:right w:val="single" w:color="auto" w:sz="4" w:space="0"/>
            </w:tcBorders>
            <w:vAlign w:val="center"/>
          </w:tcPr>
          <w:p w14:paraId="46AAD1A4">
            <w:pPr>
              <w:widowControl/>
              <w:jc w:val="center"/>
              <w:rPr>
                <w:rFonts w:hint="eastAsia" w:ascii="宋体" w:hAnsi="宋体" w:eastAsia="宋体"/>
                <w:color w:val="auto"/>
                <w:sz w:val="21"/>
                <w:szCs w:val="21"/>
                <w:lang w:eastAsia="zh-CN"/>
              </w:rPr>
            </w:pPr>
            <w:r>
              <w:rPr>
                <w:rFonts w:hint="eastAsia" w:ascii="宋体" w:hAnsi="宋体" w:eastAsia="宋体"/>
                <w:color w:val="auto"/>
                <w:sz w:val="21"/>
                <w:szCs w:val="21"/>
                <w:lang w:eastAsia="zh-CN"/>
              </w:rPr>
              <w:t>监理单位</w:t>
            </w:r>
          </w:p>
          <w:p w14:paraId="22396B34">
            <w:pPr>
              <w:widowControl/>
              <w:jc w:val="center"/>
              <w:rPr>
                <w:rFonts w:hint="eastAsia" w:ascii="宋体" w:hAnsi="宋体" w:eastAsia="宋体"/>
                <w:color w:val="auto"/>
                <w:sz w:val="21"/>
                <w:szCs w:val="21"/>
                <w:lang w:eastAsia="zh-CN"/>
              </w:rPr>
            </w:pPr>
            <w:r>
              <w:rPr>
                <w:rFonts w:hint="eastAsia" w:ascii="宋体" w:hAnsi="宋体" w:eastAsia="宋体"/>
                <w:color w:val="auto"/>
                <w:sz w:val="21"/>
                <w:szCs w:val="21"/>
                <w:lang w:eastAsia="zh-CN"/>
              </w:rPr>
              <w:t>资质（5分）</w:t>
            </w:r>
          </w:p>
          <w:p w14:paraId="0FD26F94">
            <w:pPr>
              <w:widowControl/>
              <w:jc w:val="center"/>
              <w:rPr>
                <w:rFonts w:hint="eastAsia" w:ascii="宋体" w:hAnsi="宋体" w:eastAsia="宋体"/>
                <w:color w:val="auto"/>
                <w:sz w:val="21"/>
                <w:szCs w:val="21"/>
                <w:lang w:eastAsia="zh-CN"/>
              </w:rPr>
            </w:pPr>
          </w:p>
        </w:tc>
        <w:tc>
          <w:tcPr>
            <w:tcW w:w="1134" w:type="dxa"/>
            <w:tcBorders>
              <w:top w:val="single" w:color="auto" w:sz="4" w:space="0"/>
              <w:left w:val="single" w:color="auto" w:sz="4" w:space="0"/>
              <w:right w:val="single" w:color="auto" w:sz="4" w:space="0"/>
            </w:tcBorders>
            <w:vAlign w:val="center"/>
          </w:tcPr>
          <w:p w14:paraId="170F3166">
            <w:pPr>
              <w:jc w:val="center"/>
              <w:rPr>
                <w:rFonts w:hint="eastAsia" w:ascii="宋体" w:hAnsi="宋体" w:eastAsia="宋体"/>
                <w:color w:val="auto"/>
                <w:sz w:val="21"/>
                <w:szCs w:val="21"/>
                <w:lang w:eastAsia="zh-CN"/>
              </w:rPr>
            </w:pPr>
            <w:r>
              <w:rPr>
                <w:rFonts w:hint="eastAsia" w:ascii="宋体" w:hAnsi="宋体" w:eastAsia="宋体"/>
                <w:color w:val="auto"/>
                <w:sz w:val="21"/>
                <w:szCs w:val="21"/>
                <w:lang w:eastAsia="zh-CN"/>
              </w:rPr>
              <w:t>5分</w:t>
            </w:r>
          </w:p>
        </w:tc>
        <w:tc>
          <w:tcPr>
            <w:tcW w:w="4253" w:type="dxa"/>
            <w:tcBorders>
              <w:top w:val="single" w:color="auto" w:sz="4" w:space="0"/>
              <w:left w:val="single" w:color="auto" w:sz="4" w:space="0"/>
              <w:right w:val="single" w:color="auto" w:sz="4" w:space="0"/>
            </w:tcBorders>
            <w:vAlign w:val="center"/>
          </w:tcPr>
          <w:p w14:paraId="3CE6C51C">
            <w:pPr>
              <w:rPr>
                <w:rFonts w:hint="eastAsia" w:ascii="宋体" w:hAnsi="宋体" w:eastAsia="宋体"/>
                <w:color w:val="auto"/>
                <w:sz w:val="21"/>
                <w:szCs w:val="21"/>
                <w:lang w:eastAsia="zh-CN"/>
              </w:rPr>
            </w:pPr>
            <w:r>
              <w:rPr>
                <w:rFonts w:hint="eastAsia" w:ascii="宋体" w:hAnsi="宋体" w:eastAsia="宋体"/>
                <w:color w:val="auto"/>
                <w:sz w:val="21"/>
                <w:szCs w:val="21"/>
                <w:lang w:eastAsia="zh-CN"/>
              </w:rPr>
              <w:t>①具备水利工程施工监理乙级计4.5分，甲级计5分；</w:t>
            </w:r>
          </w:p>
          <w:p w14:paraId="7C249FB4">
            <w:pPr>
              <w:jc w:val="both"/>
              <w:rPr>
                <w:rFonts w:hint="eastAsia" w:ascii="宋体" w:hAnsi="宋体" w:eastAsia="宋体"/>
                <w:color w:val="auto"/>
                <w:sz w:val="21"/>
                <w:szCs w:val="21"/>
                <w:lang w:eastAsia="zh-CN"/>
              </w:rPr>
            </w:pPr>
            <w:r>
              <w:rPr>
                <w:rFonts w:hint="eastAsia" w:ascii="宋体" w:hAnsi="宋体" w:eastAsia="宋体"/>
                <w:color w:val="auto"/>
                <w:sz w:val="21"/>
                <w:szCs w:val="21"/>
                <w:lang w:eastAsia="zh-CN"/>
              </w:rPr>
              <w:t>②具备水运工程甲级监理资质计5分。</w:t>
            </w:r>
          </w:p>
          <w:p w14:paraId="240FC91C">
            <w:pPr>
              <w:jc w:val="both"/>
              <w:rPr>
                <w:rFonts w:hint="eastAsia" w:ascii="宋体" w:hAnsi="宋体" w:eastAsia="宋体"/>
                <w:color w:val="auto"/>
                <w:sz w:val="21"/>
                <w:szCs w:val="21"/>
                <w:lang w:eastAsia="zh-CN"/>
              </w:rPr>
            </w:pPr>
            <w:r>
              <w:rPr>
                <w:rFonts w:hint="eastAsia" w:ascii="宋体" w:hAnsi="宋体" w:eastAsia="宋体"/>
                <w:color w:val="auto"/>
                <w:sz w:val="21"/>
                <w:szCs w:val="21"/>
                <w:lang w:eastAsia="zh-CN"/>
              </w:rPr>
              <w:t>评审依据：资质证书扫描件</w:t>
            </w:r>
          </w:p>
        </w:tc>
      </w:tr>
      <w:tr w14:paraId="01D9000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7" w:hRule="atLeast"/>
        </w:trPr>
        <w:tc>
          <w:tcPr>
            <w:tcW w:w="1022" w:type="dxa"/>
            <w:vMerge w:val="continue"/>
            <w:tcBorders>
              <w:right w:val="single" w:color="auto" w:sz="4" w:space="0"/>
            </w:tcBorders>
            <w:vAlign w:val="center"/>
          </w:tcPr>
          <w:p w14:paraId="61C8ABB3">
            <w:pPr>
              <w:spacing w:line="440" w:lineRule="exact"/>
              <w:jc w:val="center"/>
              <w:rPr>
                <w:rFonts w:hint="eastAsia" w:ascii="宋体" w:hAnsi="宋体" w:eastAsia="宋体"/>
                <w:color w:val="auto"/>
                <w:sz w:val="21"/>
                <w:szCs w:val="21"/>
                <w:lang w:eastAsia="zh-CN"/>
              </w:rPr>
            </w:pPr>
          </w:p>
        </w:tc>
        <w:tc>
          <w:tcPr>
            <w:tcW w:w="1134" w:type="dxa"/>
            <w:vMerge w:val="continue"/>
            <w:tcBorders>
              <w:right w:val="single" w:color="auto" w:sz="4" w:space="0"/>
            </w:tcBorders>
            <w:vAlign w:val="center"/>
          </w:tcPr>
          <w:p w14:paraId="6A6FD036">
            <w:pPr>
              <w:jc w:val="center"/>
              <w:rPr>
                <w:rFonts w:hint="eastAsia" w:ascii="宋体" w:hAnsi="宋体" w:eastAsia="宋体"/>
                <w:color w:val="auto"/>
                <w:sz w:val="21"/>
                <w:szCs w:val="21"/>
                <w:lang w:eastAsia="zh-CN"/>
              </w:rPr>
            </w:pPr>
          </w:p>
        </w:tc>
        <w:tc>
          <w:tcPr>
            <w:tcW w:w="1672" w:type="dxa"/>
            <w:vMerge w:val="restart"/>
            <w:tcBorders>
              <w:top w:val="single" w:color="auto" w:sz="4" w:space="0"/>
              <w:left w:val="single" w:color="auto" w:sz="4" w:space="0"/>
              <w:bottom w:val="single" w:color="auto" w:sz="4" w:space="0"/>
              <w:right w:val="single" w:color="auto" w:sz="4" w:space="0"/>
            </w:tcBorders>
            <w:vAlign w:val="center"/>
          </w:tcPr>
          <w:p w14:paraId="5E938DD1">
            <w:pPr>
              <w:widowControl/>
              <w:jc w:val="center"/>
              <w:rPr>
                <w:rFonts w:hint="eastAsia" w:ascii="宋体" w:hAnsi="宋体" w:eastAsia="宋体"/>
                <w:color w:val="auto"/>
                <w:sz w:val="21"/>
                <w:szCs w:val="21"/>
                <w:lang w:eastAsia="zh-CN"/>
              </w:rPr>
            </w:pPr>
            <w:r>
              <w:rPr>
                <w:rFonts w:hint="eastAsia" w:ascii="宋体" w:hAnsi="宋体" w:eastAsia="宋体"/>
                <w:color w:val="auto"/>
                <w:sz w:val="21"/>
                <w:szCs w:val="21"/>
                <w:lang w:eastAsia="zh-CN"/>
              </w:rPr>
              <w:t>总监理工程师资历（1</w:t>
            </w:r>
            <w:r>
              <w:rPr>
                <w:rFonts w:ascii="宋体" w:hAnsi="宋体" w:eastAsia="宋体"/>
                <w:color w:val="auto"/>
                <w:sz w:val="21"/>
                <w:szCs w:val="21"/>
                <w:lang w:eastAsia="zh-CN"/>
              </w:rPr>
              <w:t>0</w:t>
            </w:r>
            <w:r>
              <w:rPr>
                <w:rFonts w:hint="eastAsia" w:ascii="宋体" w:hAnsi="宋体" w:eastAsia="宋体"/>
                <w:color w:val="auto"/>
                <w:sz w:val="21"/>
                <w:szCs w:val="21"/>
                <w:lang w:eastAsia="zh-CN"/>
              </w:rPr>
              <w:t>分）</w:t>
            </w:r>
          </w:p>
        </w:tc>
        <w:tc>
          <w:tcPr>
            <w:tcW w:w="1134" w:type="dxa"/>
            <w:vMerge w:val="restart"/>
            <w:tcBorders>
              <w:top w:val="single" w:color="auto" w:sz="4" w:space="0"/>
              <w:left w:val="single" w:color="auto" w:sz="4" w:space="0"/>
              <w:right w:val="single" w:color="auto" w:sz="4" w:space="0"/>
            </w:tcBorders>
            <w:vAlign w:val="center"/>
          </w:tcPr>
          <w:p w14:paraId="5DB481D6">
            <w:pPr>
              <w:jc w:val="center"/>
              <w:rPr>
                <w:rFonts w:hint="eastAsia" w:ascii="宋体" w:hAnsi="宋体" w:eastAsia="宋体"/>
                <w:color w:val="auto"/>
                <w:sz w:val="21"/>
                <w:szCs w:val="21"/>
                <w:u w:val="single"/>
                <w:lang w:eastAsia="zh-CN"/>
              </w:rPr>
            </w:pPr>
            <w:r>
              <w:rPr>
                <w:rFonts w:ascii="宋体" w:hAnsi="宋体" w:eastAsia="宋体"/>
                <w:color w:val="auto"/>
                <w:sz w:val="21"/>
                <w:szCs w:val="21"/>
                <w:u w:val="single"/>
                <w:lang w:eastAsia="zh-CN"/>
              </w:rPr>
              <w:t>1</w:t>
            </w:r>
            <w:r>
              <w:rPr>
                <w:rFonts w:hint="eastAsia" w:ascii="宋体" w:hAnsi="宋体" w:eastAsia="宋体"/>
                <w:color w:val="auto"/>
                <w:sz w:val="21"/>
                <w:szCs w:val="21"/>
                <w:u w:val="single"/>
                <w:lang w:eastAsia="zh-CN"/>
              </w:rPr>
              <w:t>0</w:t>
            </w:r>
            <w:r>
              <w:rPr>
                <w:rFonts w:hint="eastAsia" w:ascii="宋体" w:hAnsi="宋体" w:eastAsia="宋体"/>
                <w:color w:val="auto"/>
                <w:sz w:val="21"/>
                <w:szCs w:val="21"/>
                <w:lang w:eastAsia="zh-CN"/>
              </w:rPr>
              <w:t>分</w:t>
            </w:r>
          </w:p>
          <w:p w14:paraId="70E5D2B2">
            <w:pPr>
              <w:jc w:val="center"/>
              <w:rPr>
                <w:rFonts w:hint="eastAsia" w:ascii="宋体" w:hAnsi="宋体" w:eastAsia="宋体"/>
                <w:color w:val="auto"/>
                <w:sz w:val="21"/>
                <w:szCs w:val="21"/>
                <w:lang w:eastAsia="zh-CN"/>
              </w:rPr>
            </w:pPr>
          </w:p>
        </w:tc>
        <w:tc>
          <w:tcPr>
            <w:tcW w:w="4253" w:type="dxa"/>
            <w:tcBorders>
              <w:top w:val="single" w:color="auto" w:sz="4" w:space="0"/>
              <w:left w:val="single" w:color="auto" w:sz="4" w:space="0"/>
              <w:right w:val="single" w:color="auto" w:sz="4" w:space="0"/>
            </w:tcBorders>
            <w:vAlign w:val="center"/>
          </w:tcPr>
          <w:p w14:paraId="3BD0DC58">
            <w:pPr>
              <w:jc w:val="both"/>
              <w:rPr>
                <w:rFonts w:hint="eastAsia" w:ascii="宋体" w:hAnsi="宋体" w:eastAsia="宋体"/>
                <w:color w:val="auto"/>
                <w:sz w:val="21"/>
                <w:szCs w:val="21"/>
                <w:lang w:eastAsia="zh-CN"/>
              </w:rPr>
            </w:pPr>
            <w:r>
              <w:rPr>
                <w:rFonts w:hint="eastAsia" w:ascii="宋体" w:hAnsi="宋体" w:eastAsia="宋体"/>
                <w:color w:val="auto"/>
                <w:sz w:val="21"/>
                <w:szCs w:val="21"/>
                <w:lang w:eastAsia="zh-CN"/>
              </w:rPr>
              <w:t>①高级工程师并为国家注册监理工程师的计9分；</w:t>
            </w:r>
          </w:p>
          <w:p w14:paraId="56A1E22D">
            <w:pPr>
              <w:jc w:val="both"/>
              <w:rPr>
                <w:rFonts w:hint="eastAsia" w:ascii="宋体" w:hAnsi="宋体" w:eastAsia="宋体"/>
                <w:color w:val="auto"/>
                <w:sz w:val="21"/>
                <w:szCs w:val="21"/>
                <w:lang w:eastAsia="zh-CN"/>
              </w:rPr>
            </w:pPr>
            <w:r>
              <w:rPr>
                <w:rFonts w:hint="eastAsia" w:ascii="宋体" w:hAnsi="宋体" w:eastAsia="宋体"/>
                <w:color w:val="auto"/>
                <w:sz w:val="21"/>
                <w:szCs w:val="21"/>
                <w:lang w:eastAsia="zh-CN"/>
              </w:rPr>
              <w:t>②除资格条件中要求的业绩外，拟派的总监理工程师为高级工程师并为国家注册监理工程师，且在开标之月前60个月内具有水运或水利项目监理业绩得10分。</w:t>
            </w:r>
          </w:p>
          <w:p w14:paraId="1B6EB9C2">
            <w:pPr>
              <w:jc w:val="both"/>
              <w:rPr>
                <w:rFonts w:hint="eastAsia" w:ascii="宋体" w:hAnsi="宋体" w:eastAsia="宋体"/>
                <w:color w:val="auto"/>
                <w:sz w:val="21"/>
                <w:szCs w:val="21"/>
                <w:lang w:eastAsia="zh-CN"/>
              </w:rPr>
            </w:pPr>
            <w:r>
              <w:rPr>
                <w:rFonts w:hint="eastAsia" w:ascii="宋体" w:hAnsi="宋体" w:eastAsia="宋体"/>
                <w:color w:val="auto"/>
                <w:sz w:val="21"/>
                <w:szCs w:val="21"/>
                <w:lang w:eastAsia="zh-CN"/>
              </w:rPr>
              <w:t>评审依据：证书扫描件；主要施工图、监理合同、中标通知书扫描件中的2种或者2种以上资料计分</w:t>
            </w:r>
          </w:p>
        </w:tc>
      </w:tr>
      <w:tr w14:paraId="35B93C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40" w:hRule="atLeast"/>
        </w:trPr>
        <w:tc>
          <w:tcPr>
            <w:tcW w:w="1022" w:type="dxa"/>
            <w:vMerge w:val="continue"/>
            <w:tcBorders>
              <w:right w:val="single" w:color="auto" w:sz="4" w:space="0"/>
            </w:tcBorders>
            <w:vAlign w:val="center"/>
          </w:tcPr>
          <w:p w14:paraId="7CE3AB84">
            <w:pPr>
              <w:spacing w:line="440" w:lineRule="exact"/>
              <w:jc w:val="center"/>
              <w:rPr>
                <w:rFonts w:hint="eastAsia" w:ascii="宋体" w:hAnsi="宋体" w:eastAsia="宋体"/>
                <w:color w:val="auto"/>
                <w:sz w:val="21"/>
                <w:szCs w:val="21"/>
                <w:lang w:eastAsia="zh-CN"/>
              </w:rPr>
            </w:pPr>
          </w:p>
        </w:tc>
        <w:tc>
          <w:tcPr>
            <w:tcW w:w="1134" w:type="dxa"/>
            <w:vMerge w:val="continue"/>
            <w:tcBorders>
              <w:right w:val="single" w:color="auto" w:sz="4" w:space="0"/>
            </w:tcBorders>
            <w:vAlign w:val="center"/>
          </w:tcPr>
          <w:p w14:paraId="4537DB05">
            <w:pPr>
              <w:jc w:val="center"/>
              <w:rPr>
                <w:rFonts w:hint="eastAsia" w:ascii="宋体" w:hAnsi="宋体" w:eastAsia="宋体"/>
                <w:color w:val="auto"/>
                <w:sz w:val="21"/>
                <w:szCs w:val="21"/>
                <w:lang w:eastAsia="zh-CN"/>
              </w:rPr>
            </w:pPr>
          </w:p>
        </w:tc>
        <w:tc>
          <w:tcPr>
            <w:tcW w:w="1672" w:type="dxa"/>
            <w:tcBorders>
              <w:top w:val="single" w:color="auto" w:sz="4" w:space="0"/>
              <w:left w:val="single" w:color="auto" w:sz="4" w:space="0"/>
              <w:bottom w:val="single" w:color="auto" w:sz="4" w:space="0"/>
              <w:right w:val="single" w:color="auto" w:sz="4" w:space="0"/>
            </w:tcBorders>
            <w:vAlign w:val="center"/>
          </w:tcPr>
          <w:p w14:paraId="0ADA2729">
            <w:pPr>
              <w:jc w:val="center"/>
              <w:rPr>
                <w:rFonts w:hint="eastAsia" w:ascii="宋体" w:hAnsi="宋体" w:eastAsia="宋体"/>
                <w:color w:val="auto"/>
                <w:sz w:val="21"/>
                <w:szCs w:val="21"/>
                <w:lang w:eastAsia="zh-CN"/>
              </w:rPr>
            </w:pPr>
            <w:r>
              <w:rPr>
                <w:rFonts w:hint="eastAsia" w:ascii="宋体" w:hAnsi="宋体" w:eastAsia="宋体"/>
                <w:color w:val="auto"/>
                <w:sz w:val="21"/>
                <w:szCs w:val="21"/>
                <w:lang w:eastAsia="zh-CN"/>
              </w:rPr>
              <w:t>总监理工程师执业经历</w:t>
            </w:r>
          </w:p>
          <w:p w14:paraId="6E1D094A">
            <w:pPr>
              <w:jc w:val="center"/>
              <w:rPr>
                <w:rFonts w:hint="eastAsia" w:ascii="宋体" w:hAnsi="宋体" w:eastAsia="宋体"/>
                <w:color w:val="auto"/>
                <w:sz w:val="21"/>
                <w:szCs w:val="21"/>
                <w:lang w:eastAsia="zh-CN"/>
              </w:rPr>
            </w:pPr>
            <w:r>
              <w:rPr>
                <w:rFonts w:hint="eastAsia" w:ascii="宋体" w:hAnsi="宋体" w:eastAsia="宋体"/>
                <w:color w:val="auto"/>
                <w:sz w:val="21"/>
                <w:szCs w:val="21"/>
                <w:lang w:eastAsia="zh-CN"/>
              </w:rPr>
              <w:t>（1</w:t>
            </w:r>
            <w:r>
              <w:rPr>
                <w:rFonts w:ascii="宋体" w:hAnsi="宋体" w:eastAsia="宋体"/>
                <w:color w:val="auto"/>
                <w:sz w:val="21"/>
                <w:szCs w:val="21"/>
                <w:lang w:eastAsia="zh-CN"/>
              </w:rPr>
              <w:t>0</w:t>
            </w:r>
            <w:r>
              <w:rPr>
                <w:rFonts w:hint="eastAsia" w:ascii="宋体" w:hAnsi="宋体" w:eastAsia="宋体"/>
                <w:color w:val="auto"/>
                <w:sz w:val="21"/>
                <w:szCs w:val="21"/>
                <w:lang w:eastAsia="zh-CN"/>
              </w:rPr>
              <w:t>分）</w:t>
            </w:r>
          </w:p>
        </w:tc>
        <w:tc>
          <w:tcPr>
            <w:tcW w:w="1134" w:type="dxa"/>
            <w:tcBorders>
              <w:top w:val="single" w:color="auto" w:sz="4" w:space="0"/>
              <w:left w:val="single" w:color="auto" w:sz="4" w:space="0"/>
              <w:right w:val="single" w:color="auto" w:sz="4" w:space="0"/>
            </w:tcBorders>
            <w:vAlign w:val="center"/>
          </w:tcPr>
          <w:p w14:paraId="6AFA3AF7">
            <w:pPr>
              <w:jc w:val="center"/>
              <w:rPr>
                <w:rFonts w:hint="eastAsia" w:ascii="宋体" w:hAnsi="宋体" w:eastAsia="宋体"/>
                <w:color w:val="auto"/>
                <w:sz w:val="21"/>
                <w:szCs w:val="21"/>
                <w:lang w:eastAsia="zh-CN"/>
              </w:rPr>
            </w:pPr>
          </w:p>
          <w:p w14:paraId="1CB502E7">
            <w:pPr>
              <w:jc w:val="center"/>
              <w:rPr>
                <w:rFonts w:hint="eastAsia" w:ascii="宋体" w:hAnsi="宋体" w:eastAsia="宋体"/>
                <w:color w:val="auto"/>
                <w:sz w:val="21"/>
                <w:szCs w:val="21"/>
                <w:u w:val="single"/>
              </w:rPr>
            </w:pPr>
            <w:r>
              <w:rPr>
                <w:rFonts w:ascii="宋体" w:hAnsi="宋体" w:eastAsia="宋体"/>
                <w:color w:val="auto"/>
                <w:sz w:val="21"/>
                <w:szCs w:val="21"/>
                <w:u w:val="single"/>
              </w:rPr>
              <w:t>1</w:t>
            </w:r>
            <w:r>
              <w:rPr>
                <w:rFonts w:hint="eastAsia" w:ascii="宋体" w:hAnsi="宋体" w:eastAsia="宋体"/>
                <w:color w:val="auto"/>
                <w:sz w:val="21"/>
                <w:szCs w:val="21"/>
                <w:u w:val="single"/>
                <w:lang w:eastAsia="zh-CN"/>
              </w:rPr>
              <w:t>0</w:t>
            </w:r>
            <w:r>
              <w:rPr>
                <w:rFonts w:hint="eastAsia" w:ascii="宋体" w:hAnsi="宋体" w:eastAsia="宋体"/>
                <w:color w:val="auto"/>
                <w:sz w:val="21"/>
                <w:szCs w:val="21"/>
              </w:rPr>
              <w:t>分</w:t>
            </w:r>
          </w:p>
          <w:p w14:paraId="673D246B">
            <w:pPr>
              <w:jc w:val="center"/>
              <w:rPr>
                <w:rFonts w:hint="eastAsia" w:ascii="宋体" w:hAnsi="宋体" w:eastAsia="宋体"/>
                <w:color w:val="auto"/>
                <w:sz w:val="21"/>
                <w:szCs w:val="21"/>
              </w:rPr>
            </w:pPr>
          </w:p>
        </w:tc>
        <w:tc>
          <w:tcPr>
            <w:tcW w:w="4253" w:type="dxa"/>
            <w:tcBorders>
              <w:top w:val="single" w:color="auto" w:sz="4" w:space="0"/>
              <w:left w:val="single" w:color="auto" w:sz="4" w:space="0"/>
              <w:right w:val="single" w:color="auto" w:sz="4" w:space="0"/>
            </w:tcBorders>
            <w:vAlign w:val="center"/>
          </w:tcPr>
          <w:p w14:paraId="2FAB082B">
            <w:pPr>
              <w:rPr>
                <w:rFonts w:hint="eastAsia" w:ascii="宋体" w:hAnsi="宋体" w:eastAsia="宋体"/>
                <w:color w:val="auto"/>
                <w:sz w:val="21"/>
                <w:szCs w:val="21"/>
                <w:lang w:eastAsia="zh-CN"/>
              </w:rPr>
            </w:pPr>
            <w:bookmarkStart w:id="422" w:name="_Toc369531576"/>
            <w:bookmarkStart w:id="423" w:name="_Toc361508645"/>
            <w:bookmarkStart w:id="424" w:name="_Toc247527611"/>
            <w:bookmarkStart w:id="425" w:name="_Toc300835007"/>
            <w:bookmarkStart w:id="426" w:name="_Toc384308271"/>
            <w:bookmarkStart w:id="427" w:name="_Toc144974553"/>
            <w:bookmarkStart w:id="428" w:name="_Toc247514010"/>
            <w:bookmarkStart w:id="429" w:name="_Toc152045586"/>
            <w:bookmarkStart w:id="430" w:name="_Toc152042363"/>
            <w:bookmarkStart w:id="431" w:name="_Toc12369"/>
            <w:bookmarkStart w:id="432" w:name="_Toc352691532"/>
            <w:r>
              <w:rPr>
                <w:rFonts w:hint="eastAsia" w:ascii="宋体" w:hAnsi="宋体" w:eastAsia="宋体"/>
                <w:color w:val="auto"/>
                <w:sz w:val="21"/>
                <w:szCs w:val="21"/>
                <w:lang w:eastAsia="zh-CN"/>
              </w:rPr>
              <w:t>①取得注册监理工程师执业资格5年以上(含)的计10分；</w:t>
            </w:r>
          </w:p>
          <w:p w14:paraId="4F6537A8">
            <w:pPr>
              <w:rPr>
                <w:rFonts w:hint="eastAsia" w:ascii="宋体" w:hAnsi="宋体" w:eastAsia="宋体"/>
                <w:color w:val="auto"/>
                <w:sz w:val="21"/>
                <w:szCs w:val="21"/>
                <w:lang w:eastAsia="zh-CN"/>
              </w:rPr>
            </w:pPr>
            <w:r>
              <w:rPr>
                <w:rFonts w:hint="eastAsia" w:ascii="宋体" w:hAnsi="宋体" w:eastAsia="宋体"/>
                <w:color w:val="auto"/>
                <w:sz w:val="21"/>
                <w:szCs w:val="21"/>
                <w:lang w:eastAsia="zh-CN"/>
              </w:rPr>
              <w:t>②取得注册监理工程师执业资格5年以下的计9分。</w:t>
            </w:r>
          </w:p>
          <w:p w14:paraId="7915004B">
            <w:pPr>
              <w:rPr>
                <w:rFonts w:hint="eastAsia" w:ascii="宋体" w:hAnsi="宋体" w:eastAsia="宋体"/>
                <w:color w:val="auto"/>
                <w:sz w:val="21"/>
                <w:szCs w:val="21"/>
                <w:lang w:eastAsia="zh-CN"/>
              </w:rPr>
            </w:pPr>
            <w:r>
              <w:rPr>
                <w:rFonts w:hint="eastAsia" w:ascii="宋体" w:hAnsi="宋体" w:eastAsia="宋体"/>
                <w:color w:val="auto"/>
                <w:sz w:val="21"/>
                <w:szCs w:val="21"/>
                <w:lang w:eastAsia="zh-CN"/>
              </w:rPr>
              <w:t>评审依据：证书扫描件</w:t>
            </w:r>
          </w:p>
        </w:tc>
      </w:tr>
      <w:tr w14:paraId="6B4C562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63" w:hRule="atLeast"/>
        </w:trPr>
        <w:tc>
          <w:tcPr>
            <w:tcW w:w="1022" w:type="dxa"/>
            <w:vMerge w:val="continue"/>
            <w:tcBorders>
              <w:right w:val="single" w:color="auto" w:sz="4" w:space="0"/>
            </w:tcBorders>
            <w:vAlign w:val="center"/>
          </w:tcPr>
          <w:p w14:paraId="1E4EF856">
            <w:pPr>
              <w:spacing w:line="440" w:lineRule="exact"/>
              <w:jc w:val="center"/>
              <w:rPr>
                <w:rFonts w:hint="eastAsia" w:ascii="宋体" w:hAnsi="宋体" w:eastAsia="宋体"/>
                <w:color w:val="auto"/>
                <w:sz w:val="21"/>
                <w:szCs w:val="21"/>
                <w:lang w:eastAsia="zh-CN"/>
              </w:rPr>
            </w:pPr>
          </w:p>
        </w:tc>
        <w:tc>
          <w:tcPr>
            <w:tcW w:w="1134" w:type="dxa"/>
            <w:vMerge w:val="continue"/>
            <w:tcBorders>
              <w:right w:val="single" w:color="auto" w:sz="4" w:space="0"/>
            </w:tcBorders>
            <w:vAlign w:val="center"/>
          </w:tcPr>
          <w:p w14:paraId="5699C891">
            <w:pPr>
              <w:jc w:val="center"/>
              <w:rPr>
                <w:rFonts w:hint="eastAsia" w:ascii="宋体" w:hAnsi="宋体" w:eastAsia="宋体"/>
                <w:color w:val="auto"/>
                <w:sz w:val="21"/>
                <w:szCs w:val="21"/>
                <w:lang w:eastAsia="zh-CN"/>
              </w:rPr>
            </w:pPr>
          </w:p>
        </w:tc>
        <w:tc>
          <w:tcPr>
            <w:tcW w:w="1672" w:type="dxa"/>
            <w:tcBorders>
              <w:top w:val="single" w:color="auto" w:sz="4" w:space="0"/>
              <w:left w:val="single" w:color="auto" w:sz="4" w:space="0"/>
              <w:bottom w:val="single" w:color="auto" w:sz="4" w:space="0"/>
              <w:right w:val="single" w:color="auto" w:sz="4" w:space="0"/>
            </w:tcBorders>
            <w:vAlign w:val="center"/>
          </w:tcPr>
          <w:p w14:paraId="64B04DE5">
            <w:pPr>
              <w:widowControl/>
              <w:jc w:val="both"/>
              <w:rPr>
                <w:rFonts w:hint="eastAsia" w:ascii="宋体" w:hAnsi="宋体" w:eastAsia="宋体"/>
                <w:color w:val="auto"/>
                <w:sz w:val="21"/>
                <w:szCs w:val="21"/>
                <w:lang w:eastAsia="zh-CN"/>
              </w:rPr>
            </w:pPr>
            <w:r>
              <w:rPr>
                <w:rFonts w:hint="eastAsia" w:ascii="宋体" w:hAnsi="宋体" w:eastAsia="宋体"/>
                <w:color w:val="auto"/>
                <w:sz w:val="21"/>
                <w:szCs w:val="21"/>
                <w:lang w:eastAsia="zh-CN"/>
              </w:rPr>
              <w:t>监理人员配置（10分）</w:t>
            </w:r>
          </w:p>
          <w:p w14:paraId="5AA9479F">
            <w:pPr>
              <w:widowControl/>
              <w:jc w:val="center"/>
              <w:rPr>
                <w:rFonts w:hint="eastAsia" w:ascii="宋体" w:hAnsi="宋体" w:eastAsia="宋体"/>
                <w:color w:val="auto"/>
                <w:sz w:val="21"/>
                <w:szCs w:val="21"/>
                <w:lang w:eastAsia="zh-CN"/>
              </w:rPr>
            </w:pPr>
          </w:p>
        </w:tc>
        <w:tc>
          <w:tcPr>
            <w:tcW w:w="1134" w:type="dxa"/>
            <w:tcBorders>
              <w:top w:val="single" w:color="auto" w:sz="4" w:space="0"/>
              <w:left w:val="single" w:color="auto" w:sz="4" w:space="0"/>
              <w:right w:val="single" w:color="auto" w:sz="4" w:space="0"/>
            </w:tcBorders>
            <w:vAlign w:val="center"/>
          </w:tcPr>
          <w:p w14:paraId="2B2D7B26">
            <w:pPr>
              <w:jc w:val="center"/>
              <w:rPr>
                <w:rFonts w:hint="eastAsia" w:ascii="宋体" w:hAnsi="宋体" w:eastAsia="宋体"/>
                <w:color w:val="auto"/>
                <w:sz w:val="21"/>
                <w:szCs w:val="21"/>
              </w:rPr>
            </w:pPr>
            <w:r>
              <w:rPr>
                <w:rFonts w:hint="eastAsia" w:ascii="宋体" w:hAnsi="宋体" w:eastAsia="宋体"/>
                <w:color w:val="auto"/>
                <w:sz w:val="21"/>
                <w:szCs w:val="21"/>
                <w:u w:val="single"/>
                <w:lang w:eastAsia="zh-CN"/>
              </w:rPr>
              <w:t>10</w:t>
            </w:r>
            <w:r>
              <w:rPr>
                <w:rFonts w:hint="eastAsia" w:ascii="宋体" w:hAnsi="宋体" w:eastAsia="宋体"/>
                <w:color w:val="auto"/>
                <w:sz w:val="21"/>
                <w:szCs w:val="21"/>
              </w:rPr>
              <w:t>分</w:t>
            </w:r>
          </w:p>
        </w:tc>
        <w:tc>
          <w:tcPr>
            <w:tcW w:w="4253" w:type="dxa"/>
            <w:tcBorders>
              <w:top w:val="single" w:color="auto" w:sz="4" w:space="0"/>
              <w:left w:val="single" w:color="auto" w:sz="4" w:space="0"/>
              <w:right w:val="single" w:color="auto" w:sz="4" w:space="0"/>
            </w:tcBorders>
          </w:tcPr>
          <w:p w14:paraId="0ADA3939">
            <w:pPr>
              <w:rPr>
                <w:rFonts w:hint="eastAsia" w:ascii="宋体" w:hAnsi="宋体" w:eastAsia="宋体"/>
                <w:color w:val="auto"/>
                <w:sz w:val="21"/>
                <w:szCs w:val="21"/>
                <w:lang w:eastAsia="zh-CN"/>
              </w:rPr>
            </w:pPr>
            <w:r>
              <w:rPr>
                <w:rFonts w:hint="eastAsia" w:ascii="宋体" w:hAnsi="宋体" w:eastAsia="宋体"/>
                <w:color w:val="auto"/>
                <w:sz w:val="21"/>
                <w:szCs w:val="21"/>
                <w:lang w:eastAsia="zh-CN"/>
              </w:rPr>
              <w:t>①满足招标人要求的计10分；</w:t>
            </w:r>
          </w:p>
          <w:p w14:paraId="70D20011">
            <w:pPr>
              <w:rPr>
                <w:rFonts w:hint="eastAsia" w:ascii="宋体" w:hAnsi="宋体" w:eastAsia="宋体"/>
                <w:color w:val="auto"/>
                <w:sz w:val="21"/>
                <w:szCs w:val="21"/>
                <w:lang w:eastAsia="zh-CN"/>
              </w:rPr>
            </w:pPr>
            <w:r>
              <w:rPr>
                <w:rFonts w:hint="eastAsia" w:ascii="宋体" w:hAnsi="宋体" w:eastAsia="宋体"/>
                <w:color w:val="auto"/>
                <w:sz w:val="21"/>
                <w:szCs w:val="21"/>
                <w:lang w:eastAsia="zh-CN"/>
              </w:rPr>
              <w:t>②不满足招标人要求的计0分。</w:t>
            </w:r>
          </w:p>
          <w:p w14:paraId="43598D81">
            <w:pPr>
              <w:rPr>
                <w:rFonts w:hint="eastAsia" w:ascii="宋体" w:hAnsi="宋体" w:eastAsia="宋体"/>
                <w:color w:val="auto"/>
                <w:sz w:val="21"/>
                <w:szCs w:val="21"/>
                <w:lang w:eastAsia="zh-CN"/>
              </w:rPr>
            </w:pPr>
            <w:r>
              <w:rPr>
                <w:rFonts w:hint="eastAsia" w:ascii="宋体" w:hAnsi="宋体" w:eastAsia="宋体"/>
                <w:color w:val="auto"/>
                <w:sz w:val="21"/>
                <w:szCs w:val="21"/>
                <w:lang w:eastAsia="zh-CN"/>
              </w:rPr>
              <w:t>评审依据：凭监理人员注册证书或监理岗位（或培训）证书扫描件</w:t>
            </w:r>
          </w:p>
          <w:p w14:paraId="5D96551E">
            <w:pPr>
              <w:rPr>
                <w:rFonts w:hint="eastAsia" w:ascii="宋体" w:hAnsi="宋体" w:eastAsia="宋体"/>
                <w:color w:val="auto"/>
                <w:sz w:val="21"/>
                <w:szCs w:val="21"/>
                <w:lang w:eastAsia="zh-CN"/>
              </w:rPr>
            </w:pPr>
          </w:p>
        </w:tc>
      </w:tr>
      <w:tr w14:paraId="10DD789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75" w:hRule="atLeast"/>
        </w:trPr>
        <w:tc>
          <w:tcPr>
            <w:tcW w:w="1022" w:type="dxa"/>
            <w:vMerge w:val="continue"/>
            <w:tcBorders>
              <w:right w:val="single" w:color="auto" w:sz="4" w:space="0"/>
            </w:tcBorders>
            <w:vAlign w:val="center"/>
          </w:tcPr>
          <w:p w14:paraId="6A914851">
            <w:pPr>
              <w:spacing w:line="440" w:lineRule="exact"/>
              <w:jc w:val="center"/>
              <w:rPr>
                <w:rFonts w:hint="eastAsia" w:ascii="宋体" w:hAnsi="宋体" w:eastAsia="宋体"/>
                <w:color w:val="auto"/>
                <w:sz w:val="21"/>
                <w:szCs w:val="21"/>
                <w:lang w:eastAsia="zh-CN"/>
              </w:rPr>
            </w:pPr>
          </w:p>
        </w:tc>
        <w:tc>
          <w:tcPr>
            <w:tcW w:w="1134" w:type="dxa"/>
            <w:vMerge w:val="continue"/>
            <w:tcBorders>
              <w:right w:val="single" w:color="auto" w:sz="4" w:space="0"/>
            </w:tcBorders>
            <w:vAlign w:val="center"/>
          </w:tcPr>
          <w:p w14:paraId="62902FE7">
            <w:pPr>
              <w:jc w:val="center"/>
              <w:rPr>
                <w:rFonts w:hint="eastAsia" w:ascii="宋体" w:hAnsi="宋体" w:eastAsia="宋体"/>
                <w:color w:val="auto"/>
                <w:sz w:val="21"/>
                <w:szCs w:val="21"/>
                <w:lang w:eastAsia="zh-CN"/>
              </w:rPr>
            </w:pPr>
          </w:p>
        </w:tc>
        <w:tc>
          <w:tcPr>
            <w:tcW w:w="1672" w:type="dxa"/>
            <w:tcBorders>
              <w:top w:val="single" w:color="auto" w:sz="4" w:space="0"/>
              <w:left w:val="single" w:color="auto" w:sz="4" w:space="0"/>
              <w:bottom w:val="single" w:color="auto" w:sz="4" w:space="0"/>
              <w:right w:val="single" w:color="auto" w:sz="4" w:space="0"/>
            </w:tcBorders>
            <w:vAlign w:val="center"/>
          </w:tcPr>
          <w:p w14:paraId="508AA103">
            <w:pPr>
              <w:jc w:val="center"/>
              <w:rPr>
                <w:rFonts w:hint="eastAsia" w:ascii="宋体" w:hAnsi="宋体" w:eastAsia="宋体"/>
                <w:color w:val="auto"/>
                <w:sz w:val="21"/>
                <w:szCs w:val="21"/>
                <w:lang w:eastAsia="zh-CN"/>
              </w:rPr>
            </w:pPr>
            <w:r>
              <w:rPr>
                <w:rFonts w:hint="eastAsia" w:ascii="宋体" w:hAnsi="宋体" w:eastAsia="宋体"/>
                <w:color w:val="auto"/>
                <w:sz w:val="21"/>
                <w:szCs w:val="21"/>
                <w:lang w:eastAsia="zh-CN"/>
              </w:rPr>
              <w:t>投标人在开标之月前60个月内，获得过的企业荣誉（4分）</w:t>
            </w:r>
          </w:p>
        </w:tc>
        <w:tc>
          <w:tcPr>
            <w:tcW w:w="1134" w:type="dxa"/>
            <w:tcBorders>
              <w:top w:val="single" w:color="auto" w:sz="4" w:space="0"/>
              <w:left w:val="single" w:color="auto" w:sz="4" w:space="0"/>
              <w:right w:val="single" w:color="auto" w:sz="4" w:space="0"/>
            </w:tcBorders>
            <w:vAlign w:val="center"/>
          </w:tcPr>
          <w:p w14:paraId="714FBFBC">
            <w:pPr>
              <w:jc w:val="center"/>
              <w:rPr>
                <w:rFonts w:hint="eastAsia" w:ascii="宋体" w:hAnsi="宋体" w:eastAsia="宋体"/>
                <w:color w:val="auto"/>
                <w:sz w:val="21"/>
                <w:szCs w:val="21"/>
                <w:lang w:eastAsia="zh-CN"/>
              </w:rPr>
            </w:pPr>
            <w:r>
              <w:rPr>
                <w:rFonts w:hint="eastAsia" w:ascii="宋体" w:hAnsi="宋体" w:eastAsia="宋体"/>
                <w:color w:val="auto"/>
                <w:sz w:val="21"/>
                <w:szCs w:val="21"/>
                <w:lang w:eastAsia="zh-CN"/>
              </w:rPr>
              <w:t>4分</w:t>
            </w:r>
          </w:p>
        </w:tc>
        <w:tc>
          <w:tcPr>
            <w:tcW w:w="4253" w:type="dxa"/>
            <w:tcBorders>
              <w:top w:val="single" w:color="auto" w:sz="4" w:space="0"/>
              <w:left w:val="single" w:color="auto" w:sz="4" w:space="0"/>
              <w:right w:val="single" w:color="auto" w:sz="4" w:space="0"/>
            </w:tcBorders>
            <w:vAlign w:val="center"/>
          </w:tcPr>
          <w:p w14:paraId="1B7B92B9">
            <w:pPr>
              <w:rPr>
                <w:rFonts w:hint="eastAsia" w:ascii="宋体" w:hAnsi="宋体" w:eastAsia="宋体"/>
                <w:color w:val="auto"/>
                <w:sz w:val="21"/>
                <w:szCs w:val="21"/>
                <w:lang w:eastAsia="zh-CN"/>
              </w:rPr>
            </w:pPr>
            <w:r>
              <w:rPr>
                <w:rFonts w:hint="eastAsia" w:ascii="宋体" w:hAnsi="宋体" w:eastAsia="宋体"/>
                <w:color w:val="auto"/>
                <w:sz w:val="21"/>
                <w:szCs w:val="21"/>
                <w:lang w:eastAsia="zh-CN"/>
              </w:rPr>
              <w:t>凭优良工程奖的证书（或文件），或相关主管部门官网发文的电子打（复）印件并附查询网址和查询路径）计分，最高累计4分：</w:t>
            </w:r>
          </w:p>
          <w:p w14:paraId="6EB88DC2">
            <w:pPr>
              <w:rPr>
                <w:rFonts w:hint="eastAsia" w:ascii="宋体" w:hAnsi="宋体" w:eastAsia="宋体"/>
                <w:color w:val="auto"/>
                <w:sz w:val="21"/>
                <w:szCs w:val="21"/>
                <w:lang w:eastAsia="zh-CN"/>
              </w:rPr>
            </w:pPr>
            <w:r>
              <w:rPr>
                <w:rFonts w:hint="eastAsia" w:ascii="宋体" w:hAnsi="宋体" w:eastAsia="宋体"/>
                <w:color w:val="auto"/>
                <w:sz w:val="21"/>
                <w:szCs w:val="21"/>
                <w:lang w:eastAsia="zh-CN"/>
              </w:rPr>
              <w:t>①国优奖每个2分；</w:t>
            </w:r>
          </w:p>
          <w:p w14:paraId="3923416A">
            <w:pPr>
              <w:rPr>
                <w:rFonts w:hint="eastAsia" w:ascii="宋体" w:hAnsi="宋体" w:eastAsia="宋体"/>
                <w:color w:val="auto"/>
                <w:sz w:val="21"/>
                <w:szCs w:val="21"/>
                <w:lang w:eastAsia="zh-CN"/>
              </w:rPr>
            </w:pPr>
            <w:r>
              <w:rPr>
                <w:rFonts w:hint="eastAsia" w:ascii="宋体" w:hAnsi="宋体" w:eastAsia="宋体"/>
                <w:color w:val="auto"/>
                <w:sz w:val="21"/>
                <w:szCs w:val="21"/>
                <w:lang w:eastAsia="zh-CN"/>
              </w:rPr>
              <w:t>②省优每个计1.5分；</w:t>
            </w:r>
          </w:p>
          <w:p w14:paraId="189155C1">
            <w:pPr>
              <w:rPr>
                <w:rFonts w:hint="eastAsia" w:ascii="宋体" w:hAnsi="宋体" w:eastAsia="宋体"/>
                <w:color w:val="auto"/>
                <w:sz w:val="21"/>
                <w:szCs w:val="21"/>
                <w:lang w:eastAsia="zh-CN"/>
              </w:rPr>
            </w:pPr>
            <w:r>
              <w:rPr>
                <w:rFonts w:hint="eastAsia" w:ascii="宋体" w:hAnsi="宋体" w:eastAsia="宋体"/>
                <w:color w:val="auto"/>
                <w:sz w:val="21"/>
                <w:szCs w:val="21"/>
                <w:lang w:eastAsia="zh-CN"/>
              </w:rPr>
              <w:t>③市优每个计1分；</w:t>
            </w:r>
          </w:p>
          <w:p w14:paraId="1A938337">
            <w:pPr>
              <w:rPr>
                <w:rFonts w:hint="eastAsia" w:ascii="宋体" w:hAnsi="宋体" w:eastAsia="宋体"/>
                <w:color w:val="auto"/>
                <w:sz w:val="21"/>
                <w:szCs w:val="21"/>
                <w:lang w:eastAsia="zh-CN"/>
              </w:rPr>
            </w:pPr>
            <w:r>
              <w:rPr>
                <w:rFonts w:hint="eastAsia" w:ascii="宋体" w:hAnsi="宋体" w:eastAsia="宋体"/>
                <w:color w:val="auto"/>
                <w:sz w:val="21"/>
                <w:szCs w:val="21"/>
                <w:lang w:eastAsia="zh-CN"/>
              </w:rPr>
              <w:t>投标人提供的项目获得多个奖项的，只按获得的最高级别奖计分；奖项有效期限自发证（文件）之日起算。</w:t>
            </w:r>
          </w:p>
          <w:p w14:paraId="281D8E01">
            <w:pPr>
              <w:rPr>
                <w:rFonts w:hint="eastAsia" w:ascii="宋体" w:hAnsi="宋体" w:eastAsia="宋体"/>
                <w:color w:val="auto"/>
                <w:sz w:val="21"/>
                <w:szCs w:val="21"/>
                <w:lang w:eastAsia="zh-CN"/>
              </w:rPr>
            </w:pPr>
          </w:p>
        </w:tc>
      </w:tr>
      <w:bookmarkEnd w:id="422"/>
      <w:bookmarkEnd w:id="423"/>
      <w:bookmarkEnd w:id="424"/>
      <w:bookmarkEnd w:id="425"/>
      <w:bookmarkEnd w:id="426"/>
      <w:bookmarkEnd w:id="427"/>
      <w:bookmarkEnd w:id="428"/>
      <w:bookmarkEnd w:id="429"/>
      <w:bookmarkEnd w:id="430"/>
      <w:bookmarkEnd w:id="431"/>
      <w:bookmarkEnd w:id="432"/>
      <w:tr w14:paraId="6A0556A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17" w:hRule="atLeast"/>
        </w:trPr>
        <w:tc>
          <w:tcPr>
            <w:tcW w:w="1022" w:type="dxa"/>
            <w:vMerge w:val="continue"/>
            <w:tcBorders>
              <w:right w:val="single" w:color="auto" w:sz="4" w:space="0"/>
            </w:tcBorders>
            <w:vAlign w:val="center"/>
          </w:tcPr>
          <w:p w14:paraId="1B68ADA6">
            <w:pPr>
              <w:rPr>
                <w:rFonts w:hint="eastAsia" w:ascii="宋体" w:hAnsi="宋体" w:eastAsia="宋体"/>
                <w:color w:val="auto"/>
                <w:sz w:val="21"/>
                <w:szCs w:val="21"/>
                <w:lang w:eastAsia="zh-CN"/>
              </w:rPr>
            </w:pPr>
          </w:p>
        </w:tc>
        <w:tc>
          <w:tcPr>
            <w:tcW w:w="1134" w:type="dxa"/>
            <w:vMerge w:val="continue"/>
            <w:tcBorders>
              <w:right w:val="single" w:color="auto" w:sz="4" w:space="0"/>
            </w:tcBorders>
            <w:vAlign w:val="center"/>
          </w:tcPr>
          <w:p w14:paraId="19DA7CE5">
            <w:pPr>
              <w:rPr>
                <w:rFonts w:hint="eastAsia" w:ascii="宋体" w:hAnsi="宋体" w:eastAsia="宋体"/>
                <w:color w:val="auto"/>
                <w:sz w:val="21"/>
                <w:szCs w:val="21"/>
                <w:lang w:eastAsia="zh-CN"/>
              </w:rPr>
            </w:pPr>
          </w:p>
        </w:tc>
        <w:tc>
          <w:tcPr>
            <w:tcW w:w="1672"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6DF60A85">
            <w:pPr>
              <w:widowControl/>
              <w:jc w:val="center"/>
              <w:rPr>
                <w:rFonts w:hint="eastAsia" w:ascii="宋体" w:hAnsi="宋体" w:eastAsia="宋体"/>
                <w:color w:val="auto"/>
                <w:sz w:val="21"/>
                <w:szCs w:val="21"/>
                <w:lang w:eastAsia="zh-CN"/>
              </w:rPr>
            </w:pPr>
            <w:r>
              <w:rPr>
                <w:rFonts w:hint="eastAsia" w:ascii="宋体" w:hAnsi="宋体" w:eastAsia="宋体"/>
                <w:color w:val="auto"/>
                <w:sz w:val="21"/>
                <w:szCs w:val="21"/>
                <w:lang w:eastAsia="zh-CN"/>
              </w:rPr>
              <w:t>投标人在开标之月前60个月内，监理过类似工程（6分）</w:t>
            </w:r>
          </w:p>
        </w:tc>
        <w:tc>
          <w:tcPr>
            <w:tcW w:w="1134" w:type="dxa"/>
            <w:tcBorders>
              <w:top w:val="single" w:color="auto" w:sz="4" w:space="0"/>
              <w:left w:val="single" w:color="auto" w:sz="4" w:space="0"/>
              <w:bottom w:val="single" w:color="auto" w:sz="4" w:space="0"/>
              <w:right w:val="single" w:color="auto" w:sz="4" w:space="0"/>
            </w:tcBorders>
            <w:vAlign w:val="center"/>
          </w:tcPr>
          <w:p w14:paraId="12FE8C67">
            <w:pPr>
              <w:jc w:val="center"/>
              <w:rPr>
                <w:rFonts w:hint="eastAsia" w:ascii="宋体" w:hAnsi="宋体" w:eastAsia="宋体"/>
                <w:color w:val="auto"/>
                <w:sz w:val="21"/>
                <w:szCs w:val="21"/>
                <w:u w:val="single"/>
                <w:lang w:eastAsia="zh-CN"/>
              </w:rPr>
            </w:pPr>
            <w:r>
              <w:rPr>
                <w:rFonts w:hint="eastAsia" w:ascii="宋体" w:hAnsi="宋体" w:eastAsia="宋体"/>
                <w:color w:val="auto"/>
                <w:sz w:val="21"/>
                <w:szCs w:val="21"/>
                <w:u w:val="single"/>
                <w:lang w:eastAsia="zh-CN"/>
              </w:rPr>
              <w:t>6分</w:t>
            </w:r>
          </w:p>
        </w:tc>
        <w:tc>
          <w:tcPr>
            <w:tcW w:w="4253" w:type="dxa"/>
            <w:tcBorders>
              <w:top w:val="single" w:color="auto" w:sz="4" w:space="0"/>
              <w:left w:val="single" w:color="auto" w:sz="4" w:space="0"/>
              <w:bottom w:val="single" w:color="auto" w:sz="4" w:space="0"/>
              <w:right w:val="single" w:color="auto" w:sz="4" w:space="0"/>
            </w:tcBorders>
            <w:tcMar>
              <w:left w:w="57" w:type="dxa"/>
              <w:right w:w="57" w:type="dxa"/>
            </w:tcMar>
          </w:tcPr>
          <w:p w14:paraId="4A5CF71A">
            <w:pPr>
              <w:rPr>
                <w:rFonts w:hint="eastAsia" w:ascii="宋体" w:hAnsi="宋体" w:eastAsia="宋体"/>
                <w:color w:val="auto"/>
                <w:sz w:val="21"/>
                <w:szCs w:val="21"/>
                <w:lang w:eastAsia="zh-CN"/>
              </w:rPr>
            </w:pPr>
            <w:r>
              <w:rPr>
                <w:rFonts w:hint="eastAsia" w:ascii="宋体" w:hAnsi="宋体" w:eastAsia="宋体"/>
                <w:color w:val="auto"/>
                <w:sz w:val="21"/>
                <w:szCs w:val="21"/>
                <w:lang w:eastAsia="zh-CN"/>
              </w:rPr>
              <w:t>投标人提供的开标之月（不含当月）前60个月内，除资格条件及总监要求的业绩外，监理过2个已完成的类似或近似项目的交工验收报告，主要施工图、监理合同、中标通知书原件中的2种或者2种以上资料计分。①监理的类似工程规模均等于或大于招标项目80%的每个项目计3分；</w:t>
            </w:r>
          </w:p>
          <w:p w14:paraId="6B807650">
            <w:pPr>
              <w:rPr>
                <w:rFonts w:hint="eastAsia" w:ascii="宋体" w:hAnsi="宋体" w:eastAsia="宋体"/>
                <w:color w:val="auto"/>
                <w:sz w:val="21"/>
                <w:szCs w:val="21"/>
                <w:lang w:eastAsia="zh-CN"/>
              </w:rPr>
            </w:pPr>
            <w:r>
              <w:rPr>
                <w:rFonts w:hint="eastAsia" w:ascii="宋体" w:hAnsi="宋体" w:eastAsia="宋体"/>
                <w:color w:val="auto"/>
                <w:sz w:val="21"/>
                <w:szCs w:val="21"/>
                <w:lang w:eastAsia="zh-CN"/>
              </w:rPr>
              <w:t>②有任一项指标小于招标项目80%的每个计2分；</w:t>
            </w:r>
          </w:p>
          <w:p w14:paraId="3A47BB0C">
            <w:pPr>
              <w:rPr>
                <w:rFonts w:hint="eastAsia" w:ascii="宋体" w:hAnsi="宋体" w:eastAsia="宋体"/>
                <w:color w:val="auto"/>
                <w:sz w:val="21"/>
                <w:szCs w:val="21"/>
                <w:lang w:eastAsia="zh-CN"/>
              </w:rPr>
            </w:pPr>
            <w:r>
              <w:rPr>
                <w:rFonts w:hint="eastAsia" w:ascii="宋体" w:hAnsi="宋体" w:eastAsia="宋体"/>
                <w:color w:val="auto"/>
                <w:sz w:val="21"/>
                <w:szCs w:val="21"/>
                <w:lang w:eastAsia="zh-CN"/>
              </w:rPr>
              <w:t>③近似招标项目（即和招标项目同为水运或水利项目监理即可，不限规模等）的每个项目计1分。</w:t>
            </w:r>
          </w:p>
          <w:p w14:paraId="6CDF890F">
            <w:pPr>
              <w:rPr>
                <w:rFonts w:hint="eastAsia" w:ascii="宋体" w:hAnsi="宋体" w:eastAsia="宋体"/>
                <w:color w:val="auto"/>
                <w:sz w:val="21"/>
                <w:szCs w:val="21"/>
                <w:lang w:eastAsia="zh-CN"/>
              </w:rPr>
            </w:pPr>
          </w:p>
          <w:p w14:paraId="5699EC26">
            <w:pPr>
              <w:rPr>
                <w:rFonts w:hint="eastAsia" w:ascii="宋体" w:hAnsi="宋体" w:eastAsia="宋体"/>
                <w:color w:val="auto"/>
                <w:sz w:val="21"/>
                <w:szCs w:val="21"/>
                <w:lang w:eastAsia="zh-CN"/>
              </w:rPr>
            </w:pPr>
            <w:r>
              <w:rPr>
                <w:rFonts w:hint="eastAsia" w:ascii="宋体" w:hAnsi="宋体" w:eastAsia="宋体"/>
                <w:color w:val="auto"/>
                <w:sz w:val="21"/>
                <w:szCs w:val="21"/>
                <w:lang w:eastAsia="zh-CN"/>
              </w:rPr>
              <w:t>评审依据：以上规模指监理费金额和建安费金额，主要施工图、监理合同、中标通知书原件扫描件中的2种或者2种以上资料计分</w:t>
            </w:r>
          </w:p>
        </w:tc>
      </w:tr>
    </w:tbl>
    <w:p w14:paraId="69D93CBF">
      <w:pPr>
        <w:tabs>
          <w:tab w:val="left" w:pos="867"/>
          <w:tab w:val="right" w:pos="8621"/>
        </w:tabs>
        <w:spacing w:line="360" w:lineRule="auto"/>
        <w:ind w:firstLine="420" w:firstLineChars="200"/>
        <w:rPr>
          <w:rFonts w:eastAsia="宋体" w:cs="宋体"/>
          <w:color w:val="auto"/>
          <w:sz w:val="21"/>
          <w:lang w:eastAsia="zh-CN" w:bidi="ar-SA"/>
        </w:rPr>
      </w:pPr>
    </w:p>
    <w:p w14:paraId="4DFC588F">
      <w:pPr>
        <w:tabs>
          <w:tab w:val="left" w:pos="867"/>
          <w:tab w:val="right" w:pos="8621"/>
        </w:tabs>
        <w:spacing w:line="360" w:lineRule="auto"/>
        <w:ind w:firstLine="420" w:firstLineChars="200"/>
        <w:rPr>
          <w:rFonts w:eastAsia="宋体" w:cs="宋体"/>
          <w:color w:val="auto"/>
          <w:sz w:val="21"/>
          <w:lang w:eastAsia="zh-CN" w:bidi="ar-SA"/>
        </w:rPr>
      </w:pPr>
    </w:p>
    <w:tbl>
      <w:tblPr>
        <w:tblStyle w:val="47"/>
        <w:tblW w:w="9215"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22"/>
        <w:gridCol w:w="1134"/>
        <w:gridCol w:w="7059"/>
      </w:tblGrid>
      <w:tr w14:paraId="7DEE646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608" w:hRule="atLeast"/>
          <w:jc w:val="center"/>
        </w:trPr>
        <w:tc>
          <w:tcPr>
            <w:tcW w:w="1022" w:type="dxa"/>
            <w:tcBorders>
              <w:top w:val="single" w:color="auto" w:sz="4" w:space="0"/>
              <w:left w:val="single" w:color="auto" w:sz="4" w:space="0"/>
              <w:bottom w:val="single" w:color="auto" w:sz="4" w:space="0"/>
              <w:right w:val="single" w:color="auto" w:sz="4" w:space="0"/>
            </w:tcBorders>
            <w:vAlign w:val="center"/>
          </w:tcPr>
          <w:p w14:paraId="64DE3260">
            <w:pPr>
              <w:jc w:val="center"/>
              <w:rPr>
                <w:rFonts w:hint="eastAsia" w:ascii="宋体" w:hAnsi="宋体" w:eastAsia="宋体"/>
                <w:color w:val="auto"/>
                <w:sz w:val="21"/>
                <w:szCs w:val="21"/>
                <w:lang w:eastAsia="zh-CN"/>
              </w:rPr>
            </w:pPr>
            <w:r>
              <w:rPr>
                <w:rFonts w:ascii="宋体" w:hAnsi="宋体" w:eastAsia="宋体"/>
                <w:color w:val="auto"/>
                <w:sz w:val="21"/>
                <w:szCs w:val="21"/>
              </w:rPr>
              <w:t>2.2.</w:t>
            </w:r>
            <w:r>
              <w:rPr>
                <w:rFonts w:hint="eastAsia" w:ascii="宋体" w:hAnsi="宋体" w:eastAsia="宋体"/>
                <w:color w:val="auto"/>
                <w:sz w:val="21"/>
                <w:szCs w:val="21"/>
                <w:lang w:eastAsia="zh-CN"/>
              </w:rPr>
              <w:t>6</w:t>
            </w:r>
          </w:p>
        </w:tc>
        <w:tc>
          <w:tcPr>
            <w:tcW w:w="1134" w:type="dxa"/>
            <w:tcBorders>
              <w:top w:val="single" w:color="auto" w:sz="4" w:space="0"/>
              <w:left w:val="single" w:color="auto" w:sz="4" w:space="0"/>
              <w:bottom w:val="single" w:color="auto" w:sz="4" w:space="0"/>
              <w:right w:val="single" w:color="auto" w:sz="4" w:space="0"/>
            </w:tcBorders>
            <w:vAlign w:val="center"/>
          </w:tcPr>
          <w:p w14:paraId="3B3F7134">
            <w:pPr>
              <w:jc w:val="center"/>
              <w:rPr>
                <w:rFonts w:hint="eastAsia" w:ascii="宋体" w:hAnsi="宋体" w:eastAsia="宋体"/>
                <w:color w:val="auto"/>
                <w:sz w:val="21"/>
                <w:szCs w:val="21"/>
                <w:lang w:eastAsia="zh-CN"/>
              </w:rPr>
            </w:pPr>
            <w:r>
              <w:rPr>
                <w:rFonts w:ascii="宋体" w:hAnsi="宋体" w:eastAsia="宋体"/>
                <w:color w:val="auto"/>
                <w:sz w:val="21"/>
                <w:szCs w:val="21"/>
                <w:lang w:eastAsia="zh-CN"/>
              </w:rPr>
              <w:t>投标报价评分标准</w:t>
            </w:r>
          </w:p>
          <w:p w14:paraId="0BE6BA0D">
            <w:pPr>
              <w:jc w:val="center"/>
              <w:rPr>
                <w:rFonts w:hint="eastAsia" w:ascii="宋体" w:hAnsi="宋体" w:eastAsia="宋体"/>
                <w:color w:val="auto"/>
                <w:sz w:val="21"/>
                <w:szCs w:val="21"/>
                <w:lang w:eastAsia="zh-CN"/>
              </w:rPr>
            </w:pPr>
            <w:r>
              <w:rPr>
                <w:rFonts w:hint="eastAsia" w:ascii="宋体" w:hAnsi="宋体" w:eastAsia="宋体"/>
                <w:color w:val="auto"/>
                <w:sz w:val="21"/>
                <w:szCs w:val="21"/>
                <w:lang w:eastAsia="zh-CN"/>
              </w:rPr>
              <w:t>（</w:t>
            </w:r>
            <w:r>
              <w:rPr>
                <w:rFonts w:ascii="宋体" w:hAnsi="宋体" w:eastAsia="宋体"/>
                <w:color w:val="auto"/>
                <w:sz w:val="21"/>
                <w:szCs w:val="21"/>
                <w:lang w:eastAsia="zh-CN"/>
              </w:rPr>
              <w:t>1</w:t>
            </w:r>
            <w:r>
              <w:rPr>
                <w:rFonts w:hint="eastAsia" w:ascii="宋体" w:hAnsi="宋体" w:eastAsia="宋体"/>
                <w:color w:val="auto"/>
                <w:sz w:val="21"/>
                <w:szCs w:val="21"/>
                <w:lang w:eastAsia="zh-CN"/>
              </w:rPr>
              <w:t>0分）</w:t>
            </w:r>
          </w:p>
        </w:tc>
        <w:tc>
          <w:tcPr>
            <w:tcW w:w="7059" w:type="dxa"/>
            <w:tcBorders>
              <w:top w:val="single" w:color="auto" w:sz="4" w:space="0"/>
              <w:left w:val="single" w:color="auto" w:sz="4" w:space="0"/>
              <w:right w:val="single" w:color="auto" w:sz="4" w:space="0"/>
            </w:tcBorders>
          </w:tcPr>
          <w:p w14:paraId="2D7C3640">
            <w:pPr>
              <w:rPr>
                <w:rFonts w:hint="eastAsia" w:ascii="宋体" w:hAnsi="宋体" w:eastAsia="宋体"/>
                <w:color w:val="auto"/>
                <w:sz w:val="21"/>
                <w:szCs w:val="21"/>
                <w:lang w:eastAsia="zh-CN"/>
              </w:rPr>
            </w:pPr>
            <w:r>
              <w:rPr>
                <w:rFonts w:hint="eastAsia" w:ascii="宋体" w:hAnsi="宋体" w:eastAsia="宋体"/>
                <w:color w:val="auto"/>
                <w:sz w:val="21"/>
                <w:szCs w:val="21"/>
                <w:lang w:eastAsia="zh-CN"/>
              </w:rPr>
              <w:t>评标价得分计算公式示例：</w:t>
            </w:r>
          </w:p>
          <w:p w14:paraId="113A1191">
            <w:pPr>
              <w:rPr>
                <w:rFonts w:hint="eastAsia" w:ascii="宋体" w:hAnsi="宋体" w:eastAsia="宋体"/>
                <w:color w:val="auto"/>
                <w:sz w:val="21"/>
                <w:szCs w:val="21"/>
                <w:lang w:eastAsia="zh-CN"/>
              </w:rPr>
            </w:pPr>
            <w:r>
              <w:rPr>
                <w:rFonts w:hint="eastAsia" w:ascii="宋体" w:hAnsi="宋体" w:eastAsia="宋体"/>
                <w:color w:val="auto"/>
                <w:sz w:val="21"/>
                <w:szCs w:val="21"/>
                <w:lang w:eastAsia="zh-CN"/>
              </w:rPr>
              <w:t>（</w:t>
            </w:r>
            <w:r>
              <w:rPr>
                <w:rFonts w:ascii="宋体" w:hAnsi="宋体" w:eastAsia="宋体"/>
                <w:color w:val="auto"/>
                <w:sz w:val="21"/>
                <w:szCs w:val="21"/>
                <w:lang w:eastAsia="zh-CN"/>
              </w:rPr>
              <w:t>1</w:t>
            </w:r>
            <w:r>
              <w:rPr>
                <w:rFonts w:hint="eastAsia" w:ascii="宋体" w:hAnsi="宋体" w:eastAsia="宋体"/>
                <w:color w:val="auto"/>
                <w:sz w:val="21"/>
                <w:szCs w:val="21"/>
                <w:lang w:eastAsia="zh-CN"/>
              </w:rPr>
              <w:t>）如果投标人的评标价＞评标基准价，则评标价得分</w:t>
            </w:r>
            <w:r>
              <w:rPr>
                <w:rFonts w:ascii="宋体" w:hAnsi="宋体" w:eastAsia="宋体"/>
                <w:color w:val="auto"/>
                <w:sz w:val="21"/>
                <w:szCs w:val="21"/>
                <w:lang w:eastAsia="zh-CN"/>
              </w:rPr>
              <w:t>=F-</w:t>
            </w:r>
            <w:r>
              <w:rPr>
                <w:rFonts w:hint="eastAsia" w:ascii="宋体" w:hAnsi="宋体" w:eastAsia="宋体"/>
                <w:color w:val="auto"/>
                <w:sz w:val="21"/>
                <w:szCs w:val="21"/>
                <w:lang w:eastAsia="zh-CN"/>
              </w:rPr>
              <w:t>偏差率×</w:t>
            </w:r>
            <w:r>
              <w:rPr>
                <w:rFonts w:ascii="宋体" w:hAnsi="宋体" w:eastAsia="宋体"/>
                <w:color w:val="auto"/>
                <w:sz w:val="21"/>
                <w:szCs w:val="21"/>
                <w:lang w:eastAsia="zh-CN"/>
              </w:rPr>
              <w:t>100×E1</w:t>
            </w:r>
            <w:r>
              <w:rPr>
                <w:rFonts w:hint="eastAsia" w:ascii="宋体" w:hAnsi="宋体" w:eastAsia="宋体"/>
                <w:color w:val="auto"/>
                <w:sz w:val="21"/>
                <w:szCs w:val="21"/>
                <w:lang w:eastAsia="zh-CN"/>
              </w:rPr>
              <w:t>；</w:t>
            </w:r>
          </w:p>
          <w:p w14:paraId="7BC092C2">
            <w:pPr>
              <w:rPr>
                <w:rFonts w:hint="eastAsia" w:ascii="宋体" w:hAnsi="宋体" w:eastAsia="宋体"/>
                <w:color w:val="auto"/>
                <w:sz w:val="21"/>
                <w:szCs w:val="21"/>
                <w:lang w:eastAsia="zh-CN"/>
              </w:rPr>
            </w:pPr>
            <w:r>
              <w:rPr>
                <w:rFonts w:hint="eastAsia" w:ascii="宋体" w:hAnsi="宋体" w:eastAsia="宋体"/>
                <w:color w:val="auto"/>
                <w:sz w:val="21"/>
                <w:szCs w:val="21"/>
                <w:lang w:eastAsia="zh-CN"/>
              </w:rPr>
              <w:t>（</w:t>
            </w:r>
            <w:r>
              <w:rPr>
                <w:rFonts w:ascii="宋体" w:hAnsi="宋体" w:eastAsia="宋体"/>
                <w:color w:val="auto"/>
                <w:sz w:val="21"/>
                <w:szCs w:val="21"/>
                <w:lang w:eastAsia="zh-CN"/>
              </w:rPr>
              <w:t>2</w:t>
            </w:r>
            <w:r>
              <w:rPr>
                <w:rFonts w:hint="eastAsia" w:ascii="宋体" w:hAnsi="宋体" w:eastAsia="宋体"/>
                <w:color w:val="auto"/>
                <w:sz w:val="21"/>
                <w:szCs w:val="21"/>
                <w:lang w:eastAsia="zh-CN"/>
              </w:rPr>
              <w:t>）如果投标人的评标价≦评标基准价，则评标价得分</w:t>
            </w:r>
            <w:r>
              <w:rPr>
                <w:rFonts w:ascii="宋体" w:hAnsi="宋体" w:eastAsia="宋体"/>
                <w:color w:val="auto"/>
                <w:sz w:val="21"/>
                <w:szCs w:val="21"/>
                <w:lang w:eastAsia="zh-CN"/>
              </w:rPr>
              <w:t>=F</w:t>
            </w:r>
            <w:r>
              <w:rPr>
                <w:rFonts w:hint="eastAsia" w:ascii="宋体" w:hAnsi="宋体" w:eastAsia="宋体"/>
                <w:color w:val="auto"/>
                <w:sz w:val="21"/>
                <w:szCs w:val="21"/>
                <w:lang w:eastAsia="zh-CN"/>
              </w:rPr>
              <w:t>＋偏差率×</w:t>
            </w:r>
            <w:r>
              <w:rPr>
                <w:rFonts w:ascii="宋体" w:hAnsi="宋体" w:eastAsia="宋体"/>
                <w:color w:val="auto"/>
                <w:sz w:val="21"/>
                <w:szCs w:val="21"/>
                <w:lang w:eastAsia="zh-CN"/>
              </w:rPr>
              <w:t>100×E2</w:t>
            </w:r>
            <w:r>
              <w:rPr>
                <w:rFonts w:hint="eastAsia" w:ascii="宋体" w:hAnsi="宋体" w:eastAsia="宋体"/>
                <w:color w:val="auto"/>
                <w:sz w:val="21"/>
                <w:szCs w:val="21"/>
                <w:lang w:eastAsia="zh-CN"/>
              </w:rPr>
              <w:t>。</w:t>
            </w:r>
          </w:p>
          <w:p w14:paraId="25CB0754">
            <w:pPr>
              <w:rPr>
                <w:rFonts w:hint="eastAsia" w:ascii="宋体" w:hAnsi="宋体" w:eastAsia="宋体"/>
                <w:color w:val="auto"/>
                <w:sz w:val="21"/>
                <w:szCs w:val="21"/>
                <w:lang w:eastAsia="zh-CN"/>
              </w:rPr>
            </w:pPr>
            <w:r>
              <w:rPr>
                <w:rFonts w:hint="eastAsia" w:ascii="宋体" w:hAnsi="宋体" w:eastAsia="宋体"/>
                <w:color w:val="auto"/>
                <w:sz w:val="21"/>
                <w:szCs w:val="21"/>
                <w:lang w:eastAsia="zh-CN"/>
              </w:rPr>
              <w:t>本项目</w:t>
            </w:r>
            <w:r>
              <w:rPr>
                <w:rFonts w:ascii="宋体" w:hAnsi="宋体" w:eastAsia="宋体"/>
                <w:color w:val="auto"/>
                <w:sz w:val="21"/>
                <w:szCs w:val="21"/>
                <w:lang w:eastAsia="zh-CN"/>
              </w:rPr>
              <w:t>F=10</w:t>
            </w:r>
            <w:r>
              <w:rPr>
                <w:rFonts w:hint="eastAsia" w:ascii="宋体" w:hAnsi="宋体" w:eastAsia="宋体"/>
                <w:color w:val="auto"/>
                <w:sz w:val="21"/>
                <w:szCs w:val="21"/>
                <w:lang w:eastAsia="zh-CN"/>
              </w:rPr>
              <w:t>，</w:t>
            </w:r>
            <w:r>
              <w:rPr>
                <w:rFonts w:ascii="宋体" w:hAnsi="宋体" w:eastAsia="宋体"/>
                <w:color w:val="auto"/>
                <w:sz w:val="21"/>
                <w:szCs w:val="21"/>
                <w:lang w:eastAsia="zh-CN"/>
              </w:rPr>
              <w:t>E1=0.5</w:t>
            </w:r>
            <w:r>
              <w:rPr>
                <w:rFonts w:hint="eastAsia" w:ascii="宋体" w:hAnsi="宋体" w:eastAsia="宋体"/>
                <w:color w:val="auto"/>
                <w:sz w:val="21"/>
                <w:szCs w:val="21"/>
                <w:lang w:eastAsia="zh-CN"/>
              </w:rPr>
              <w:t>，</w:t>
            </w:r>
            <w:r>
              <w:rPr>
                <w:rFonts w:ascii="宋体" w:hAnsi="宋体" w:eastAsia="宋体"/>
                <w:color w:val="auto"/>
                <w:sz w:val="21"/>
                <w:szCs w:val="21"/>
                <w:lang w:eastAsia="zh-CN"/>
              </w:rPr>
              <w:t>E2=0.3</w:t>
            </w:r>
            <w:r>
              <w:rPr>
                <w:rFonts w:hint="eastAsia" w:ascii="宋体" w:hAnsi="宋体" w:eastAsia="宋体"/>
                <w:color w:val="auto"/>
                <w:sz w:val="21"/>
                <w:szCs w:val="21"/>
                <w:lang w:eastAsia="zh-CN"/>
              </w:rPr>
              <w:t>。</w:t>
            </w:r>
          </w:p>
          <w:p w14:paraId="78E4D5E3">
            <w:pPr>
              <w:rPr>
                <w:rFonts w:hint="eastAsia" w:ascii="宋体" w:hAnsi="宋体" w:eastAsia="宋体"/>
                <w:color w:val="auto"/>
                <w:sz w:val="21"/>
                <w:szCs w:val="21"/>
                <w:lang w:eastAsia="zh-CN"/>
              </w:rPr>
            </w:pPr>
            <w:r>
              <w:rPr>
                <w:rFonts w:hint="eastAsia" w:ascii="宋体" w:hAnsi="宋体" w:eastAsia="宋体"/>
                <w:color w:val="auto"/>
                <w:sz w:val="21"/>
                <w:szCs w:val="21"/>
                <w:lang w:eastAsia="zh-CN"/>
              </w:rPr>
              <w:t>其中：</w:t>
            </w:r>
            <w:r>
              <w:rPr>
                <w:rFonts w:ascii="宋体" w:hAnsi="宋体" w:eastAsia="宋体"/>
                <w:color w:val="auto"/>
                <w:sz w:val="21"/>
                <w:szCs w:val="21"/>
                <w:lang w:eastAsia="zh-CN"/>
              </w:rPr>
              <w:t>F</w:t>
            </w:r>
            <w:r>
              <w:rPr>
                <w:rFonts w:hint="eastAsia" w:ascii="宋体" w:hAnsi="宋体" w:eastAsia="宋体"/>
                <w:color w:val="auto"/>
                <w:sz w:val="21"/>
                <w:szCs w:val="21"/>
                <w:lang w:eastAsia="zh-CN"/>
              </w:rPr>
              <w:t>是评标价所占的权重分值，</w:t>
            </w:r>
            <w:r>
              <w:rPr>
                <w:rFonts w:ascii="宋体" w:hAnsi="宋体" w:eastAsia="宋体"/>
                <w:color w:val="auto"/>
                <w:sz w:val="21"/>
                <w:szCs w:val="21"/>
                <w:lang w:eastAsia="zh-CN"/>
              </w:rPr>
              <w:t>E1</w:t>
            </w:r>
            <w:r>
              <w:rPr>
                <w:rFonts w:hint="eastAsia" w:ascii="宋体" w:hAnsi="宋体" w:eastAsia="宋体"/>
                <w:color w:val="auto"/>
                <w:sz w:val="21"/>
                <w:szCs w:val="21"/>
                <w:lang w:eastAsia="zh-CN"/>
              </w:rPr>
              <w:t>是评标价每高于评标基准价一个百分点的扣分值，</w:t>
            </w:r>
            <w:r>
              <w:rPr>
                <w:rFonts w:ascii="宋体" w:hAnsi="宋体" w:eastAsia="宋体"/>
                <w:color w:val="auto"/>
                <w:sz w:val="21"/>
                <w:szCs w:val="21"/>
                <w:lang w:eastAsia="zh-CN"/>
              </w:rPr>
              <w:t>E2</w:t>
            </w:r>
            <w:r>
              <w:rPr>
                <w:rFonts w:hint="eastAsia" w:ascii="宋体" w:hAnsi="宋体" w:eastAsia="宋体"/>
                <w:color w:val="auto"/>
                <w:sz w:val="21"/>
                <w:szCs w:val="21"/>
                <w:lang w:eastAsia="zh-CN"/>
              </w:rPr>
              <w:t>是评标价每低于评标基准价一个百分点的扣分值；评标价得分保留小数点后九位，小数点后第十位“四舍五入”。</w:t>
            </w:r>
          </w:p>
        </w:tc>
      </w:tr>
    </w:tbl>
    <w:p w14:paraId="3D8E4524">
      <w:pPr>
        <w:tabs>
          <w:tab w:val="left" w:pos="867"/>
          <w:tab w:val="right" w:pos="8621"/>
        </w:tabs>
        <w:spacing w:line="360" w:lineRule="auto"/>
        <w:ind w:firstLine="420" w:firstLineChars="200"/>
        <w:rPr>
          <w:rFonts w:eastAsia="宋体" w:cs="宋体"/>
          <w:color w:val="auto"/>
          <w:sz w:val="21"/>
          <w:lang w:eastAsia="zh-CN" w:bidi="ar-SA"/>
        </w:rPr>
      </w:pPr>
      <w:r>
        <w:rPr>
          <w:rFonts w:eastAsia="宋体" w:cs="宋体"/>
          <w:color w:val="auto"/>
          <w:sz w:val="21"/>
          <w:lang w:eastAsia="zh-CN" w:bidi="ar-SA"/>
        </w:rPr>
        <w:tab/>
      </w:r>
      <w:r>
        <w:rPr>
          <w:rFonts w:eastAsia="宋体" w:cs="宋体"/>
          <w:color w:val="auto"/>
          <w:sz w:val="21"/>
          <w:lang w:eastAsia="zh-CN" w:bidi="ar-SA"/>
        </w:rPr>
        <w:br w:type="page"/>
      </w:r>
    </w:p>
    <w:bookmarkEnd w:id="421"/>
    <w:p w14:paraId="15FF56D0">
      <w:pPr>
        <w:pStyle w:val="6"/>
        <w:numPr>
          <w:ilvl w:val="0"/>
          <w:numId w:val="1"/>
        </w:numPr>
        <w:adjustRightInd w:val="0"/>
        <w:snapToGrid w:val="0"/>
        <w:spacing w:before="240" w:after="240" w:line="240" w:lineRule="auto"/>
        <w:jc w:val="both"/>
        <w:rPr>
          <w:rFonts w:ascii="Times New Roman" w:hAnsi="Times New Roman"/>
          <w:color w:val="auto"/>
          <w:kern w:val="28"/>
          <w:sz w:val="28"/>
          <w:szCs w:val="28"/>
        </w:rPr>
      </w:pPr>
      <w:bookmarkStart w:id="433" w:name="_Toc27576868"/>
      <w:r>
        <w:rPr>
          <w:rFonts w:hint="eastAsia" w:ascii="Times New Roman" w:hAnsi="Times New Roman"/>
          <w:color w:val="auto"/>
          <w:kern w:val="28"/>
          <w:sz w:val="28"/>
          <w:szCs w:val="28"/>
          <w:lang w:eastAsia="zh-CN"/>
        </w:rPr>
        <w:t xml:space="preserve"> </w:t>
      </w:r>
      <w:bookmarkStart w:id="434" w:name="_Toc40000175"/>
      <w:bookmarkStart w:id="435" w:name="_Toc736"/>
      <w:r>
        <w:rPr>
          <w:rFonts w:hint="eastAsia" w:ascii="Times New Roman" w:hAnsi="Times New Roman"/>
          <w:color w:val="auto"/>
          <w:kern w:val="28"/>
          <w:sz w:val="28"/>
          <w:szCs w:val="28"/>
        </w:rPr>
        <w:t>评标方法</w:t>
      </w:r>
      <w:bookmarkEnd w:id="433"/>
      <w:bookmarkEnd w:id="434"/>
      <w:bookmarkEnd w:id="435"/>
    </w:p>
    <w:p w14:paraId="7FB23024">
      <w:pPr>
        <w:adjustRightInd w:val="0"/>
        <w:snapToGrid w:val="0"/>
        <w:spacing w:line="360" w:lineRule="auto"/>
        <w:ind w:firstLine="480" w:firstLineChars="200"/>
        <w:rPr>
          <w:color w:val="auto"/>
          <w:lang w:eastAsia="zh-CN"/>
        </w:rPr>
      </w:pPr>
      <w:r>
        <w:rPr>
          <w:rFonts w:hint="eastAsia"/>
          <w:color w:val="auto"/>
          <w:lang w:eastAsia="zh-CN"/>
        </w:rPr>
        <w:t>本次评标采用综合评估法。评标委员会对满足招标文件实质性要求的投标文件，按照本章第2.2款规定的评分标准进行打分，并按得分由高到低顺序推荐中标候选人，或根据招标人授权直接确定中标人，但投标报价低于其成本的除外。综合评分相等时，</w:t>
      </w:r>
      <w:r>
        <w:rPr>
          <w:rFonts w:hint="eastAsia" w:ascii="宋体" w:hAnsi="宋体" w:eastAsia="宋体" w:cs="宋体"/>
          <w:color w:val="auto"/>
          <w:lang w:eastAsia="zh-CN"/>
        </w:rPr>
        <w:t>以投标报价低的优先；投标报价也相等的，招标人自行确定（招标人自行确定的标准和方法在招标文件中说明）。</w:t>
      </w:r>
    </w:p>
    <w:p w14:paraId="71EDD953">
      <w:pPr>
        <w:pStyle w:val="6"/>
        <w:numPr>
          <w:ilvl w:val="0"/>
          <w:numId w:val="1"/>
        </w:numPr>
        <w:adjustRightInd w:val="0"/>
        <w:snapToGrid w:val="0"/>
        <w:spacing w:before="240" w:after="240" w:line="240" w:lineRule="auto"/>
        <w:jc w:val="both"/>
        <w:rPr>
          <w:rFonts w:ascii="Times New Roman" w:hAnsi="Times New Roman"/>
          <w:color w:val="auto"/>
          <w:kern w:val="28"/>
          <w:sz w:val="28"/>
          <w:szCs w:val="28"/>
        </w:rPr>
      </w:pPr>
      <w:bookmarkStart w:id="436" w:name="_Toc40000176"/>
      <w:bookmarkStart w:id="437" w:name="_Toc17054"/>
      <w:r>
        <w:rPr>
          <w:rFonts w:hint="eastAsia" w:ascii="Times New Roman" w:hAnsi="Times New Roman"/>
          <w:color w:val="auto"/>
          <w:kern w:val="28"/>
          <w:sz w:val="28"/>
          <w:szCs w:val="28"/>
        </w:rPr>
        <w:t>评审标准</w:t>
      </w:r>
      <w:bookmarkEnd w:id="436"/>
      <w:bookmarkEnd w:id="437"/>
    </w:p>
    <w:p w14:paraId="4CB735EB">
      <w:pPr>
        <w:pStyle w:val="7"/>
        <w:spacing w:before="120" w:after="120"/>
        <w:rPr>
          <w:color w:val="auto"/>
          <w:sz w:val="24"/>
          <w:szCs w:val="24"/>
        </w:rPr>
      </w:pPr>
      <w:bookmarkStart w:id="438" w:name="_Toc23249"/>
      <w:r>
        <w:rPr>
          <w:rFonts w:hint="eastAsia"/>
          <w:color w:val="auto"/>
          <w:sz w:val="24"/>
          <w:szCs w:val="24"/>
        </w:rPr>
        <w:t>2.1 初步评审标准</w:t>
      </w:r>
      <w:bookmarkEnd w:id="438"/>
    </w:p>
    <w:p w14:paraId="2B9C6073">
      <w:pPr>
        <w:spacing w:line="360" w:lineRule="auto"/>
        <w:ind w:firstLine="480"/>
        <w:rPr>
          <w:color w:val="auto"/>
          <w:lang w:eastAsia="zh-CN"/>
        </w:rPr>
      </w:pPr>
      <w:r>
        <w:rPr>
          <w:rFonts w:hint="eastAsia"/>
          <w:color w:val="auto"/>
          <w:lang w:eastAsia="zh-CN"/>
        </w:rPr>
        <w:t>2.1.1</w:t>
      </w:r>
      <w:r>
        <w:rPr>
          <w:color w:val="auto"/>
          <w:lang w:eastAsia="zh-CN"/>
        </w:rPr>
        <w:t xml:space="preserve"> </w:t>
      </w:r>
      <w:r>
        <w:rPr>
          <w:rFonts w:hint="eastAsia" w:ascii="宋体" w:hAnsi="宋体" w:eastAsia="宋体" w:cs="宋体"/>
          <w:color w:val="auto"/>
          <w:lang w:eastAsia="zh-CN"/>
        </w:rPr>
        <w:t>商务及技术文件</w:t>
      </w:r>
      <w:r>
        <w:rPr>
          <w:color w:val="auto"/>
          <w:lang w:eastAsia="zh-CN"/>
        </w:rPr>
        <w:t>形式评审标准：见评标办法前附表</w:t>
      </w:r>
      <w:r>
        <w:rPr>
          <w:rFonts w:hint="eastAsia"/>
          <w:color w:val="auto"/>
          <w:lang w:eastAsia="zh-CN"/>
        </w:rPr>
        <w:t>。</w:t>
      </w:r>
    </w:p>
    <w:p w14:paraId="292CDAB8">
      <w:pPr>
        <w:spacing w:line="360" w:lineRule="auto"/>
        <w:ind w:firstLine="480"/>
        <w:rPr>
          <w:color w:val="auto"/>
          <w:lang w:eastAsia="zh-CN"/>
        </w:rPr>
      </w:pPr>
      <w:r>
        <w:rPr>
          <w:rFonts w:hint="eastAsia"/>
          <w:color w:val="auto"/>
          <w:lang w:eastAsia="zh-CN"/>
        </w:rPr>
        <w:t>2.1.2</w:t>
      </w:r>
      <w:r>
        <w:rPr>
          <w:color w:val="auto"/>
          <w:lang w:eastAsia="zh-CN"/>
        </w:rPr>
        <w:t xml:space="preserve"> </w:t>
      </w:r>
      <w:r>
        <w:rPr>
          <w:rFonts w:hint="eastAsia" w:ascii="宋体" w:hAnsi="宋体" w:eastAsia="宋体" w:cs="宋体"/>
          <w:color w:val="auto"/>
          <w:lang w:eastAsia="zh-CN"/>
        </w:rPr>
        <w:t>商务及技术文件</w:t>
      </w:r>
      <w:r>
        <w:rPr>
          <w:rFonts w:hint="eastAsia"/>
          <w:color w:val="auto"/>
          <w:lang w:eastAsia="zh-CN"/>
        </w:rPr>
        <w:t>资格评审标准：见评标办法前附表。</w:t>
      </w:r>
    </w:p>
    <w:p w14:paraId="38CF8E80">
      <w:pPr>
        <w:spacing w:line="360" w:lineRule="auto"/>
        <w:ind w:firstLine="480"/>
        <w:rPr>
          <w:color w:val="auto"/>
          <w:lang w:eastAsia="zh-CN"/>
        </w:rPr>
      </w:pPr>
      <w:r>
        <w:rPr>
          <w:rFonts w:hint="eastAsia"/>
          <w:color w:val="auto"/>
          <w:lang w:eastAsia="zh-CN"/>
        </w:rPr>
        <w:t>2.1.3</w:t>
      </w:r>
      <w:r>
        <w:rPr>
          <w:color w:val="auto"/>
          <w:lang w:eastAsia="zh-CN"/>
        </w:rPr>
        <w:t xml:space="preserve"> </w:t>
      </w:r>
      <w:r>
        <w:rPr>
          <w:rFonts w:hint="eastAsia" w:ascii="宋体" w:hAnsi="宋体" w:eastAsia="宋体" w:cs="宋体"/>
          <w:color w:val="auto"/>
          <w:lang w:eastAsia="zh-CN"/>
        </w:rPr>
        <w:t>商务及技术文件</w:t>
      </w:r>
      <w:r>
        <w:rPr>
          <w:color w:val="auto"/>
          <w:lang w:eastAsia="zh-CN"/>
        </w:rPr>
        <w:t>响应性评审标准：见评标办法前附表。</w:t>
      </w:r>
    </w:p>
    <w:p w14:paraId="0D9A8D2F">
      <w:pPr>
        <w:spacing w:line="360" w:lineRule="auto"/>
        <w:ind w:firstLine="480"/>
        <w:rPr>
          <w:rFonts w:eastAsiaTheme="minorEastAsia"/>
          <w:color w:val="auto"/>
          <w:lang w:eastAsia="zh-CN"/>
        </w:rPr>
      </w:pPr>
      <w:r>
        <w:rPr>
          <w:rFonts w:hint="eastAsia" w:eastAsiaTheme="minorEastAsia"/>
          <w:color w:val="auto"/>
          <w:lang w:eastAsia="zh-CN"/>
        </w:rPr>
        <w:t>2</w:t>
      </w:r>
      <w:r>
        <w:rPr>
          <w:rFonts w:eastAsiaTheme="minorEastAsia"/>
          <w:color w:val="auto"/>
          <w:lang w:eastAsia="zh-CN"/>
        </w:rPr>
        <w:t xml:space="preserve">.1.4  </w:t>
      </w:r>
      <w:r>
        <w:rPr>
          <w:rFonts w:hint="eastAsia" w:eastAsiaTheme="minorEastAsia"/>
          <w:color w:val="auto"/>
          <w:lang w:eastAsia="zh-CN"/>
        </w:rPr>
        <w:t>报价文件初步评审：见评标办法前附表。</w:t>
      </w:r>
    </w:p>
    <w:p w14:paraId="7D26FEE4">
      <w:pPr>
        <w:pStyle w:val="7"/>
        <w:spacing w:before="120" w:after="120"/>
        <w:rPr>
          <w:color w:val="auto"/>
          <w:sz w:val="24"/>
          <w:szCs w:val="24"/>
          <w:lang w:eastAsia="zh-CN"/>
        </w:rPr>
      </w:pPr>
      <w:bookmarkStart w:id="439" w:name="_Toc24737"/>
      <w:r>
        <w:rPr>
          <w:rFonts w:hint="eastAsia"/>
          <w:color w:val="auto"/>
          <w:sz w:val="24"/>
          <w:szCs w:val="24"/>
          <w:lang w:eastAsia="zh-CN"/>
        </w:rPr>
        <w:t>2.2</w:t>
      </w:r>
      <w:r>
        <w:rPr>
          <w:rFonts w:hint="eastAsia"/>
          <w:color w:val="auto"/>
          <w:sz w:val="24"/>
          <w:szCs w:val="24"/>
          <w:lang w:eastAsia="zh-CN"/>
        </w:rPr>
        <w:tab/>
      </w:r>
      <w:r>
        <w:rPr>
          <w:rFonts w:hint="eastAsia"/>
          <w:color w:val="auto"/>
          <w:sz w:val="24"/>
          <w:szCs w:val="24"/>
          <w:lang w:eastAsia="zh-CN"/>
        </w:rPr>
        <w:t>分值构成与评分标准</w:t>
      </w:r>
      <w:bookmarkEnd w:id="439"/>
    </w:p>
    <w:p w14:paraId="5C0D6138">
      <w:pPr>
        <w:spacing w:line="360" w:lineRule="auto"/>
        <w:ind w:firstLine="480"/>
        <w:rPr>
          <w:color w:val="auto"/>
          <w:lang w:eastAsia="zh-CN"/>
        </w:rPr>
      </w:pPr>
      <w:r>
        <w:rPr>
          <w:rFonts w:hint="eastAsia"/>
          <w:color w:val="auto"/>
          <w:lang w:eastAsia="zh-CN"/>
        </w:rPr>
        <w:t>2.2.1分值构成</w:t>
      </w:r>
    </w:p>
    <w:p w14:paraId="08578CDF">
      <w:pPr>
        <w:spacing w:line="360" w:lineRule="auto"/>
        <w:ind w:firstLine="480"/>
        <w:rPr>
          <w:color w:val="auto"/>
          <w:lang w:eastAsia="zh-CN"/>
        </w:rPr>
      </w:pPr>
      <w:r>
        <w:rPr>
          <w:rFonts w:hint="eastAsia"/>
          <w:color w:val="auto"/>
          <w:lang w:eastAsia="zh-CN"/>
        </w:rPr>
        <w:t>（1）</w:t>
      </w:r>
      <w:r>
        <w:rPr>
          <w:rFonts w:hint="eastAsia" w:ascii="宋体" w:hAnsi="宋体" w:eastAsia="宋体" w:cs="宋体"/>
          <w:color w:val="auto"/>
          <w:lang w:eastAsia="zh-CN"/>
        </w:rPr>
        <w:t>资信业绩</w:t>
      </w:r>
      <w:r>
        <w:rPr>
          <w:rFonts w:hint="eastAsia"/>
          <w:color w:val="auto"/>
          <w:lang w:eastAsia="zh-CN"/>
        </w:rPr>
        <w:t>：见评标办法前附表；</w:t>
      </w:r>
    </w:p>
    <w:p w14:paraId="21C3ED3A">
      <w:pPr>
        <w:spacing w:line="360" w:lineRule="auto"/>
        <w:ind w:firstLine="480"/>
        <w:rPr>
          <w:color w:val="auto"/>
          <w:lang w:eastAsia="zh-CN"/>
        </w:rPr>
      </w:pPr>
      <w:r>
        <w:rPr>
          <w:rFonts w:hint="eastAsia"/>
          <w:color w:val="auto"/>
          <w:lang w:eastAsia="zh-CN"/>
        </w:rPr>
        <w:t>（2）</w:t>
      </w:r>
      <w:r>
        <w:rPr>
          <w:rFonts w:hint="eastAsia" w:ascii="宋体" w:hAnsi="宋体" w:eastAsia="宋体" w:cs="宋体"/>
          <w:color w:val="auto"/>
          <w:lang w:eastAsia="zh-CN"/>
        </w:rPr>
        <w:t>监理大纲</w:t>
      </w:r>
      <w:r>
        <w:rPr>
          <w:rFonts w:hint="eastAsia"/>
          <w:color w:val="auto"/>
          <w:lang w:eastAsia="zh-CN"/>
        </w:rPr>
        <w:t>：见评标办法前附表；</w:t>
      </w:r>
    </w:p>
    <w:p w14:paraId="747095F8">
      <w:pPr>
        <w:spacing w:line="360" w:lineRule="auto"/>
        <w:ind w:firstLine="480"/>
        <w:rPr>
          <w:color w:val="auto"/>
          <w:lang w:eastAsia="zh-CN"/>
        </w:rPr>
      </w:pPr>
      <w:r>
        <w:rPr>
          <w:rFonts w:hint="eastAsia"/>
          <w:color w:val="auto"/>
          <w:lang w:eastAsia="zh-CN"/>
        </w:rPr>
        <w:t>（3）评标价：见评标办法前附表；</w:t>
      </w:r>
    </w:p>
    <w:p w14:paraId="1E364B60">
      <w:pPr>
        <w:spacing w:line="360" w:lineRule="auto"/>
        <w:ind w:firstLine="480"/>
        <w:rPr>
          <w:color w:val="auto"/>
          <w:lang w:eastAsia="zh-CN"/>
        </w:rPr>
      </w:pPr>
      <w:r>
        <w:rPr>
          <w:rFonts w:hint="eastAsia"/>
          <w:color w:val="auto"/>
          <w:lang w:eastAsia="zh-CN"/>
        </w:rPr>
        <w:t>（4）其他评分因素：见评标办法前附表。</w:t>
      </w:r>
    </w:p>
    <w:p w14:paraId="23F65427">
      <w:pPr>
        <w:spacing w:line="360" w:lineRule="auto"/>
        <w:ind w:firstLine="480"/>
        <w:rPr>
          <w:color w:val="auto"/>
          <w:lang w:eastAsia="zh-CN"/>
        </w:rPr>
      </w:pPr>
      <w:r>
        <w:rPr>
          <w:rFonts w:hint="eastAsia"/>
          <w:color w:val="auto"/>
          <w:lang w:eastAsia="zh-CN"/>
        </w:rPr>
        <w:t>2.2.2评标基准价计算</w:t>
      </w:r>
    </w:p>
    <w:p w14:paraId="3C073170">
      <w:pPr>
        <w:spacing w:line="360" w:lineRule="auto"/>
        <w:ind w:firstLine="480"/>
        <w:rPr>
          <w:color w:val="auto"/>
          <w:lang w:eastAsia="zh-CN"/>
        </w:rPr>
      </w:pPr>
      <w:r>
        <w:rPr>
          <w:rFonts w:hint="eastAsia"/>
          <w:color w:val="auto"/>
          <w:lang w:eastAsia="zh-CN"/>
        </w:rPr>
        <w:t>评标基准价计算方法：见评标办法前附表。</w:t>
      </w:r>
    </w:p>
    <w:p w14:paraId="7B006449">
      <w:pPr>
        <w:spacing w:line="360" w:lineRule="auto"/>
        <w:ind w:firstLine="480"/>
        <w:rPr>
          <w:color w:val="auto"/>
          <w:lang w:eastAsia="zh-CN"/>
        </w:rPr>
      </w:pPr>
      <w:r>
        <w:rPr>
          <w:rFonts w:hint="eastAsia"/>
          <w:color w:val="auto"/>
          <w:lang w:eastAsia="zh-CN"/>
        </w:rPr>
        <w:t>2.2.3评标价的偏差率计算</w:t>
      </w:r>
    </w:p>
    <w:p w14:paraId="5914331D">
      <w:pPr>
        <w:spacing w:line="360" w:lineRule="auto"/>
        <w:ind w:firstLine="480"/>
        <w:rPr>
          <w:color w:val="auto"/>
          <w:lang w:eastAsia="zh-CN"/>
        </w:rPr>
      </w:pPr>
      <w:r>
        <w:rPr>
          <w:rFonts w:hint="eastAsia"/>
          <w:color w:val="auto"/>
          <w:lang w:eastAsia="zh-CN"/>
        </w:rPr>
        <w:t>评标价的偏差率计算公式：见评标办法前附表。</w:t>
      </w:r>
    </w:p>
    <w:p w14:paraId="76F9BD44">
      <w:pPr>
        <w:spacing w:line="360" w:lineRule="auto"/>
        <w:ind w:firstLine="480"/>
        <w:rPr>
          <w:color w:val="auto"/>
          <w:lang w:eastAsia="zh-CN"/>
        </w:rPr>
      </w:pPr>
      <w:r>
        <w:rPr>
          <w:rFonts w:hint="eastAsia"/>
          <w:color w:val="auto"/>
          <w:lang w:eastAsia="zh-CN"/>
        </w:rPr>
        <w:t>2.2.4评分标准</w:t>
      </w:r>
    </w:p>
    <w:p w14:paraId="65DEE2D2">
      <w:pPr>
        <w:spacing w:line="360" w:lineRule="auto"/>
        <w:ind w:firstLine="480"/>
        <w:rPr>
          <w:color w:val="auto"/>
          <w:lang w:eastAsia="zh-CN"/>
        </w:rPr>
      </w:pPr>
      <w:r>
        <w:rPr>
          <w:rFonts w:hint="eastAsia"/>
          <w:color w:val="auto"/>
          <w:lang w:eastAsia="zh-CN"/>
        </w:rPr>
        <w:t>（1）</w:t>
      </w:r>
      <w:r>
        <w:rPr>
          <w:rFonts w:hint="eastAsia" w:ascii="宋体" w:hAnsi="宋体" w:eastAsia="宋体" w:cs="宋体"/>
          <w:color w:val="auto"/>
          <w:lang w:eastAsia="zh-CN"/>
        </w:rPr>
        <w:t>资信业绩</w:t>
      </w:r>
      <w:r>
        <w:rPr>
          <w:rFonts w:hint="eastAsia"/>
          <w:color w:val="auto"/>
          <w:lang w:eastAsia="zh-CN"/>
        </w:rPr>
        <w:t>评分标准：见评标办法前附表；</w:t>
      </w:r>
    </w:p>
    <w:p w14:paraId="32B07BB7">
      <w:pPr>
        <w:spacing w:line="360" w:lineRule="auto"/>
        <w:ind w:firstLine="480"/>
        <w:rPr>
          <w:color w:val="auto"/>
          <w:lang w:eastAsia="zh-CN"/>
        </w:rPr>
      </w:pPr>
      <w:r>
        <w:rPr>
          <w:rFonts w:hint="eastAsia"/>
          <w:color w:val="auto"/>
          <w:lang w:eastAsia="zh-CN"/>
        </w:rPr>
        <w:t>（2）</w:t>
      </w:r>
      <w:r>
        <w:rPr>
          <w:rFonts w:hint="eastAsia" w:ascii="宋体" w:hAnsi="宋体" w:eastAsia="宋体" w:cs="宋体"/>
          <w:color w:val="auto"/>
          <w:lang w:eastAsia="zh-CN"/>
        </w:rPr>
        <w:t>监理大纲</w:t>
      </w:r>
      <w:r>
        <w:rPr>
          <w:rFonts w:hint="eastAsia"/>
          <w:color w:val="auto"/>
          <w:lang w:eastAsia="zh-CN"/>
        </w:rPr>
        <w:t>评分标准：见评标办法前附表；</w:t>
      </w:r>
    </w:p>
    <w:p w14:paraId="3786E4C3">
      <w:pPr>
        <w:spacing w:line="360" w:lineRule="auto"/>
        <w:ind w:firstLine="480"/>
        <w:rPr>
          <w:color w:val="auto"/>
          <w:lang w:eastAsia="zh-CN"/>
        </w:rPr>
      </w:pPr>
      <w:r>
        <w:rPr>
          <w:rFonts w:hint="eastAsia"/>
          <w:color w:val="auto"/>
          <w:lang w:eastAsia="zh-CN"/>
        </w:rPr>
        <w:t>（3）评标价评分标准：见评标办法前附表；</w:t>
      </w:r>
    </w:p>
    <w:p w14:paraId="4D02D90B">
      <w:pPr>
        <w:spacing w:line="360" w:lineRule="auto"/>
        <w:ind w:firstLine="480"/>
        <w:rPr>
          <w:color w:val="auto"/>
          <w:lang w:eastAsia="zh-CN"/>
        </w:rPr>
      </w:pPr>
      <w:r>
        <w:rPr>
          <w:rFonts w:hint="eastAsia" w:ascii="宋体" w:hAnsi="宋体" w:eastAsia="宋体" w:cs="宋体"/>
          <w:color w:val="auto"/>
          <w:lang w:eastAsia="zh-CN"/>
        </w:rPr>
        <w:t>（</w:t>
      </w:r>
      <w:r>
        <w:rPr>
          <w:rFonts w:hint="eastAsia"/>
          <w:color w:val="auto"/>
          <w:lang w:eastAsia="zh-CN"/>
        </w:rPr>
        <w:t>4</w:t>
      </w:r>
      <w:r>
        <w:rPr>
          <w:rFonts w:hint="eastAsia" w:ascii="宋体" w:hAnsi="宋体" w:eastAsia="宋体" w:cs="宋体"/>
          <w:color w:val="auto"/>
          <w:lang w:eastAsia="zh-CN"/>
        </w:rPr>
        <w:t>）其他评分因素评分标准：见评标办法前附表；</w:t>
      </w:r>
    </w:p>
    <w:p w14:paraId="014D4A6D">
      <w:pPr>
        <w:pStyle w:val="6"/>
        <w:adjustRightInd w:val="0"/>
        <w:snapToGrid w:val="0"/>
        <w:spacing w:before="240" w:after="240" w:line="240" w:lineRule="auto"/>
        <w:jc w:val="both"/>
        <w:rPr>
          <w:rFonts w:ascii="Times New Roman" w:hAnsi="Times New Roman"/>
          <w:color w:val="auto"/>
          <w:kern w:val="28"/>
          <w:sz w:val="28"/>
          <w:szCs w:val="28"/>
          <w:lang w:eastAsia="zh-CN"/>
        </w:rPr>
      </w:pPr>
      <w:bookmarkStart w:id="440" w:name="_Toc27576870"/>
      <w:bookmarkStart w:id="441" w:name="_Toc9706"/>
      <w:bookmarkStart w:id="442" w:name="_Toc527466707"/>
      <w:bookmarkStart w:id="443" w:name="_Toc40000177"/>
      <w:r>
        <w:rPr>
          <w:rFonts w:hint="eastAsia" w:ascii="Times New Roman" w:hAnsi="Times New Roman"/>
          <w:color w:val="auto"/>
          <w:kern w:val="28"/>
          <w:sz w:val="28"/>
          <w:szCs w:val="28"/>
          <w:lang w:eastAsia="zh-CN"/>
        </w:rPr>
        <w:t>3. 评标程序</w:t>
      </w:r>
      <w:bookmarkEnd w:id="440"/>
      <w:bookmarkEnd w:id="441"/>
      <w:bookmarkEnd w:id="442"/>
      <w:bookmarkEnd w:id="443"/>
    </w:p>
    <w:p w14:paraId="0D2CD965">
      <w:pPr>
        <w:pStyle w:val="7"/>
        <w:spacing w:before="120" w:after="120"/>
        <w:rPr>
          <w:color w:val="auto"/>
          <w:sz w:val="24"/>
          <w:szCs w:val="24"/>
          <w:lang w:eastAsia="zh-CN"/>
        </w:rPr>
      </w:pPr>
      <w:bookmarkStart w:id="444" w:name="_Toc19476"/>
      <w:r>
        <w:rPr>
          <w:rFonts w:hint="eastAsia"/>
          <w:color w:val="auto"/>
          <w:sz w:val="24"/>
          <w:szCs w:val="24"/>
          <w:lang w:eastAsia="zh-CN"/>
        </w:rPr>
        <w:t>3.1</w:t>
      </w:r>
      <w:r>
        <w:rPr>
          <w:rFonts w:hint="eastAsia"/>
          <w:color w:val="auto"/>
          <w:sz w:val="24"/>
          <w:szCs w:val="24"/>
          <w:lang w:eastAsia="zh-CN"/>
        </w:rPr>
        <w:tab/>
      </w:r>
      <w:r>
        <w:rPr>
          <w:rFonts w:hint="eastAsia" w:ascii="宋体" w:hAnsi="宋体" w:eastAsia="宋体" w:cs="宋体"/>
          <w:color w:val="auto"/>
          <w:sz w:val="24"/>
          <w:szCs w:val="24"/>
          <w:lang w:eastAsia="zh-CN"/>
        </w:rPr>
        <w:t>第一个信封初步评审</w:t>
      </w:r>
      <w:bookmarkEnd w:id="444"/>
    </w:p>
    <w:p w14:paraId="0C9CA81A">
      <w:pPr>
        <w:spacing w:line="360" w:lineRule="auto"/>
        <w:ind w:firstLine="480"/>
        <w:rPr>
          <w:color w:val="auto"/>
          <w:lang w:eastAsia="zh-CN"/>
        </w:rPr>
      </w:pPr>
      <w:r>
        <w:rPr>
          <w:rFonts w:hint="eastAsia"/>
          <w:color w:val="auto"/>
          <w:lang w:eastAsia="zh-CN"/>
        </w:rPr>
        <w:t>3.1.1评标委员会可以要求投标人提交第二章“投标人须知”第3.5款规定的有关证明和证件的原件，以便核验。评标委员会依据本章第2.1款规定的标准对投标文件第一个信封（商务及技术文件）进行初步评审。有一项不符合评审标准的，评标委员会应否决其投标。</w:t>
      </w:r>
    </w:p>
    <w:p w14:paraId="70E99318">
      <w:pPr>
        <w:pStyle w:val="7"/>
        <w:spacing w:before="120" w:after="120"/>
        <w:rPr>
          <w:color w:val="auto"/>
          <w:sz w:val="24"/>
          <w:szCs w:val="24"/>
          <w:lang w:eastAsia="zh-CN"/>
        </w:rPr>
      </w:pPr>
      <w:bookmarkStart w:id="445" w:name="_Toc18677"/>
      <w:r>
        <w:rPr>
          <w:rFonts w:hint="eastAsia"/>
          <w:color w:val="auto"/>
          <w:sz w:val="24"/>
          <w:szCs w:val="24"/>
          <w:lang w:eastAsia="zh-CN"/>
        </w:rPr>
        <w:t>3.2</w:t>
      </w:r>
      <w:r>
        <w:rPr>
          <w:rFonts w:hint="eastAsia"/>
          <w:color w:val="auto"/>
          <w:sz w:val="24"/>
          <w:szCs w:val="24"/>
          <w:lang w:eastAsia="zh-CN"/>
        </w:rPr>
        <w:tab/>
      </w:r>
      <w:r>
        <w:rPr>
          <w:rFonts w:hint="eastAsia" w:ascii="宋体" w:hAnsi="宋体" w:eastAsia="宋体" w:cs="宋体"/>
          <w:color w:val="auto"/>
          <w:sz w:val="24"/>
          <w:szCs w:val="24"/>
          <w:lang w:eastAsia="zh-CN"/>
        </w:rPr>
        <w:t>第一个信封详细评审</w:t>
      </w:r>
      <w:bookmarkEnd w:id="445"/>
    </w:p>
    <w:p w14:paraId="4BBCF744">
      <w:pPr>
        <w:spacing w:line="360" w:lineRule="auto"/>
        <w:ind w:firstLine="480"/>
        <w:rPr>
          <w:color w:val="auto"/>
          <w:lang w:eastAsia="zh-CN"/>
        </w:rPr>
      </w:pPr>
      <w:r>
        <w:rPr>
          <w:rFonts w:hint="eastAsia"/>
          <w:color w:val="auto"/>
          <w:lang w:eastAsia="zh-CN"/>
        </w:rPr>
        <w:t>3.2.1评标委员会按本章第2.2款规定的量化因素和分值进行打分，并计算出各投标人的商务和技术得分。</w:t>
      </w:r>
    </w:p>
    <w:p w14:paraId="2B66D162">
      <w:pPr>
        <w:spacing w:line="360" w:lineRule="auto"/>
        <w:ind w:firstLine="480" w:firstLineChars="200"/>
        <w:rPr>
          <w:color w:val="auto"/>
          <w:lang w:eastAsia="zh-CN"/>
        </w:rPr>
      </w:pPr>
      <w:r>
        <w:rPr>
          <w:rFonts w:hint="eastAsia"/>
          <w:color w:val="auto"/>
          <w:lang w:eastAsia="zh-CN"/>
        </w:rPr>
        <w:t>（1）按本章第2.2.4项（1）目规定的评审因素和分值</w:t>
      </w:r>
      <w:r>
        <w:rPr>
          <w:rFonts w:hint="eastAsia" w:ascii="宋体" w:hAnsi="宋体" w:eastAsia="宋体" w:cs="宋体"/>
          <w:color w:val="auto"/>
          <w:lang w:eastAsia="zh-CN"/>
        </w:rPr>
        <w:t>对资信业绩部分计算出得分</w:t>
      </w:r>
      <w:r>
        <w:rPr>
          <w:rFonts w:hint="eastAsia"/>
          <w:color w:val="auto"/>
          <w:lang w:eastAsia="zh-CN"/>
        </w:rPr>
        <w:t xml:space="preserve"> A；</w:t>
      </w:r>
    </w:p>
    <w:p w14:paraId="227B62BD">
      <w:pPr>
        <w:spacing w:line="360" w:lineRule="auto"/>
        <w:ind w:firstLine="480"/>
        <w:rPr>
          <w:color w:val="auto"/>
          <w:lang w:eastAsia="zh-CN"/>
        </w:rPr>
      </w:pPr>
      <w:r>
        <w:rPr>
          <w:rFonts w:hint="eastAsia"/>
          <w:color w:val="auto"/>
          <w:lang w:eastAsia="zh-CN"/>
        </w:rPr>
        <w:t>（2）按本章第2.2.4项（2）目规定的评审因素和分值对</w:t>
      </w:r>
      <w:r>
        <w:rPr>
          <w:rFonts w:hint="eastAsia" w:ascii="宋体" w:hAnsi="宋体" w:eastAsia="宋体" w:cs="宋体"/>
          <w:color w:val="auto"/>
          <w:lang w:eastAsia="zh-CN"/>
        </w:rPr>
        <w:t>监理大纲部分计算出得分</w:t>
      </w:r>
      <w:r>
        <w:rPr>
          <w:rFonts w:hint="eastAsia"/>
          <w:color w:val="auto"/>
          <w:lang w:eastAsia="zh-CN"/>
        </w:rPr>
        <w:t xml:space="preserve"> B；</w:t>
      </w:r>
    </w:p>
    <w:p w14:paraId="7287A0BC">
      <w:pPr>
        <w:spacing w:line="360" w:lineRule="auto"/>
        <w:ind w:firstLine="480"/>
        <w:rPr>
          <w:color w:val="auto"/>
          <w:lang w:eastAsia="zh-CN"/>
        </w:rPr>
      </w:pPr>
      <w:r>
        <w:rPr>
          <w:rFonts w:hint="eastAsia"/>
          <w:color w:val="auto"/>
          <w:lang w:eastAsia="zh-CN"/>
        </w:rPr>
        <w:t>（3）按本章第2.2.4项（4）目规定的评审因素和分值对</w:t>
      </w:r>
      <w:r>
        <w:rPr>
          <w:rFonts w:hint="eastAsia" w:ascii="宋体" w:hAnsi="宋体" w:eastAsia="宋体" w:cs="宋体"/>
          <w:color w:val="auto"/>
          <w:lang w:eastAsia="zh-CN"/>
        </w:rPr>
        <w:t>其他因素部分计算出得分</w:t>
      </w:r>
      <w:r>
        <w:rPr>
          <w:rFonts w:hint="eastAsia"/>
          <w:color w:val="auto"/>
          <w:lang w:eastAsia="zh-CN"/>
        </w:rPr>
        <w:t xml:space="preserve"> D。</w:t>
      </w:r>
    </w:p>
    <w:p w14:paraId="582E2F5A">
      <w:pPr>
        <w:spacing w:line="360" w:lineRule="auto"/>
        <w:ind w:firstLine="480"/>
        <w:rPr>
          <w:color w:val="auto"/>
          <w:lang w:eastAsia="zh-CN"/>
        </w:rPr>
      </w:pPr>
      <w:r>
        <w:rPr>
          <w:rFonts w:hint="eastAsia"/>
          <w:color w:val="auto"/>
          <w:lang w:eastAsia="zh-CN"/>
        </w:rPr>
        <w:t>3.2.2投标人的商务和技术得分分值计算保留小数点后两位，小数点后第三位“四舍五入”。</w:t>
      </w:r>
    </w:p>
    <w:p w14:paraId="7EDB6EA0">
      <w:pPr>
        <w:spacing w:line="360" w:lineRule="auto"/>
        <w:ind w:firstLine="480"/>
        <w:rPr>
          <w:color w:val="auto"/>
          <w:lang w:eastAsia="zh-CN"/>
        </w:rPr>
      </w:pPr>
      <w:r>
        <w:rPr>
          <w:rFonts w:hint="eastAsia"/>
          <w:color w:val="auto"/>
          <w:lang w:eastAsia="zh-CN"/>
        </w:rPr>
        <w:t>3.2.3投标人的商务和技术得分=A+B+D。</w:t>
      </w:r>
    </w:p>
    <w:p w14:paraId="432FF5A6">
      <w:pPr>
        <w:pStyle w:val="7"/>
        <w:spacing w:before="120" w:after="120"/>
        <w:rPr>
          <w:color w:val="auto"/>
          <w:sz w:val="24"/>
          <w:szCs w:val="24"/>
          <w:lang w:eastAsia="zh-CN"/>
        </w:rPr>
      </w:pPr>
      <w:bookmarkStart w:id="446" w:name="_Toc20453"/>
      <w:r>
        <w:rPr>
          <w:rFonts w:hint="eastAsia"/>
          <w:color w:val="auto"/>
          <w:sz w:val="24"/>
          <w:szCs w:val="24"/>
          <w:lang w:eastAsia="zh-CN"/>
        </w:rPr>
        <w:t>3.3</w:t>
      </w:r>
      <w:r>
        <w:rPr>
          <w:rFonts w:hint="eastAsia"/>
          <w:color w:val="auto"/>
          <w:sz w:val="24"/>
          <w:szCs w:val="24"/>
          <w:lang w:eastAsia="zh-CN"/>
        </w:rPr>
        <w:tab/>
      </w:r>
      <w:r>
        <w:rPr>
          <w:rFonts w:hint="eastAsia" w:ascii="宋体" w:hAnsi="宋体" w:eastAsia="宋体" w:cs="宋体"/>
          <w:color w:val="auto"/>
          <w:sz w:val="24"/>
          <w:szCs w:val="24"/>
          <w:lang w:eastAsia="zh-CN"/>
        </w:rPr>
        <w:t>第二个信封开标</w:t>
      </w:r>
      <w:bookmarkEnd w:id="446"/>
    </w:p>
    <w:p w14:paraId="21EFAF28">
      <w:pPr>
        <w:spacing w:line="360" w:lineRule="auto"/>
        <w:ind w:firstLine="480"/>
        <w:rPr>
          <w:color w:val="auto"/>
          <w:lang w:eastAsia="zh-CN"/>
        </w:rPr>
      </w:pPr>
      <w:r>
        <w:rPr>
          <w:rFonts w:hint="eastAsia"/>
          <w:color w:val="auto"/>
          <w:lang w:eastAsia="zh-CN"/>
        </w:rPr>
        <w:t>第一个信封（商务及技术文件）评审结束后，招标人将按照第二章“投标人须知”第5.1款规定的时间和地点对通过投标文件第一个信封（商务及技术文件）评审的投标文件第二个信封（报价文件）进行开标。</w:t>
      </w:r>
    </w:p>
    <w:p w14:paraId="031F60CF">
      <w:pPr>
        <w:pStyle w:val="7"/>
        <w:spacing w:before="120" w:after="120"/>
        <w:rPr>
          <w:color w:val="auto"/>
          <w:sz w:val="24"/>
          <w:szCs w:val="24"/>
          <w:lang w:eastAsia="zh-CN"/>
        </w:rPr>
      </w:pPr>
      <w:bookmarkStart w:id="447" w:name="_Toc8014"/>
      <w:r>
        <w:rPr>
          <w:rFonts w:hint="eastAsia"/>
          <w:color w:val="auto"/>
          <w:sz w:val="24"/>
          <w:szCs w:val="24"/>
          <w:lang w:eastAsia="zh-CN"/>
        </w:rPr>
        <w:t>3.4</w:t>
      </w:r>
      <w:r>
        <w:rPr>
          <w:rFonts w:hint="eastAsia"/>
          <w:color w:val="auto"/>
          <w:sz w:val="24"/>
          <w:szCs w:val="24"/>
          <w:lang w:eastAsia="zh-CN"/>
        </w:rPr>
        <w:tab/>
      </w:r>
      <w:r>
        <w:rPr>
          <w:rFonts w:hint="eastAsia" w:ascii="宋体" w:hAnsi="宋体" w:eastAsia="宋体" w:cs="宋体"/>
          <w:color w:val="auto"/>
          <w:sz w:val="24"/>
          <w:szCs w:val="24"/>
          <w:lang w:eastAsia="zh-CN"/>
        </w:rPr>
        <w:t>第二个信封初步评审</w:t>
      </w:r>
      <w:bookmarkEnd w:id="447"/>
    </w:p>
    <w:p w14:paraId="65D19F6B">
      <w:pPr>
        <w:spacing w:line="360" w:lineRule="auto"/>
        <w:ind w:firstLine="480"/>
        <w:rPr>
          <w:color w:val="auto"/>
          <w:lang w:eastAsia="zh-CN"/>
        </w:rPr>
      </w:pPr>
      <w:r>
        <w:rPr>
          <w:rFonts w:hint="eastAsia"/>
          <w:color w:val="auto"/>
          <w:lang w:eastAsia="zh-CN"/>
        </w:rPr>
        <w:t>3.4.1评标委员会依据本章第2.1.1项、第2.1.3项规定的评审标准对投标文件第二个信封（报价文件）进行初步评审。有一项不符合评审标准的，评标委员会应否决其投标。</w:t>
      </w:r>
    </w:p>
    <w:p w14:paraId="35DDAAE2">
      <w:pPr>
        <w:spacing w:line="360" w:lineRule="auto"/>
        <w:ind w:firstLine="480"/>
        <w:rPr>
          <w:color w:val="auto"/>
          <w:lang w:eastAsia="zh-CN"/>
        </w:rPr>
      </w:pPr>
      <w:r>
        <w:rPr>
          <w:rFonts w:hint="eastAsia"/>
          <w:color w:val="auto"/>
          <w:lang w:eastAsia="zh-CN"/>
        </w:rPr>
        <w:t>3.4.2投标报价有算术错误的，评标委员会按以下原则对投标报价进行修正，修正的价格经投标人书面确认后具有约束力。投标人不接受修正价格的，评标委员会应否决其投标。</w:t>
      </w:r>
    </w:p>
    <w:p w14:paraId="13F176DF">
      <w:pPr>
        <w:spacing w:line="360" w:lineRule="auto"/>
        <w:ind w:firstLine="480"/>
        <w:rPr>
          <w:color w:val="auto"/>
          <w:lang w:eastAsia="zh-CN"/>
        </w:rPr>
      </w:pPr>
      <w:r>
        <w:rPr>
          <w:rFonts w:hint="eastAsia"/>
          <w:color w:val="auto"/>
          <w:lang w:eastAsia="zh-CN"/>
        </w:rPr>
        <w:t>（1）投标文件中的大写金额与小写金额不一致的，以大写金额为准；</w:t>
      </w:r>
    </w:p>
    <w:p w14:paraId="316A0987">
      <w:pPr>
        <w:spacing w:line="360" w:lineRule="auto"/>
        <w:ind w:firstLine="480"/>
        <w:rPr>
          <w:color w:val="auto"/>
          <w:lang w:eastAsia="zh-CN"/>
        </w:rPr>
      </w:pPr>
      <w:r>
        <w:rPr>
          <w:rFonts w:hint="eastAsia"/>
          <w:color w:val="auto"/>
          <w:lang w:eastAsia="zh-CN"/>
        </w:rPr>
        <w:t>（2）总价金额与依据单价计算出的结果不一致的，以单价金额为准修正总价， 但单价金额小数点有明显错误的除外；</w:t>
      </w:r>
    </w:p>
    <w:p w14:paraId="4BFC4294">
      <w:pPr>
        <w:spacing w:line="360" w:lineRule="auto"/>
        <w:ind w:firstLine="480"/>
        <w:rPr>
          <w:color w:val="auto"/>
          <w:lang w:eastAsia="zh-CN"/>
        </w:rPr>
      </w:pPr>
      <w:r>
        <w:rPr>
          <w:rFonts w:hint="eastAsia"/>
          <w:color w:val="auto"/>
          <w:lang w:eastAsia="zh-CN"/>
        </w:rPr>
        <w:t>（3）当单价与数量相乘不等于合价时，以单价计算为准，如果单价有明显的小数点位置差错，应以标出的合价为准，同时对单价予以修正；</w:t>
      </w:r>
    </w:p>
    <w:p w14:paraId="27930CFF">
      <w:pPr>
        <w:spacing w:line="360" w:lineRule="auto"/>
        <w:ind w:firstLine="480"/>
        <w:rPr>
          <w:color w:val="auto"/>
          <w:lang w:eastAsia="zh-CN"/>
        </w:rPr>
      </w:pPr>
      <w:r>
        <w:rPr>
          <w:rFonts w:hint="eastAsia"/>
          <w:color w:val="auto"/>
          <w:lang w:eastAsia="zh-CN"/>
        </w:rPr>
        <w:t>（4）当各子目的合价累计不等于总价时，应以各子目合价累计数为准，修正总价。</w:t>
      </w:r>
    </w:p>
    <w:p w14:paraId="4F665553">
      <w:pPr>
        <w:spacing w:line="360" w:lineRule="auto"/>
        <w:ind w:firstLine="480"/>
        <w:rPr>
          <w:color w:val="auto"/>
          <w:lang w:eastAsia="zh-CN"/>
        </w:rPr>
      </w:pPr>
      <w:r>
        <w:rPr>
          <w:rFonts w:hint="eastAsia"/>
          <w:color w:val="auto"/>
          <w:lang w:eastAsia="zh-CN"/>
        </w:rPr>
        <w:t>3.4.3修正后的最终投标报价若超过最高投标限价（如有），评标委员会应否决其投标。</w:t>
      </w:r>
    </w:p>
    <w:p w14:paraId="23E41DF5">
      <w:pPr>
        <w:spacing w:line="360" w:lineRule="auto"/>
        <w:ind w:firstLine="480"/>
        <w:rPr>
          <w:color w:val="auto"/>
          <w:lang w:eastAsia="zh-CN"/>
        </w:rPr>
      </w:pPr>
      <w:r>
        <w:rPr>
          <w:rFonts w:hint="eastAsia"/>
          <w:color w:val="auto"/>
          <w:lang w:eastAsia="zh-CN"/>
        </w:rPr>
        <w:t>3.4.4修正后的最终投标报价仅作为签订合同的一个依据，不参与评标价得分的计算。</w:t>
      </w:r>
    </w:p>
    <w:p w14:paraId="015DFA74">
      <w:pPr>
        <w:pStyle w:val="7"/>
        <w:spacing w:before="120" w:after="120"/>
        <w:rPr>
          <w:color w:val="auto"/>
          <w:sz w:val="24"/>
          <w:szCs w:val="24"/>
          <w:lang w:eastAsia="zh-CN"/>
        </w:rPr>
      </w:pPr>
      <w:bookmarkStart w:id="448" w:name="_Toc11672"/>
      <w:r>
        <w:rPr>
          <w:rFonts w:hint="eastAsia"/>
          <w:color w:val="auto"/>
          <w:sz w:val="24"/>
          <w:szCs w:val="24"/>
          <w:lang w:eastAsia="zh-CN"/>
        </w:rPr>
        <w:t>3.5</w:t>
      </w:r>
      <w:r>
        <w:rPr>
          <w:rFonts w:hint="eastAsia"/>
          <w:color w:val="auto"/>
          <w:sz w:val="24"/>
          <w:szCs w:val="24"/>
          <w:lang w:eastAsia="zh-CN"/>
        </w:rPr>
        <w:tab/>
      </w:r>
      <w:r>
        <w:rPr>
          <w:rFonts w:hint="eastAsia" w:ascii="宋体" w:hAnsi="宋体" w:eastAsia="宋体" w:cs="宋体"/>
          <w:color w:val="auto"/>
          <w:sz w:val="24"/>
          <w:szCs w:val="24"/>
          <w:lang w:eastAsia="zh-CN"/>
        </w:rPr>
        <w:t>第二个信封详细评审</w:t>
      </w:r>
      <w:bookmarkEnd w:id="448"/>
    </w:p>
    <w:p w14:paraId="0D5DDB55">
      <w:pPr>
        <w:spacing w:line="360" w:lineRule="auto"/>
        <w:ind w:firstLine="480"/>
        <w:rPr>
          <w:color w:val="auto"/>
          <w:lang w:eastAsia="zh-CN"/>
        </w:rPr>
      </w:pPr>
      <w:r>
        <w:rPr>
          <w:rFonts w:hint="eastAsia"/>
          <w:color w:val="auto"/>
          <w:lang w:eastAsia="zh-CN"/>
        </w:rPr>
        <w:t>3.5.1评标委员会按本章第2.2.4项（3）目规定的评审因素和分值对评标价计算出得分C。评标价得分分值计算保留小数点后两位，小数点后第三位“四舍五入”。</w:t>
      </w:r>
    </w:p>
    <w:p w14:paraId="64B3FF47">
      <w:pPr>
        <w:spacing w:line="360" w:lineRule="auto"/>
        <w:ind w:firstLine="480"/>
        <w:rPr>
          <w:color w:val="auto"/>
          <w:lang w:eastAsia="zh-CN"/>
        </w:rPr>
      </w:pPr>
      <w:r>
        <w:rPr>
          <w:rFonts w:hint="eastAsia"/>
          <w:color w:val="auto"/>
          <w:lang w:eastAsia="zh-CN"/>
        </w:rPr>
        <w:t>3.5.2投标人综合得分=投标人的商务和技术得分+C。</w:t>
      </w:r>
    </w:p>
    <w:p w14:paraId="6855435C">
      <w:pPr>
        <w:spacing w:line="360" w:lineRule="auto"/>
        <w:ind w:firstLine="480"/>
        <w:rPr>
          <w:color w:val="auto"/>
          <w:lang w:eastAsia="zh-CN"/>
        </w:rPr>
      </w:pPr>
      <w:r>
        <w:rPr>
          <w:rFonts w:hint="eastAsia"/>
          <w:color w:val="auto"/>
          <w:lang w:eastAsia="zh-CN"/>
        </w:rPr>
        <w:t>3.5.3评标委员会发现投标人的报价明显低于其他投标报价，使得其投标报价可能低于其个别成本的，应要求该投标人作出书面说明并提供相应的证明材料。投标人不能合理说明或不能提供相应证明材料的，评标委员会应认定该投标人以低于成本报价竞标，并否决其投标。</w:t>
      </w:r>
    </w:p>
    <w:p w14:paraId="2A060C9F">
      <w:pPr>
        <w:pStyle w:val="7"/>
        <w:spacing w:before="120" w:after="120"/>
        <w:rPr>
          <w:color w:val="auto"/>
          <w:sz w:val="24"/>
          <w:szCs w:val="24"/>
          <w:lang w:eastAsia="zh-CN"/>
        </w:rPr>
      </w:pPr>
      <w:bookmarkStart w:id="449" w:name="_Toc20886"/>
      <w:r>
        <w:rPr>
          <w:rFonts w:hint="eastAsia"/>
          <w:color w:val="auto"/>
          <w:sz w:val="24"/>
          <w:szCs w:val="24"/>
          <w:lang w:eastAsia="zh-CN"/>
        </w:rPr>
        <w:t>3.6</w:t>
      </w:r>
      <w:r>
        <w:rPr>
          <w:rFonts w:hint="eastAsia"/>
          <w:color w:val="auto"/>
          <w:sz w:val="24"/>
          <w:szCs w:val="24"/>
          <w:lang w:eastAsia="zh-CN"/>
        </w:rPr>
        <w:tab/>
      </w:r>
      <w:r>
        <w:rPr>
          <w:rFonts w:hint="eastAsia" w:ascii="宋体" w:hAnsi="宋体" w:eastAsia="宋体" w:cs="宋体"/>
          <w:color w:val="auto"/>
          <w:sz w:val="24"/>
          <w:szCs w:val="24"/>
          <w:lang w:eastAsia="zh-CN"/>
        </w:rPr>
        <w:t>投标文件相关信息的核查</w:t>
      </w:r>
      <w:bookmarkEnd w:id="449"/>
    </w:p>
    <w:p w14:paraId="451EEE54">
      <w:pPr>
        <w:spacing w:line="360" w:lineRule="auto"/>
        <w:ind w:firstLine="480"/>
        <w:rPr>
          <w:color w:val="auto"/>
          <w:lang w:eastAsia="zh-CN"/>
        </w:rPr>
      </w:pPr>
      <w:r>
        <w:rPr>
          <w:rFonts w:hint="eastAsia"/>
          <w:color w:val="auto"/>
          <w:lang w:eastAsia="zh-CN"/>
        </w:rPr>
        <w:t>3.6.1在评标过程中，评标委员会应对投标人的资质、业绩、主要人员资历和目前在岗情况、信用等级等信息进行核查。若投标文件载明的信息不符合招标文件规定的，评标委员会应否决其投标。</w:t>
      </w:r>
    </w:p>
    <w:p w14:paraId="4EA9D9B1">
      <w:pPr>
        <w:spacing w:line="360" w:lineRule="auto"/>
        <w:ind w:firstLine="480"/>
        <w:rPr>
          <w:color w:val="auto"/>
          <w:lang w:eastAsia="zh-CN"/>
        </w:rPr>
      </w:pPr>
      <w:r>
        <w:rPr>
          <w:rFonts w:hint="eastAsia"/>
          <w:color w:val="auto"/>
          <w:lang w:eastAsia="zh-CN"/>
        </w:rPr>
        <w:t>3.6.2评标委员会应对在评标过程中发现的投标人与投标人之间、投标人与招标人之间存在的串通投标的情形进行评审和认定。投标人存在串通投标、弄虚作假、行贿等违法行为的，评标委员会应否决其投标。</w:t>
      </w:r>
    </w:p>
    <w:p w14:paraId="65113896">
      <w:pPr>
        <w:spacing w:line="360" w:lineRule="auto"/>
        <w:ind w:firstLine="480"/>
        <w:rPr>
          <w:color w:val="auto"/>
          <w:lang w:eastAsia="zh-CN"/>
        </w:rPr>
      </w:pPr>
      <w:r>
        <w:rPr>
          <w:rFonts w:hint="eastAsia"/>
          <w:color w:val="auto"/>
          <w:lang w:eastAsia="zh-CN"/>
        </w:rPr>
        <w:t>（1）有下列情形之一的，属于投标人相互串通投标：</w:t>
      </w:r>
    </w:p>
    <w:p w14:paraId="60B4B1CD">
      <w:pPr>
        <w:spacing w:line="360" w:lineRule="auto"/>
        <w:ind w:firstLine="480"/>
        <w:rPr>
          <w:color w:val="auto"/>
          <w:lang w:eastAsia="zh-CN"/>
        </w:rPr>
      </w:pPr>
      <w:r>
        <w:rPr>
          <w:rFonts w:hint="eastAsia"/>
          <w:color w:val="auto"/>
          <w:lang w:eastAsia="zh-CN"/>
        </w:rPr>
        <w:t>a.投标人之间协商投标报价等投标文件的实质性内容；</w:t>
      </w:r>
    </w:p>
    <w:p w14:paraId="0F15E11D">
      <w:pPr>
        <w:spacing w:line="360" w:lineRule="auto"/>
        <w:ind w:firstLine="480"/>
        <w:rPr>
          <w:color w:val="auto"/>
          <w:lang w:eastAsia="zh-CN"/>
        </w:rPr>
      </w:pPr>
      <w:r>
        <w:rPr>
          <w:rFonts w:hint="eastAsia"/>
          <w:color w:val="auto"/>
          <w:lang w:eastAsia="zh-CN"/>
        </w:rPr>
        <w:t>b.投标人之间约定中标人；</w:t>
      </w:r>
    </w:p>
    <w:p w14:paraId="5569CEA1">
      <w:pPr>
        <w:spacing w:line="360" w:lineRule="auto"/>
        <w:ind w:firstLine="480"/>
        <w:rPr>
          <w:color w:val="auto"/>
          <w:lang w:eastAsia="zh-CN"/>
        </w:rPr>
      </w:pPr>
      <w:r>
        <w:rPr>
          <w:rFonts w:hint="eastAsia"/>
          <w:color w:val="auto"/>
          <w:lang w:eastAsia="zh-CN"/>
        </w:rPr>
        <w:t>c.投标人之间约定部分投标人放弃投标或中标；</w:t>
      </w:r>
    </w:p>
    <w:p w14:paraId="5728E010">
      <w:pPr>
        <w:spacing w:line="360" w:lineRule="auto"/>
        <w:ind w:firstLine="480"/>
        <w:rPr>
          <w:color w:val="auto"/>
          <w:lang w:eastAsia="zh-CN"/>
        </w:rPr>
      </w:pPr>
      <w:r>
        <w:rPr>
          <w:rFonts w:hint="eastAsia"/>
          <w:color w:val="auto"/>
          <w:lang w:eastAsia="zh-CN"/>
        </w:rPr>
        <w:t>d.属于同一集团、协会、商会等组织成员的投标人按照该组织要求协同投标；</w:t>
      </w:r>
    </w:p>
    <w:p w14:paraId="56289D07">
      <w:pPr>
        <w:spacing w:line="360" w:lineRule="auto"/>
        <w:ind w:firstLine="480"/>
        <w:rPr>
          <w:color w:val="auto"/>
          <w:lang w:eastAsia="zh-CN"/>
        </w:rPr>
      </w:pPr>
      <w:r>
        <w:rPr>
          <w:rFonts w:hint="eastAsia"/>
          <w:color w:val="auto"/>
          <w:lang w:eastAsia="zh-CN"/>
        </w:rPr>
        <w:t>e.投标人之间为谋取中标或排斥特定投标人而采取的其他联合行动。</w:t>
      </w:r>
    </w:p>
    <w:p w14:paraId="6F1CFFDD">
      <w:pPr>
        <w:spacing w:line="360" w:lineRule="auto"/>
        <w:ind w:firstLine="480"/>
        <w:rPr>
          <w:color w:val="auto"/>
          <w:lang w:eastAsia="zh-CN"/>
        </w:rPr>
      </w:pPr>
      <w:r>
        <w:rPr>
          <w:rFonts w:hint="eastAsia"/>
          <w:color w:val="auto"/>
          <w:lang w:eastAsia="zh-CN"/>
        </w:rPr>
        <w:t>（2）有下列情形之一的，视为投标人相互串通投标：</w:t>
      </w:r>
    </w:p>
    <w:p w14:paraId="4690B7D2">
      <w:pPr>
        <w:spacing w:line="360" w:lineRule="auto"/>
        <w:ind w:firstLine="480"/>
        <w:rPr>
          <w:color w:val="auto"/>
          <w:lang w:eastAsia="zh-CN"/>
        </w:rPr>
      </w:pPr>
      <w:r>
        <w:rPr>
          <w:rFonts w:hint="eastAsia"/>
          <w:color w:val="auto"/>
          <w:lang w:eastAsia="zh-CN"/>
        </w:rPr>
        <w:t>a.不同投标人的投标文件由同一单位或个人编制；</w:t>
      </w:r>
    </w:p>
    <w:p w14:paraId="38E8DAEA">
      <w:pPr>
        <w:spacing w:line="360" w:lineRule="auto"/>
        <w:ind w:firstLine="480"/>
        <w:rPr>
          <w:color w:val="auto"/>
          <w:lang w:eastAsia="zh-CN"/>
        </w:rPr>
      </w:pPr>
      <w:r>
        <w:rPr>
          <w:rFonts w:hint="eastAsia"/>
          <w:color w:val="auto"/>
          <w:lang w:eastAsia="zh-CN"/>
        </w:rPr>
        <w:t>b.不同投标人委托同一单位或个人办理投标事宜；</w:t>
      </w:r>
    </w:p>
    <w:p w14:paraId="582324DD">
      <w:pPr>
        <w:spacing w:line="360" w:lineRule="auto"/>
        <w:ind w:firstLine="480"/>
        <w:rPr>
          <w:color w:val="auto"/>
          <w:lang w:eastAsia="zh-CN"/>
        </w:rPr>
      </w:pPr>
      <w:r>
        <w:rPr>
          <w:rFonts w:hint="eastAsia"/>
          <w:color w:val="auto"/>
          <w:lang w:eastAsia="zh-CN"/>
        </w:rPr>
        <w:t>c.不同投标人的投标文件载明的项目管理成员为同一人；</w:t>
      </w:r>
    </w:p>
    <w:p w14:paraId="574A14AA">
      <w:pPr>
        <w:spacing w:line="360" w:lineRule="auto"/>
        <w:ind w:firstLine="480"/>
        <w:rPr>
          <w:color w:val="auto"/>
          <w:lang w:eastAsia="zh-CN"/>
        </w:rPr>
      </w:pPr>
      <w:r>
        <w:rPr>
          <w:rFonts w:hint="eastAsia"/>
          <w:color w:val="auto"/>
          <w:lang w:eastAsia="zh-CN"/>
        </w:rPr>
        <w:t>d.不同投标人的投标文件异常一致或投标报价呈规律性差异；</w:t>
      </w:r>
    </w:p>
    <w:p w14:paraId="5007AA8E">
      <w:pPr>
        <w:spacing w:line="360" w:lineRule="auto"/>
        <w:ind w:firstLine="480"/>
        <w:rPr>
          <w:color w:val="auto"/>
          <w:lang w:eastAsia="zh-CN"/>
        </w:rPr>
      </w:pPr>
      <w:r>
        <w:rPr>
          <w:rFonts w:hint="eastAsia"/>
          <w:color w:val="auto"/>
          <w:lang w:eastAsia="zh-CN"/>
        </w:rPr>
        <w:t>e.不同投标人的投标文件相互混装；</w:t>
      </w:r>
    </w:p>
    <w:p w14:paraId="5126D989">
      <w:pPr>
        <w:spacing w:line="360" w:lineRule="auto"/>
        <w:ind w:firstLine="480"/>
        <w:rPr>
          <w:color w:val="auto"/>
          <w:lang w:eastAsia="zh-CN"/>
        </w:rPr>
      </w:pPr>
      <w:r>
        <w:rPr>
          <w:rFonts w:hint="eastAsia"/>
          <w:color w:val="auto"/>
          <w:lang w:eastAsia="zh-CN"/>
        </w:rPr>
        <w:t>f.不同投标人的投标保证金从同一单位或个人的账户转出。</w:t>
      </w:r>
    </w:p>
    <w:p w14:paraId="5A742F57">
      <w:pPr>
        <w:spacing w:line="360" w:lineRule="auto"/>
        <w:ind w:firstLine="480"/>
        <w:rPr>
          <w:color w:val="auto"/>
          <w:lang w:eastAsia="zh-CN"/>
        </w:rPr>
      </w:pPr>
      <w:r>
        <w:rPr>
          <w:rFonts w:hint="eastAsia"/>
          <w:color w:val="auto"/>
          <w:lang w:eastAsia="zh-CN"/>
        </w:rPr>
        <w:t>（3）有下列情形之一的，属于招标人与投标人串通投标：</w:t>
      </w:r>
    </w:p>
    <w:p w14:paraId="3648FCE4">
      <w:pPr>
        <w:spacing w:line="360" w:lineRule="auto"/>
        <w:ind w:firstLine="480"/>
        <w:rPr>
          <w:color w:val="auto"/>
          <w:lang w:eastAsia="zh-CN"/>
        </w:rPr>
      </w:pPr>
      <w:r>
        <w:rPr>
          <w:rFonts w:hint="eastAsia"/>
          <w:color w:val="auto"/>
          <w:lang w:eastAsia="zh-CN"/>
        </w:rPr>
        <w:t>a.招标人在开标前开启投标文件并将有关信息泄露给其他投标人;</w:t>
      </w:r>
    </w:p>
    <w:p w14:paraId="291A79F7">
      <w:pPr>
        <w:spacing w:line="360" w:lineRule="auto"/>
        <w:ind w:firstLine="480"/>
        <w:rPr>
          <w:color w:val="auto"/>
          <w:lang w:eastAsia="zh-CN"/>
        </w:rPr>
      </w:pPr>
      <w:r>
        <w:rPr>
          <w:rFonts w:hint="eastAsia"/>
          <w:color w:val="auto"/>
          <w:lang w:eastAsia="zh-CN"/>
        </w:rPr>
        <w:t>b.招标人直接或间接向投标人泄露标底、评标委员会成员等信息；</w:t>
      </w:r>
    </w:p>
    <w:p w14:paraId="77C5C8FA">
      <w:pPr>
        <w:spacing w:line="360" w:lineRule="auto"/>
        <w:ind w:firstLine="480"/>
        <w:rPr>
          <w:color w:val="auto"/>
          <w:lang w:eastAsia="zh-CN"/>
        </w:rPr>
      </w:pPr>
      <w:r>
        <w:rPr>
          <w:rFonts w:hint="eastAsia"/>
          <w:color w:val="auto"/>
          <w:lang w:eastAsia="zh-CN"/>
        </w:rPr>
        <w:t xml:space="preserve">c.招标人明示或暗示投标人压低或抬高投标报价； </w:t>
      </w:r>
    </w:p>
    <w:p w14:paraId="79BC0D43">
      <w:pPr>
        <w:spacing w:line="360" w:lineRule="auto"/>
        <w:ind w:firstLine="480"/>
        <w:rPr>
          <w:color w:val="auto"/>
          <w:lang w:eastAsia="zh-CN"/>
        </w:rPr>
      </w:pPr>
      <w:r>
        <w:rPr>
          <w:rFonts w:hint="eastAsia"/>
          <w:color w:val="auto"/>
          <w:lang w:eastAsia="zh-CN"/>
        </w:rPr>
        <w:t>d.招标人授意投标人撤换、修改投标文件；</w:t>
      </w:r>
    </w:p>
    <w:p w14:paraId="3E55B9A7">
      <w:pPr>
        <w:spacing w:line="360" w:lineRule="auto"/>
        <w:ind w:firstLine="480"/>
        <w:rPr>
          <w:color w:val="auto"/>
          <w:lang w:eastAsia="zh-CN"/>
        </w:rPr>
      </w:pPr>
      <w:r>
        <w:rPr>
          <w:rFonts w:hint="eastAsia"/>
          <w:color w:val="auto"/>
          <w:lang w:eastAsia="zh-CN"/>
        </w:rPr>
        <w:t>e.招标人明示或暗示投标人为特定投标人中标提供方便；</w:t>
      </w:r>
    </w:p>
    <w:p w14:paraId="79C00E50">
      <w:pPr>
        <w:spacing w:line="360" w:lineRule="auto"/>
        <w:ind w:firstLine="480"/>
        <w:rPr>
          <w:color w:val="auto"/>
          <w:lang w:eastAsia="zh-CN"/>
        </w:rPr>
      </w:pPr>
      <w:r>
        <w:rPr>
          <w:rFonts w:hint="eastAsia"/>
          <w:color w:val="auto"/>
          <w:lang w:eastAsia="zh-CN"/>
        </w:rPr>
        <w:t>f.招标人与投标人为谋求特定投标人中标而采取的其他串通行为。</w:t>
      </w:r>
    </w:p>
    <w:p w14:paraId="57F1FA50">
      <w:pPr>
        <w:spacing w:line="360" w:lineRule="auto"/>
        <w:ind w:firstLine="480"/>
        <w:rPr>
          <w:color w:val="auto"/>
          <w:lang w:eastAsia="zh-CN"/>
        </w:rPr>
      </w:pPr>
      <w:r>
        <w:rPr>
          <w:rFonts w:hint="eastAsia"/>
          <w:color w:val="auto"/>
          <w:lang w:eastAsia="zh-CN"/>
        </w:rPr>
        <w:t>（4）投标人有下列情形之一的，属于弄虚作假的行为：</w:t>
      </w:r>
    </w:p>
    <w:p w14:paraId="791CB496">
      <w:pPr>
        <w:spacing w:line="360" w:lineRule="auto"/>
        <w:ind w:firstLine="480"/>
        <w:rPr>
          <w:color w:val="auto"/>
          <w:lang w:eastAsia="zh-CN"/>
        </w:rPr>
      </w:pPr>
      <w:r>
        <w:rPr>
          <w:rFonts w:hint="eastAsia"/>
          <w:color w:val="auto"/>
          <w:lang w:eastAsia="zh-CN"/>
        </w:rPr>
        <w:t>a.使用通过受让或租借等方式获取的资格、资质证书投标；</w:t>
      </w:r>
    </w:p>
    <w:p w14:paraId="5D48E36A">
      <w:pPr>
        <w:spacing w:line="360" w:lineRule="auto"/>
        <w:ind w:firstLine="480"/>
        <w:rPr>
          <w:color w:val="auto"/>
          <w:lang w:eastAsia="zh-CN"/>
        </w:rPr>
      </w:pPr>
      <w:r>
        <w:rPr>
          <w:rFonts w:hint="eastAsia"/>
          <w:color w:val="auto"/>
          <w:lang w:eastAsia="zh-CN"/>
        </w:rPr>
        <w:t>b.使用伪造、变造的许可证件；</w:t>
      </w:r>
    </w:p>
    <w:p w14:paraId="50493C56">
      <w:pPr>
        <w:spacing w:line="360" w:lineRule="auto"/>
        <w:ind w:firstLine="480"/>
        <w:rPr>
          <w:color w:val="auto"/>
          <w:lang w:eastAsia="zh-CN"/>
        </w:rPr>
      </w:pPr>
      <w:r>
        <w:rPr>
          <w:rFonts w:hint="eastAsia"/>
          <w:color w:val="auto"/>
          <w:lang w:eastAsia="zh-CN"/>
        </w:rPr>
        <w:t>c.提供虚假的业绩；</w:t>
      </w:r>
    </w:p>
    <w:p w14:paraId="249C9F7D">
      <w:pPr>
        <w:spacing w:line="360" w:lineRule="auto"/>
        <w:ind w:firstLine="480"/>
        <w:rPr>
          <w:color w:val="auto"/>
          <w:lang w:eastAsia="zh-CN"/>
        </w:rPr>
      </w:pPr>
      <w:r>
        <w:rPr>
          <w:rFonts w:hint="eastAsia"/>
          <w:color w:val="auto"/>
          <w:lang w:eastAsia="zh-CN"/>
        </w:rPr>
        <w:t>d.提供虚假的项目负责人或主要技术人员简历、劳动关系证明；</w:t>
      </w:r>
    </w:p>
    <w:p w14:paraId="279F35A2">
      <w:pPr>
        <w:spacing w:line="360" w:lineRule="auto"/>
        <w:ind w:firstLine="480"/>
        <w:rPr>
          <w:color w:val="auto"/>
          <w:lang w:eastAsia="zh-CN"/>
        </w:rPr>
      </w:pPr>
      <w:r>
        <w:rPr>
          <w:rFonts w:hint="eastAsia"/>
          <w:color w:val="auto"/>
          <w:lang w:eastAsia="zh-CN"/>
        </w:rPr>
        <w:t>e.提供虚假的信用状况；</w:t>
      </w:r>
    </w:p>
    <w:p w14:paraId="21D95CAC">
      <w:pPr>
        <w:spacing w:line="360" w:lineRule="auto"/>
        <w:ind w:firstLine="480"/>
        <w:rPr>
          <w:color w:val="auto"/>
          <w:lang w:eastAsia="zh-CN"/>
        </w:rPr>
      </w:pPr>
      <w:r>
        <w:rPr>
          <w:rFonts w:hint="eastAsia"/>
          <w:color w:val="auto"/>
          <w:lang w:eastAsia="zh-CN"/>
        </w:rPr>
        <w:t>f.其他弄虚作假的行为。</w:t>
      </w:r>
    </w:p>
    <w:p w14:paraId="2AC4FDA4">
      <w:pPr>
        <w:pStyle w:val="7"/>
        <w:spacing w:before="120" w:after="120"/>
        <w:rPr>
          <w:color w:val="auto"/>
          <w:sz w:val="24"/>
          <w:szCs w:val="24"/>
          <w:lang w:eastAsia="zh-CN"/>
        </w:rPr>
      </w:pPr>
      <w:bookmarkStart w:id="450" w:name="_Toc27574"/>
      <w:r>
        <w:rPr>
          <w:rFonts w:hint="eastAsia"/>
          <w:color w:val="auto"/>
          <w:sz w:val="24"/>
          <w:szCs w:val="24"/>
          <w:lang w:eastAsia="zh-CN"/>
        </w:rPr>
        <w:t>3.7</w:t>
      </w:r>
      <w:r>
        <w:rPr>
          <w:rFonts w:hint="eastAsia"/>
          <w:color w:val="auto"/>
          <w:sz w:val="24"/>
          <w:szCs w:val="24"/>
          <w:lang w:eastAsia="zh-CN"/>
        </w:rPr>
        <w:tab/>
      </w:r>
      <w:r>
        <w:rPr>
          <w:rFonts w:hint="eastAsia" w:ascii="宋体" w:hAnsi="宋体" w:eastAsia="宋体" w:cs="宋体"/>
          <w:color w:val="auto"/>
          <w:sz w:val="24"/>
          <w:szCs w:val="24"/>
          <w:lang w:eastAsia="zh-CN"/>
        </w:rPr>
        <w:t>投标文件的澄清和说明</w:t>
      </w:r>
      <w:bookmarkEnd w:id="450"/>
    </w:p>
    <w:p w14:paraId="6243372C">
      <w:pPr>
        <w:spacing w:line="360" w:lineRule="auto"/>
        <w:ind w:firstLine="480"/>
        <w:rPr>
          <w:color w:val="auto"/>
          <w:lang w:eastAsia="zh-CN"/>
        </w:rPr>
      </w:pPr>
      <w:r>
        <w:rPr>
          <w:rFonts w:hint="eastAsia"/>
          <w:color w:val="auto"/>
          <w:lang w:eastAsia="zh-CN"/>
        </w:rPr>
        <w:t>3.7.1在评标过程中，评标委员会可以书面形式要求投标人对投标文件中含义不明确的内容、明显文字或计算错误进行书面澄清或说明。评标委员会不接受投标人主动提出的澄清、说明。投标人不按评标委员会要求澄清或说明的，评标委员会应否决其投标。</w:t>
      </w:r>
    </w:p>
    <w:p w14:paraId="47A86E79">
      <w:pPr>
        <w:spacing w:line="360" w:lineRule="auto"/>
        <w:ind w:firstLine="480"/>
        <w:rPr>
          <w:color w:val="auto"/>
          <w:lang w:eastAsia="zh-CN"/>
        </w:rPr>
      </w:pPr>
      <w:r>
        <w:rPr>
          <w:rFonts w:hint="eastAsia"/>
          <w:color w:val="auto"/>
          <w:lang w:eastAsia="zh-CN"/>
        </w:rPr>
        <w:t>3.7.2澄清和说明不得超出投标文件的范围或改变投标文件的实质性内容（算术性错误的修正除外）。投标人的书面澄清、说明属于投标文件的组成部分。</w:t>
      </w:r>
    </w:p>
    <w:p w14:paraId="23A2E97B">
      <w:pPr>
        <w:spacing w:line="360" w:lineRule="auto"/>
        <w:ind w:firstLine="480"/>
        <w:rPr>
          <w:color w:val="auto"/>
          <w:lang w:eastAsia="zh-CN"/>
        </w:rPr>
      </w:pPr>
      <w:r>
        <w:rPr>
          <w:rFonts w:hint="eastAsia"/>
          <w:color w:val="auto"/>
          <w:lang w:eastAsia="zh-CN"/>
        </w:rPr>
        <w:t>3.7.3评标委员会不得暗示或诱导投标人作出澄清、说明，对投标人提交的澄清、说明有疑问的，可以要求投标人进一步澄清或说明，直至满足评标委员会的要求。</w:t>
      </w:r>
    </w:p>
    <w:p w14:paraId="3BE3DF23">
      <w:pPr>
        <w:spacing w:line="360" w:lineRule="auto"/>
        <w:ind w:firstLine="480"/>
        <w:rPr>
          <w:color w:val="auto"/>
          <w:lang w:eastAsia="zh-CN"/>
        </w:rPr>
      </w:pPr>
      <w:r>
        <w:rPr>
          <w:rFonts w:hint="eastAsia"/>
          <w:color w:val="auto"/>
          <w:lang w:eastAsia="zh-CN"/>
        </w:rPr>
        <w:t>3.7.4凡超出招标文件规定的或给发包人带来未曾要求的利益的变化、偏差或其他因素在评标时不予考虑。</w:t>
      </w:r>
    </w:p>
    <w:p w14:paraId="2FF4182F">
      <w:pPr>
        <w:pStyle w:val="7"/>
        <w:spacing w:before="120" w:after="120"/>
        <w:rPr>
          <w:color w:val="auto"/>
          <w:sz w:val="24"/>
          <w:szCs w:val="24"/>
          <w:lang w:eastAsia="zh-CN"/>
        </w:rPr>
      </w:pPr>
      <w:bookmarkStart w:id="451" w:name="_Toc29435"/>
      <w:r>
        <w:rPr>
          <w:rFonts w:hint="eastAsia"/>
          <w:color w:val="auto"/>
          <w:sz w:val="24"/>
          <w:szCs w:val="24"/>
          <w:lang w:eastAsia="zh-CN"/>
        </w:rPr>
        <w:t>3.8</w:t>
      </w:r>
      <w:r>
        <w:rPr>
          <w:rFonts w:hint="eastAsia"/>
          <w:color w:val="auto"/>
          <w:sz w:val="24"/>
          <w:szCs w:val="24"/>
          <w:lang w:eastAsia="zh-CN"/>
        </w:rPr>
        <w:tab/>
      </w:r>
      <w:r>
        <w:rPr>
          <w:rFonts w:hint="eastAsia" w:ascii="宋体" w:hAnsi="宋体" w:eastAsia="宋体" w:cs="宋体"/>
          <w:color w:val="auto"/>
          <w:sz w:val="24"/>
          <w:szCs w:val="24"/>
          <w:lang w:eastAsia="zh-CN"/>
        </w:rPr>
        <w:t>不得否决投标的情形</w:t>
      </w:r>
      <w:bookmarkEnd w:id="451"/>
    </w:p>
    <w:p w14:paraId="42508E14">
      <w:pPr>
        <w:spacing w:line="360" w:lineRule="auto"/>
        <w:ind w:firstLine="480"/>
        <w:rPr>
          <w:color w:val="auto"/>
          <w:lang w:eastAsia="zh-CN"/>
        </w:rPr>
      </w:pPr>
      <w:r>
        <w:rPr>
          <w:rFonts w:hint="eastAsia"/>
          <w:color w:val="auto"/>
          <w:lang w:eastAsia="zh-CN"/>
        </w:rPr>
        <w:t>投标文件存在第二章“投标人须知”第1.12.3项所列情形的，均视为细微偏差，评标委员会不得否决投标人的投标。</w:t>
      </w:r>
    </w:p>
    <w:p w14:paraId="2767684A">
      <w:pPr>
        <w:pStyle w:val="7"/>
        <w:spacing w:before="120" w:after="120"/>
        <w:rPr>
          <w:color w:val="auto"/>
          <w:sz w:val="24"/>
          <w:szCs w:val="24"/>
          <w:lang w:eastAsia="zh-CN"/>
        </w:rPr>
      </w:pPr>
      <w:bookmarkStart w:id="452" w:name="_Toc25710"/>
      <w:r>
        <w:rPr>
          <w:rFonts w:hint="eastAsia"/>
          <w:color w:val="auto"/>
          <w:sz w:val="24"/>
          <w:szCs w:val="24"/>
          <w:lang w:eastAsia="zh-CN"/>
        </w:rPr>
        <w:t>3.9</w:t>
      </w:r>
      <w:r>
        <w:rPr>
          <w:rFonts w:hint="eastAsia"/>
          <w:color w:val="auto"/>
          <w:sz w:val="24"/>
          <w:szCs w:val="24"/>
          <w:lang w:eastAsia="zh-CN"/>
        </w:rPr>
        <w:tab/>
      </w:r>
      <w:r>
        <w:rPr>
          <w:rFonts w:hint="eastAsia" w:ascii="宋体" w:hAnsi="宋体" w:eastAsia="宋体" w:cs="宋体"/>
          <w:color w:val="auto"/>
          <w:sz w:val="24"/>
          <w:szCs w:val="24"/>
          <w:lang w:eastAsia="zh-CN"/>
        </w:rPr>
        <w:t>评标结果</w:t>
      </w:r>
      <w:bookmarkEnd w:id="452"/>
    </w:p>
    <w:p w14:paraId="45189C40">
      <w:pPr>
        <w:spacing w:line="360" w:lineRule="auto"/>
        <w:ind w:firstLine="480"/>
        <w:rPr>
          <w:color w:val="auto"/>
          <w:lang w:eastAsia="zh-CN"/>
        </w:rPr>
      </w:pPr>
      <w:r>
        <w:rPr>
          <w:rFonts w:hint="eastAsia"/>
          <w:color w:val="auto"/>
          <w:lang w:eastAsia="zh-CN"/>
        </w:rPr>
        <w:t>3.9.1除第二章“投标人须知”前附表授权直接确定中标人外，评标委员会按照得分由高到低的顺序推荐中标候选人，并标明排序。</w:t>
      </w:r>
    </w:p>
    <w:p w14:paraId="072D522A">
      <w:pPr>
        <w:spacing w:line="360" w:lineRule="auto"/>
        <w:ind w:firstLine="480"/>
        <w:rPr>
          <w:rFonts w:ascii="宋体" w:hAnsi="宋体"/>
          <w:b/>
          <w:color w:val="auto"/>
          <w:sz w:val="28"/>
          <w:szCs w:val="28"/>
          <w:lang w:eastAsia="zh-CN"/>
        </w:rPr>
      </w:pPr>
      <w:r>
        <w:rPr>
          <w:rFonts w:hint="eastAsia"/>
          <w:color w:val="auto"/>
          <w:lang w:eastAsia="zh-CN"/>
        </w:rPr>
        <w:t>3.9.2评标委员会完成评标后，应向招标人提交书面评标报告。</w:t>
      </w:r>
    </w:p>
    <w:p w14:paraId="70B5DC83">
      <w:pPr>
        <w:spacing w:line="440" w:lineRule="exact"/>
        <w:jc w:val="both"/>
        <w:rPr>
          <w:rFonts w:eastAsia="宋体"/>
          <w:color w:val="auto"/>
          <w:kern w:val="2"/>
          <w:lang w:eastAsia="zh-CN" w:bidi="ar-SA"/>
        </w:rPr>
      </w:pPr>
    </w:p>
    <w:p w14:paraId="62584371">
      <w:pPr>
        <w:widowControl/>
        <w:rPr>
          <w:rFonts w:eastAsia="宋体" w:cs="宋体"/>
          <w:b/>
          <w:color w:val="auto"/>
          <w:sz w:val="30"/>
          <w:szCs w:val="30"/>
          <w:lang w:eastAsia="zh-CN" w:bidi="ar-SA"/>
        </w:rPr>
        <w:sectPr>
          <w:footerReference r:id="rId29" w:type="default"/>
          <w:headerReference r:id="rId28" w:type="even"/>
          <w:footerReference r:id="rId30" w:type="even"/>
          <w:footnotePr>
            <w:numFmt w:val="decimalEnclosedCircleChinese"/>
            <w:numRestart w:val="eachPage"/>
          </w:footnotePr>
          <w:pgSz w:w="11906" w:h="16838"/>
          <w:pgMar w:top="1418" w:right="1588" w:bottom="1418" w:left="1588" w:header="680" w:footer="992" w:gutter="0"/>
          <w:cols w:space="720" w:num="1"/>
          <w:docGrid w:linePitch="326" w:charSpace="0"/>
        </w:sectPr>
      </w:pPr>
      <w:r>
        <w:rPr>
          <w:rFonts w:eastAsia="宋体" w:cs="宋体"/>
          <w:b/>
          <w:color w:val="auto"/>
          <w:sz w:val="30"/>
          <w:szCs w:val="30"/>
          <w:lang w:eastAsia="zh-CN" w:bidi="ar-SA"/>
        </w:rPr>
        <w:br w:type="page"/>
      </w:r>
    </w:p>
    <w:p w14:paraId="1DD2AA66">
      <w:pPr>
        <w:widowControl/>
        <w:spacing w:before="240" w:beforeLines="100" w:after="240" w:afterLines="100" w:line="360" w:lineRule="auto"/>
        <w:jc w:val="center"/>
        <w:outlineLvl w:val="0"/>
        <w:rPr>
          <w:rFonts w:hint="eastAsia" w:ascii="宋体" w:hAnsi="宋体" w:eastAsia="宋体" w:cs="宋体"/>
          <w:b/>
          <w:color w:val="auto"/>
          <w:spacing w:val="-10"/>
          <w:sz w:val="36"/>
          <w:szCs w:val="36"/>
          <w:lang w:eastAsia="zh-CN" w:bidi="ar-SA"/>
        </w:rPr>
        <w:sectPr>
          <w:headerReference r:id="rId31" w:type="default"/>
          <w:footnotePr>
            <w:numFmt w:val="decimalEnclosedCircleChinese"/>
            <w:numRestart w:val="eachPage"/>
          </w:footnotePr>
          <w:pgSz w:w="11906" w:h="16838"/>
          <w:pgMar w:top="1418" w:right="1588" w:bottom="1418" w:left="1588" w:header="680" w:footer="992" w:gutter="0"/>
          <w:cols w:space="720" w:num="1"/>
          <w:vAlign w:val="center"/>
          <w:docGrid w:linePitch="326" w:charSpace="0"/>
        </w:sectPr>
      </w:pPr>
      <w:bookmarkStart w:id="453" w:name="_Toc8636"/>
      <w:r>
        <w:rPr>
          <w:rFonts w:ascii="宋体" w:hAnsi="宋体" w:eastAsia="宋体"/>
          <w:b/>
          <w:color w:val="auto"/>
          <w:spacing w:val="-11"/>
          <w:sz w:val="44"/>
          <w:szCs w:val="44"/>
          <w:lang w:eastAsia="zh-CN" w:bidi="ar-SA"/>
        </w:rPr>
        <w:t>第四章</w:t>
      </w:r>
      <w:r>
        <w:rPr>
          <w:rFonts w:hint="eastAsia" w:ascii="宋体" w:hAnsi="宋体" w:eastAsia="宋体"/>
          <w:b/>
          <w:color w:val="auto"/>
          <w:spacing w:val="-11"/>
          <w:sz w:val="44"/>
          <w:szCs w:val="44"/>
          <w:lang w:eastAsia="zh-CN" w:bidi="ar-SA"/>
        </w:rPr>
        <w:t xml:space="preserve">    </w:t>
      </w:r>
      <w:r>
        <w:rPr>
          <w:rFonts w:ascii="宋体" w:hAnsi="宋体" w:eastAsia="宋体"/>
          <w:b/>
          <w:color w:val="auto"/>
          <w:spacing w:val="-11"/>
          <w:sz w:val="44"/>
          <w:szCs w:val="44"/>
          <w:lang w:eastAsia="zh-CN" w:bidi="ar-SA"/>
        </w:rPr>
        <w:t>合同条款及格式</w:t>
      </w:r>
      <w:bookmarkEnd w:id="453"/>
    </w:p>
    <w:p w14:paraId="106BC162">
      <w:pPr>
        <w:pStyle w:val="5"/>
        <w:outlineLvl w:val="1"/>
        <w:rPr>
          <w:rFonts w:ascii="Calibri Light" w:hAnsi="Calibri Light" w:eastAsia="宋体"/>
          <w:bCs/>
          <w:color w:val="auto"/>
          <w:kern w:val="2"/>
          <w:szCs w:val="32"/>
          <w:lang w:eastAsia="zh-CN" w:bidi="ar-SA"/>
        </w:rPr>
      </w:pPr>
      <w:r>
        <w:rPr>
          <w:rFonts w:hint="eastAsia" w:eastAsia="宋体" w:cs="宋体"/>
          <w:b w:val="0"/>
          <w:color w:val="auto"/>
          <w:spacing w:val="-10"/>
          <w:kern w:val="28"/>
          <w:szCs w:val="32"/>
          <w:lang w:eastAsia="zh-CN" w:bidi="ar-SA"/>
        </w:rPr>
        <w:t xml:space="preserve"> </w:t>
      </w:r>
      <w:bookmarkStart w:id="454" w:name="_Toc32399"/>
      <w:bookmarkStart w:id="455" w:name="_Toc504633906"/>
      <w:r>
        <w:rPr>
          <w:rFonts w:hint="eastAsia" w:ascii="Calibri Light" w:hAnsi="Calibri Light" w:eastAsia="宋体"/>
          <w:bCs/>
          <w:color w:val="auto"/>
          <w:kern w:val="2"/>
          <w:szCs w:val="32"/>
          <w:lang w:eastAsia="zh-CN" w:bidi="ar-SA"/>
        </w:rPr>
        <w:t xml:space="preserve">第一节 </w:t>
      </w:r>
      <w:r>
        <w:rPr>
          <w:rFonts w:ascii="Calibri Light" w:hAnsi="Calibri Light" w:eastAsia="宋体"/>
          <w:bCs/>
          <w:color w:val="auto"/>
          <w:kern w:val="2"/>
          <w:szCs w:val="32"/>
          <w:lang w:eastAsia="zh-CN" w:bidi="ar-SA"/>
        </w:rPr>
        <w:t xml:space="preserve">  </w:t>
      </w:r>
      <w:r>
        <w:rPr>
          <w:rFonts w:hint="eastAsia" w:ascii="Calibri Light" w:hAnsi="Calibri Light" w:eastAsia="宋体"/>
          <w:bCs/>
          <w:color w:val="auto"/>
          <w:kern w:val="2"/>
          <w:szCs w:val="32"/>
          <w:lang w:eastAsia="zh-CN" w:bidi="ar-SA"/>
        </w:rPr>
        <w:t>通用合同条款</w:t>
      </w:r>
      <w:bookmarkEnd w:id="454"/>
      <w:bookmarkEnd w:id="455"/>
    </w:p>
    <w:p w14:paraId="3FF4EF92">
      <w:pPr>
        <w:keepNext/>
        <w:keepLines/>
        <w:spacing w:line="360" w:lineRule="auto"/>
        <w:outlineLvl w:val="1"/>
        <w:rPr>
          <w:rFonts w:ascii="Arial" w:hAnsi="Arial" w:eastAsia="宋体"/>
          <w:b/>
          <w:bCs/>
          <w:color w:val="auto"/>
          <w:kern w:val="2"/>
          <w:sz w:val="28"/>
          <w:szCs w:val="32"/>
          <w:lang w:eastAsia="zh-CN" w:bidi="ar-SA"/>
        </w:rPr>
      </w:pPr>
      <w:bookmarkStart w:id="456" w:name="_Toc504633907"/>
      <w:bookmarkStart w:id="457" w:name="_Toc482188546"/>
      <w:bookmarkStart w:id="458" w:name="_Toc3282"/>
      <w:bookmarkStart w:id="459" w:name="_Toc492300639"/>
      <w:r>
        <w:rPr>
          <w:rFonts w:ascii="Arial" w:hAnsi="Arial" w:eastAsia="宋体"/>
          <w:b/>
          <w:bCs/>
          <w:color w:val="auto"/>
          <w:kern w:val="2"/>
          <w:sz w:val="28"/>
          <w:szCs w:val="32"/>
          <w:lang w:eastAsia="zh-CN" w:bidi="ar-SA"/>
        </w:rPr>
        <w:t>1. 一般约定</w:t>
      </w:r>
      <w:bookmarkEnd w:id="456"/>
      <w:bookmarkEnd w:id="457"/>
      <w:bookmarkEnd w:id="458"/>
      <w:bookmarkEnd w:id="459"/>
    </w:p>
    <w:p w14:paraId="32977CF2">
      <w:pPr>
        <w:keepNext/>
        <w:keepLines/>
        <w:spacing w:line="360" w:lineRule="auto"/>
        <w:jc w:val="both"/>
        <w:outlineLvl w:val="2"/>
        <w:rPr>
          <w:rFonts w:eastAsia="宋体"/>
          <w:b/>
          <w:bCs/>
          <w:color w:val="auto"/>
          <w:kern w:val="2"/>
          <w:szCs w:val="32"/>
          <w:lang w:eastAsia="zh-CN" w:bidi="ar-SA"/>
        </w:rPr>
      </w:pPr>
      <w:bookmarkStart w:id="460" w:name="_Toc482188547"/>
      <w:bookmarkStart w:id="461" w:name="_Toc492300640"/>
      <w:bookmarkStart w:id="462" w:name="_Toc2821"/>
      <w:r>
        <w:rPr>
          <w:rFonts w:eastAsia="宋体"/>
          <w:b/>
          <w:bCs/>
          <w:color w:val="auto"/>
          <w:kern w:val="2"/>
          <w:szCs w:val="32"/>
          <w:lang w:eastAsia="zh-CN" w:bidi="ar-SA"/>
        </w:rPr>
        <w:t xml:space="preserve">1.1 </w:t>
      </w:r>
      <w:r>
        <w:rPr>
          <w:rFonts w:hint="eastAsia" w:eastAsia="宋体"/>
          <w:b/>
          <w:bCs/>
          <w:color w:val="auto"/>
          <w:kern w:val="2"/>
          <w:szCs w:val="32"/>
          <w:lang w:eastAsia="zh-CN" w:bidi="ar-SA"/>
        </w:rPr>
        <w:t>词语定义</w:t>
      </w:r>
      <w:bookmarkEnd w:id="460"/>
      <w:bookmarkEnd w:id="461"/>
      <w:bookmarkEnd w:id="462"/>
    </w:p>
    <w:p w14:paraId="78A11FA2">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通用合同条款、专用合同条款中的下列词语应具有本款所赋予的含义。</w:t>
      </w:r>
    </w:p>
    <w:p w14:paraId="5847943E">
      <w:pPr>
        <w:spacing w:line="360" w:lineRule="auto"/>
        <w:ind w:firstLine="413" w:firstLineChars="196"/>
        <w:jc w:val="both"/>
        <w:rPr>
          <w:rFonts w:eastAsia="宋体"/>
          <w:b/>
          <w:color w:val="auto"/>
          <w:kern w:val="2"/>
          <w:sz w:val="21"/>
          <w:szCs w:val="22"/>
          <w:lang w:eastAsia="zh-CN" w:bidi="ar-SA"/>
        </w:rPr>
      </w:pPr>
      <w:r>
        <w:rPr>
          <w:rFonts w:eastAsia="宋体"/>
          <w:b/>
          <w:color w:val="auto"/>
          <w:kern w:val="2"/>
          <w:sz w:val="21"/>
          <w:szCs w:val="22"/>
          <w:lang w:eastAsia="zh-CN" w:bidi="ar-SA"/>
        </w:rPr>
        <w:t>1.1.1 合同</w:t>
      </w:r>
    </w:p>
    <w:p w14:paraId="4D0EFB3E">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2"/>
          <w:lang w:eastAsia="zh-CN" w:bidi="ar-SA"/>
        </w:rPr>
        <w:t>1.1.1.1</w:t>
      </w:r>
      <w:r>
        <w:rPr>
          <w:rFonts w:eastAsia="宋体"/>
          <w:color w:val="auto"/>
          <w:kern w:val="2"/>
          <w:sz w:val="21"/>
          <w:szCs w:val="21"/>
          <w:lang w:eastAsia="zh-CN" w:bidi="ar-SA"/>
        </w:rPr>
        <w:t xml:space="preserve"> 合同文件（或称合同）：指合同协议书、中标通知书、投标函和投标函附录、专用合同条款、通用合同条款、委托人要求、监理报酬清单</w:t>
      </w:r>
      <w:r>
        <w:rPr>
          <w:rFonts w:hint="eastAsia" w:eastAsia="宋体"/>
          <w:color w:val="auto"/>
          <w:kern w:val="2"/>
          <w:sz w:val="21"/>
          <w:szCs w:val="21"/>
          <w:lang w:eastAsia="zh-CN" w:bidi="ar-SA"/>
        </w:rPr>
        <w:t>、</w:t>
      </w:r>
      <w:r>
        <w:rPr>
          <w:rFonts w:eastAsia="宋体"/>
          <w:color w:val="auto"/>
          <w:kern w:val="2"/>
          <w:sz w:val="21"/>
          <w:szCs w:val="21"/>
          <w:lang w:eastAsia="zh-CN" w:bidi="ar-SA"/>
        </w:rPr>
        <w:t>监理大纲，以及其他构成合同组成部分的文件。</w:t>
      </w:r>
    </w:p>
    <w:p w14:paraId="52C968DE">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2"/>
          <w:lang w:eastAsia="zh-CN" w:bidi="ar-SA"/>
        </w:rPr>
        <w:t>1.1.1.2</w:t>
      </w:r>
      <w:r>
        <w:rPr>
          <w:rFonts w:eastAsia="宋体"/>
          <w:color w:val="auto"/>
          <w:kern w:val="2"/>
          <w:sz w:val="21"/>
          <w:szCs w:val="21"/>
          <w:lang w:eastAsia="zh-CN" w:bidi="ar-SA"/>
        </w:rPr>
        <w:t xml:space="preserve"> 合同协议书：指委托人和监理人共同签署的合同协议书。</w:t>
      </w:r>
    </w:p>
    <w:p w14:paraId="13C8E358">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2"/>
          <w:lang w:eastAsia="zh-CN" w:bidi="ar-SA"/>
        </w:rPr>
        <w:t>1.1.1.3</w:t>
      </w:r>
      <w:r>
        <w:rPr>
          <w:rFonts w:eastAsia="宋体"/>
          <w:color w:val="auto"/>
          <w:kern w:val="2"/>
          <w:sz w:val="21"/>
          <w:szCs w:val="21"/>
          <w:lang w:eastAsia="zh-CN" w:bidi="ar-SA"/>
        </w:rPr>
        <w:t xml:space="preserve"> 中标通知书：</w:t>
      </w:r>
      <w:r>
        <w:rPr>
          <w:rFonts w:eastAsia="宋体"/>
          <w:color w:val="auto"/>
          <w:kern w:val="2"/>
          <w:sz w:val="21"/>
          <w:szCs w:val="22"/>
          <w:lang w:eastAsia="zh-CN" w:bidi="ar-SA"/>
        </w:rPr>
        <w:t>指</w:t>
      </w:r>
      <w:r>
        <w:rPr>
          <w:rFonts w:eastAsia="宋体"/>
          <w:color w:val="auto"/>
          <w:kern w:val="2"/>
          <w:sz w:val="21"/>
          <w:szCs w:val="21"/>
          <w:lang w:eastAsia="zh-CN" w:bidi="ar-SA"/>
        </w:rPr>
        <w:t>委托人通知监理人中标的函件。</w:t>
      </w:r>
    </w:p>
    <w:p w14:paraId="1CC66084">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2"/>
          <w:lang w:eastAsia="zh-CN" w:bidi="ar-SA"/>
        </w:rPr>
        <w:t>1.1.1.4</w:t>
      </w:r>
      <w:r>
        <w:rPr>
          <w:rFonts w:eastAsia="宋体"/>
          <w:color w:val="auto"/>
          <w:kern w:val="2"/>
          <w:sz w:val="21"/>
          <w:szCs w:val="21"/>
          <w:lang w:eastAsia="zh-CN" w:bidi="ar-SA"/>
        </w:rPr>
        <w:t xml:space="preserve"> 投标函：指由监理人填写并签署的，名为“投标函”的函件。</w:t>
      </w:r>
    </w:p>
    <w:p w14:paraId="01716E9D">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2"/>
          <w:lang w:eastAsia="zh-CN" w:bidi="ar-SA"/>
        </w:rPr>
        <w:t>1.1.1.5</w:t>
      </w:r>
      <w:r>
        <w:rPr>
          <w:rFonts w:eastAsia="宋体"/>
          <w:color w:val="auto"/>
          <w:kern w:val="2"/>
          <w:sz w:val="21"/>
          <w:szCs w:val="21"/>
          <w:lang w:eastAsia="zh-CN" w:bidi="ar-SA"/>
        </w:rPr>
        <w:t xml:space="preserve"> 投标函附录：指</w:t>
      </w:r>
      <w:r>
        <w:rPr>
          <w:rFonts w:hint="eastAsia" w:eastAsia="宋体"/>
          <w:color w:val="auto"/>
          <w:kern w:val="2"/>
          <w:sz w:val="21"/>
          <w:szCs w:val="21"/>
          <w:lang w:eastAsia="zh-CN" w:bidi="ar-SA"/>
        </w:rPr>
        <w:t>由</w:t>
      </w:r>
      <w:r>
        <w:rPr>
          <w:rFonts w:eastAsia="宋体"/>
          <w:color w:val="auto"/>
          <w:kern w:val="2"/>
          <w:sz w:val="21"/>
          <w:szCs w:val="21"/>
          <w:lang w:eastAsia="zh-CN" w:bidi="ar-SA"/>
        </w:rPr>
        <w:t>监理人填写并签署的</w:t>
      </w:r>
      <w:r>
        <w:rPr>
          <w:rFonts w:hint="eastAsia" w:eastAsia="宋体"/>
          <w:color w:val="auto"/>
          <w:kern w:val="2"/>
          <w:sz w:val="21"/>
          <w:szCs w:val="21"/>
          <w:lang w:eastAsia="zh-CN" w:bidi="ar-SA"/>
        </w:rPr>
        <w:t>、</w:t>
      </w:r>
      <w:r>
        <w:rPr>
          <w:rFonts w:eastAsia="宋体"/>
          <w:color w:val="auto"/>
          <w:kern w:val="2"/>
          <w:sz w:val="21"/>
          <w:szCs w:val="21"/>
          <w:lang w:eastAsia="zh-CN" w:bidi="ar-SA"/>
        </w:rPr>
        <w:t>附在投标函后，名为“投标函附录”的函件。</w:t>
      </w:r>
    </w:p>
    <w:p w14:paraId="77AD3B86">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2"/>
          <w:lang w:eastAsia="zh-CN" w:bidi="ar-SA"/>
        </w:rPr>
        <w:t>1.1.1.6</w:t>
      </w:r>
      <w:r>
        <w:rPr>
          <w:rFonts w:eastAsia="宋体"/>
          <w:color w:val="auto"/>
          <w:kern w:val="2"/>
          <w:sz w:val="21"/>
          <w:szCs w:val="21"/>
          <w:lang w:eastAsia="zh-CN" w:bidi="ar-SA"/>
        </w:rPr>
        <w:t xml:space="preserve"> 委托人要求：指合同文件中名为“委托人要求”的文件。</w:t>
      </w:r>
    </w:p>
    <w:p w14:paraId="4BD17040">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1.1.1.7 监理大纲：指监理人在投标文件中的监理大纲。</w:t>
      </w:r>
    </w:p>
    <w:p w14:paraId="3CCC3445">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2"/>
          <w:lang w:eastAsia="zh-CN" w:bidi="ar-SA"/>
        </w:rPr>
        <w:t>1.1.1.8</w:t>
      </w:r>
      <w:r>
        <w:rPr>
          <w:rFonts w:eastAsia="宋体"/>
          <w:color w:val="auto"/>
          <w:kern w:val="2"/>
          <w:sz w:val="21"/>
          <w:szCs w:val="21"/>
          <w:lang w:eastAsia="zh-CN" w:bidi="ar-SA"/>
        </w:rPr>
        <w:t xml:space="preserve"> 监理报酬清单：指监理人投标文件中的监理报酬清单。</w:t>
      </w:r>
    </w:p>
    <w:p w14:paraId="00FE1FED">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2"/>
          <w:lang w:eastAsia="zh-CN" w:bidi="ar-SA"/>
        </w:rPr>
        <w:t>1.1.1.9</w:t>
      </w:r>
      <w:r>
        <w:rPr>
          <w:rFonts w:eastAsia="宋体"/>
          <w:color w:val="auto"/>
          <w:kern w:val="2"/>
          <w:sz w:val="21"/>
          <w:szCs w:val="21"/>
          <w:lang w:eastAsia="zh-CN" w:bidi="ar-SA"/>
        </w:rPr>
        <w:t xml:space="preserve"> 其他合同文件：指经合同双方当事人确认构成合同文件的其他文件。</w:t>
      </w:r>
    </w:p>
    <w:p w14:paraId="301B66F2">
      <w:pPr>
        <w:spacing w:line="360" w:lineRule="auto"/>
        <w:ind w:firstLine="413" w:firstLineChars="196"/>
        <w:jc w:val="both"/>
        <w:rPr>
          <w:rFonts w:eastAsia="宋体"/>
          <w:b/>
          <w:color w:val="auto"/>
          <w:kern w:val="2"/>
          <w:sz w:val="21"/>
          <w:szCs w:val="22"/>
          <w:lang w:eastAsia="zh-CN" w:bidi="ar-SA"/>
        </w:rPr>
      </w:pPr>
      <w:r>
        <w:rPr>
          <w:rFonts w:eastAsia="宋体"/>
          <w:b/>
          <w:color w:val="auto"/>
          <w:kern w:val="2"/>
          <w:sz w:val="21"/>
          <w:szCs w:val="22"/>
          <w:lang w:eastAsia="zh-CN" w:bidi="ar-SA"/>
        </w:rPr>
        <w:t>1.1.2 合同当事人和人员</w:t>
      </w:r>
    </w:p>
    <w:p w14:paraId="26490CF6">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1.1.2.1 合同当事人：指委托人和（或）监理人。</w:t>
      </w:r>
    </w:p>
    <w:p w14:paraId="5B82FD70">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1.1.2.2 委托人：指与监理人签订合同协议书的当事人</w:t>
      </w:r>
      <w:r>
        <w:rPr>
          <w:rFonts w:eastAsia="宋体"/>
          <w:color w:val="auto"/>
          <w:sz w:val="21"/>
          <w:szCs w:val="21"/>
          <w:lang w:eastAsia="zh-CN" w:bidi="ar-SA"/>
        </w:rPr>
        <w:t>，及其</w:t>
      </w:r>
      <w:r>
        <w:rPr>
          <w:rFonts w:eastAsia="宋体"/>
          <w:color w:val="auto"/>
          <w:sz w:val="21"/>
          <w:lang w:eastAsia="zh-CN" w:bidi="ar-SA"/>
        </w:rPr>
        <w:t>合法继承人</w:t>
      </w:r>
      <w:r>
        <w:rPr>
          <w:rFonts w:eastAsia="宋体"/>
          <w:color w:val="auto"/>
          <w:kern w:val="2"/>
          <w:sz w:val="21"/>
          <w:szCs w:val="21"/>
          <w:lang w:eastAsia="zh-CN" w:bidi="ar-SA"/>
        </w:rPr>
        <w:t>。</w:t>
      </w:r>
    </w:p>
    <w:p w14:paraId="4B419F7F">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1.1.2.3 监理人：指与委托人签订合同协议书的当事人</w:t>
      </w:r>
      <w:r>
        <w:rPr>
          <w:rFonts w:eastAsia="宋体"/>
          <w:color w:val="auto"/>
          <w:sz w:val="21"/>
          <w:szCs w:val="21"/>
          <w:lang w:eastAsia="zh-CN" w:bidi="ar-SA"/>
        </w:rPr>
        <w:t>，及其</w:t>
      </w:r>
      <w:r>
        <w:rPr>
          <w:rFonts w:eastAsia="宋体"/>
          <w:color w:val="auto"/>
          <w:sz w:val="21"/>
          <w:lang w:eastAsia="zh-CN" w:bidi="ar-SA"/>
        </w:rPr>
        <w:t>合法继承人</w:t>
      </w:r>
      <w:r>
        <w:rPr>
          <w:rFonts w:eastAsia="宋体"/>
          <w:color w:val="auto"/>
          <w:kern w:val="2"/>
          <w:sz w:val="21"/>
          <w:szCs w:val="21"/>
          <w:lang w:eastAsia="zh-CN" w:bidi="ar-SA"/>
        </w:rPr>
        <w:t>。</w:t>
      </w:r>
    </w:p>
    <w:p w14:paraId="2F909937">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1.1.2.4 委托人代表：指由委托人任命，并在授权范围和期限内代表委托人行使权利和履行义务的全权负责人。</w:t>
      </w:r>
    </w:p>
    <w:p w14:paraId="595290CC">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1.1.2.5 总监理工程师：指由监理人任命，代表监理人行使权利和履行义务的全权负责人。</w:t>
      </w:r>
    </w:p>
    <w:p w14:paraId="4F89B654">
      <w:pPr>
        <w:spacing w:line="360" w:lineRule="auto"/>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1.1.2.6 承包人：指在本工程监理范围内，与委托人签订勘察、设计、施工承包合同的当事人。</w:t>
      </w:r>
    </w:p>
    <w:p w14:paraId="712494A5">
      <w:pPr>
        <w:spacing w:line="360" w:lineRule="auto"/>
        <w:ind w:firstLine="422" w:firstLineChars="200"/>
        <w:jc w:val="both"/>
        <w:rPr>
          <w:rFonts w:eastAsia="宋体"/>
          <w:b/>
          <w:color w:val="auto"/>
          <w:kern w:val="2"/>
          <w:sz w:val="21"/>
          <w:szCs w:val="22"/>
          <w:lang w:eastAsia="zh-CN" w:bidi="ar-SA"/>
        </w:rPr>
      </w:pPr>
      <w:r>
        <w:rPr>
          <w:rFonts w:eastAsia="宋体"/>
          <w:b/>
          <w:color w:val="auto"/>
          <w:kern w:val="2"/>
          <w:sz w:val="21"/>
          <w:szCs w:val="22"/>
          <w:lang w:eastAsia="zh-CN" w:bidi="ar-SA"/>
        </w:rPr>
        <w:t>1.1.3 工程和监理</w:t>
      </w:r>
    </w:p>
    <w:p w14:paraId="23677FDF">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1.1.3.1 工程：指永久工程和（或）临时工程。</w:t>
      </w:r>
    </w:p>
    <w:p w14:paraId="54A1404A">
      <w:pPr>
        <w:spacing w:line="360" w:lineRule="auto"/>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1.1.3.2 监理服务：指监理人接受委托人的委托，依照法律、规范标准和监理合同等，对建设工程勘察、设计或施工等阶段进行质量控制、进度控制、投资控制、合同管理、信息管理、组织协调和安全监理、环保监理的服务活动。</w:t>
      </w:r>
    </w:p>
    <w:p w14:paraId="492C2C27">
      <w:pPr>
        <w:spacing w:line="360" w:lineRule="auto"/>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1.1.3.3 监理资料：是委托人按合同约定向监理人提供的，用于完成监理范围与内容所需要的资料。</w:t>
      </w:r>
    </w:p>
    <w:p w14:paraId="3EA6A2C5">
      <w:pPr>
        <w:spacing w:line="360" w:lineRule="auto"/>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1.1.3.4 监理文件：指监理人按合同约定向委托人提交的监理大纲、监理规划、监理实施细则、监理日志、监理报告、工程质量评估报告、事故处理文件、监理工作总结和其他文件等，包括阶段性文件和最终文件，且应当采用合同中双方约定的格式和载体。</w:t>
      </w:r>
    </w:p>
    <w:p w14:paraId="19BF27CD">
      <w:pPr>
        <w:spacing w:line="360" w:lineRule="auto"/>
        <w:ind w:firstLine="413" w:firstLineChars="196"/>
        <w:jc w:val="both"/>
        <w:rPr>
          <w:rFonts w:eastAsia="宋体"/>
          <w:b/>
          <w:color w:val="auto"/>
          <w:kern w:val="2"/>
          <w:sz w:val="21"/>
          <w:szCs w:val="22"/>
          <w:lang w:eastAsia="zh-CN" w:bidi="ar-SA"/>
        </w:rPr>
      </w:pPr>
      <w:r>
        <w:rPr>
          <w:rFonts w:eastAsia="宋体"/>
          <w:b/>
          <w:color w:val="auto"/>
          <w:kern w:val="2"/>
          <w:sz w:val="21"/>
          <w:szCs w:val="22"/>
          <w:lang w:eastAsia="zh-CN" w:bidi="ar-SA"/>
        </w:rPr>
        <w:t>1.1.4 日期</w:t>
      </w:r>
    </w:p>
    <w:p w14:paraId="55669AD8">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1.1.4.1 开始监理通知：指委托人按第6.1款通知监理人开始监理的函件。</w:t>
      </w:r>
    </w:p>
    <w:p w14:paraId="5C4F3339">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1.1.4.2 开始监理日期：指委托人按第6.1款发出的开始监理通知中写明的开始监理日期。</w:t>
      </w:r>
    </w:p>
    <w:p w14:paraId="656CFAFB">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1.1.4.3 监理服务期限：指监理人在投标函中承诺的完成合同监理服务所需的期限，包括按第6.2款和第6.3.2项约定所作的调整。</w:t>
      </w:r>
    </w:p>
    <w:p w14:paraId="20E550E4">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1.1.4.4 完成监理日期：指第1.1.4.3目约定监理服务期限届满时的日期。</w:t>
      </w:r>
    </w:p>
    <w:p w14:paraId="185D0F46">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1.1.4.5 基准日：指投标截止时间前28天的日期。</w:t>
      </w:r>
    </w:p>
    <w:p w14:paraId="451FBF1B">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1.1.4.6 天：除特别指明外，指日历天。合同中按天计算时间的，开始当天不计入，从次日开始计算。期限最后一天的截止时间为当天24:00。</w:t>
      </w:r>
    </w:p>
    <w:p w14:paraId="6DF33E01">
      <w:pPr>
        <w:spacing w:line="360" w:lineRule="auto"/>
        <w:ind w:firstLine="413" w:firstLineChars="196"/>
        <w:jc w:val="both"/>
        <w:rPr>
          <w:rFonts w:eastAsia="宋体"/>
          <w:b/>
          <w:color w:val="auto"/>
          <w:kern w:val="2"/>
          <w:sz w:val="21"/>
          <w:szCs w:val="22"/>
          <w:lang w:eastAsia="zh-CN" w:bidi="ar-SA"/>
        </w:rPr>
      </w:pPr>
      <w:r>
        <w:rPr>
          <w:rFonts w:eastAsia="宋体"/>
          <w:b/>
          <w:color w:val="auto"/>
          <w:kern w:val="2"/>
          <w:sz w:val="21"/>
          <w:szCs w:val="22"/>
          <w:lang w:eastAsia="zh-CN" w:bidi="ar-SA"/>
        </w:rPr>
        <w:t>1.1.5 合同价格和费用</w:t>
      </w:r>
    </w:p>
    <w:p w14:paraId="279EAC58">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1.1.5.1 签约合同价：指签订合同时合同协议书中写明的监理报酬总金额。</w:t>
      </w:r>
    </w:p>
    <w:p w14:paraId="0D4668BD">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1.1.5.2 合同价格：指监理人按合同约定完成了全部监理工作后，委托人应付给监理人的金额，包括在履行合同过程中按合同约定进行的变更和调整。</w:t>
      </w:r>
    </w:p>
    <w:p w14:paraId="612CDA0C">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1.1.5.3 费用：指为履行合同所发生的或将要发生的所有合理开支，包括管理费和应分摊的其他费用，但不包括利润。</w:t>
      </w:r>
    </w:p>
    <w:p w14:paraId="10B5F1D4">
      <w:pPr>
        <w:spacing w:line="360" w:lineRule="auto"/>
        <w:ind w:firstLine="413" w:firstLineChars="196"/>
        <w:jc w:val="both"/>
        <w:rPr>
          <w:rFonts w:eastAsia="宋体"/>
          <w:b/>
          <w:color w:val="auto"/>
          <w:kern w:val="2"/>
          <w:sz w:val="21"/>
          <w:szCs w:val="22"/>
          <w:lang w:eastAsia="zh-CN" w:bidi="ar-SA"/>
        </w:rPr>
      </w:pPr>
      <w:r>
        <w:rPr>
          <w:rFonts w:eastAsia="宋体"/>
          <w:b/>
          <w:color w:val="auto"/>
          <w:kern w:val="2"/>
          <w:sz w:val="21"/>
          <w:szCs w:val="22"/>
          <w:lang w:eastAsia="zh-CN" w:bidi="ar-SA"/>
        </w:rPr>
        <w:t>1.1.6 其他</w:t>
      </w:r>
    </w:p>
    <w:p w14:paraId="2F0B01F9">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1.1.6.1 书面形式：指合同文件、信件和数据电文（包括电报、电传、传真、电子数据交换和电子邮件）等可以有形地表现所载内容的形式。</w:t>
      </w:r>
    </w:p>
    <w:p w14:paraId="54576A86">
      <w:pPr>
        <w:keepNext/>
        <w:keepLines/>
        <w:spacing w:line="360" w:lineRule="auto"/>
        <w:jc w:val="both"/>
        <w:outlineLvl w:val="2"/>
        <w:rPr>
          <w:rFonts w:eastAsia="宋体"/>
          <w:b/>
          <w:bCs/>
          <w:color w:val="auto"/>
          <w:kern w:val="2"/>
          <w:szCs w:val="32"/>
          <w:lang w:eastAsia="zh-CN" w:bidi="ar-SA"/>
        </w:rPr>
      </w:pPr>
      <w:bookmarkStart w:id="463" w:name="_Toc492300641"/>
      <w:bookmarkStart w:id="464" w:name="_Toc4072"/>
      <w:bookmarkStart w:id="465" w:name="_Toc482188548"/>
      <w:bookmarkStart w:id="466" w:name="_Toc492300642"/>
      <w:bookmarkStart w:id="467" w:name="_Toc482188549"/>
      <w:r>
        <w:rPr>
          <w:rFonts w:eastAsia="宋体"/>
          <w:b/>
          <w:bCs/>
          <w:color w:val="auto"/>
          <w:kern w:val="2"/>
          <w:szCs w:val="32"/>
          <w:lang w:eastAsia="zh-CN" w:bidi="ar-SA"/>
        </w:rPr>
        <w:t xml:space="preserve">1.2 </w:t>
      </w:r>
      <w:r>
        <w:rPr>
          <w:rFonts w:hint="eastAsia" w:eastAsia="宋体"/>
          <w:b/>
          <w:bCs/>
          <w:color w:val="auto"/>
          <w:kern w:val="2"/>
          <w:szCs w:val="32"/>
          <w:lang w:eastAsia="zh-CN" w:bidi="ar-SA"/>
        </w:rPr>
        <w:t>语言文字</w:t>
      </w:r>
      <w:bookmarkEnd w:id="463"/>
      <w:bookmarkEnd w:id="464"/>
      <w:bookmarkEnd w:id="465"/>
    </w:p>
    <w:p w14:paraId="389E71F1">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合同使用的语言文字为中文。专用术语使用外文的，应附有中文注释。</w:t>
      </w:r>
    </w:p>
    <w:p w14:paraId="31860D88">
      <w:pPr>
        <w:keepNext/>
        <w:keepLines/>
        <w:spacing w:line="360" w:lineRule="auto"/>
        <w:jc w:val="both"/>
        <w:outlineLvl w:val="2"/>
        <w:rPr>
          <w:rFonts w:eastAsia="宋体"/>
          <w:b/>
          <w:bCs/>
          <w:color w:val="auto"/>
          <w:kern w:val="2"/>
          <w:szCs w:val="32"/>
          <w:lang w:eastAsia="zh-CN" w:bidi="ar-SA"/>
        </w:rPr>
      </w:pPr>
      <w:bookmarkStart w:id="468" w:name="_Toc21369"/>
      <w:r>
        <w:rPr>
          <w:rFonts w:eastAsia="宋体"/>
          <w:b/>
          <w:bCs/>
          <w:color w:val="auto"/>
          <w:kern w:val="2"/>
          <w:szCs w:val="32"/>
          <w:lang w:eastAsia="zh-CN" w:bidi="ar-SA"/>
        </w:rPr>
        <w:t xml:space="preserve">1.3 </w:t>
      </w:r>
      <w:r>
        <w:rPr>
          <w:rFonts w:hint="eastAsia" w:eastAsia="宋体"/>
          <w:b/>
          <w:bCs/>
          <w:color w:val="auto"/>
          <w:kern w:val="2"/>
          <w:szCs w:val="32"/>
          <w:lang w:eastAsia="zh-CN" w:bidi="ar-SA"/>
        </w:rPr>
        <w:t>适用法律</w:t>
      </w:r>
      <w:bookmarkEnd w:id="466"/>
      <w:bookmarkEnd w:id="467"/>
      <w:bookmarkEnd w:id="468"/>
    </w:p>
    <w:p w14:paraId="7EC1F238">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适用于合同的法律包括中华人民共和国法律、行政法规、部门规章，以及工程所在地的地方法规、自治条例、单行条例和地方政府规章。</w:t>
      </w:r>
    </w:p>
    <w:p w14:paraId="71764A0C">
      <w:pPr>
        <w:spacing w:line="360" w:lineRule="auto"/>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本合同适用的其他规范性文件，可在专用合同条款中约定。</w:t>
      </w:r>
    </w:p>
    <w:p w14:paraId="6203AA5D">
      <w:pPr>
        <w:keepNext/>
        <w:keepLines/>
        <w:spacing w:line="360" w:lineRule="auto"/>
        <w:jc w:val="both"/>
        <w:outlineLvl w:val="2"/>
        <w:rPr>
          <w:rFonts w:eastAsia="宋体"/>
          <w:b/>
          <w:bCs/>
          <w:color w:val="auto"/>
          <w:kern w:val="2"/>
          <w:szCs w:val="32"/>
          <w:lang w:eastAsia="zh-CN" w:bidi="ar-SA"/>
        </w:rPr>
      </w:pPr>
      <w:bookmarkStart w:id="469" w:name="_Toc492300643"/>
      <w:bookmarkStart w:id="470" w:name="_Toc482188550"/>
      <w:bookmarkStart w:id="471" w:name="_Toc24584"/>
      <w:r>
        <w:rPr>
          <w:rFonts w:eastAsia="宋体"/>
          <w:b/>
          <w:bCs/>
          <w:color w:val="auto"/>
          <w:kern w:val="2"/>
          <w:szCs w:val="32"/>
          <w:lang w:eastAsia="zh-CN" w:bidi="ar-SA"/>
        </w:rPr>
        <w:t xml:space="preserve">1.4 </w:t>
      </w:r>
      <w:r>
        <w:rPr>
          <w:rFonts w:hint="eastAsia" w:eastAsia="宋体"/>
          <w:b/>
          <w:bCs/>
          <w:color w:val="auto"/>
          <w:kern w:val="2"/>
          <w:szCs w:val="32"/>
          <w:lang w:eastAsia="zh-CN" w:bidi="ar-SA"/>
        </w:rPr>
        <w:t>合同文件的优先顺序</w:t>
      </w:r>
      <w:bookmarkEnd w:id="469"/>
      <w:bookmarkEnd w:id="470"/>
      <w:bookmarkEnd w:id="471"/>
    </w:p>
    <w:p w14:paraId="41ABA34D">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组成合同的各项文件应互相解释，互为说明。除专用合同条款另有约定外，解释合同文件的优先顺序如下：</w:t>
      </w:r>
    </w:p>
    <w:p w14:paraId="70A4A1ED">
      <w:pPr>
        <w:spacing w:line="360" w:lineRule="auto"/>
        <w:ind w:firstLine="420"/>
        <w:jc w:val="both"/>
        <w:rPr>
          <w:rFonts w:eastAsia="宋体"/>
          <w:color w:val="auto"/>
          <w:kern w:val="2"/>
          <w:sz w:val="21"/>
          <w:szCs w:val="22"/>
          <w:lang w:eastAsia="zh-CN" w:bidi="ar-SA"/>
        </w:rPr>
      </w:pPr>
      <w:r>
        <w:rPr>
          <w:rFonts w:eastAsia="宋体"/>
          <w:color w:val="auto"/>
          <w:kern w:val="2"/>
          <w:sz w:val="21"/>
          <w:szCs w:val="22"/>
          <w:lang w:eastAsia="zh-CN" w:bidi="ar-SA"/>
        </w:rPr>
        <w:t>（1）合同协议书；</w:t>
      </w:r>
    </w:p>
    <w:p w14:paraId="76E502F2">
      <w:pPr>
        <w:spacing w:line="360" w:lineRule="auto"/>
        <w:ind w:firstLine="420"/>
        <w:jc w:val="both"/>
        <w:rPr>
          <w:rFonts w:eastAsia="宋体"/>
          <w:color w:val="auto"/>
          <w:kern w:val="2"/>
          <w:sz w:val="21"/>
          <w:szCs w:val="22"/>
          <w:lang w:eastAsia="zh-CN" w:bidi="ar-SA"/>
        </w:rPr>
      </w:pPr>
      <w:r>
        <w:rPr>
          <w:rFonts w:eastAsia="宋体"/>
          <w:color w:val="auto"/>
          <w:kern w:val="2"/>
          <w:sz w:val="21"/>
          <w:szCs w:val="22"/>
          <w:lang w:eastAsia="zh-CN" w:bidi="ar-SA"/>
        </w:rPr>
        <w:t>（2）中标通知书；</w:t>
      </w:r>
    </w:p>
    <w:p w14:paraId="4AAEF5E0">
      <w:pPr>
        <w:spacing w:line="360" w:lineRule="auto"/>
        <w:ind w:firstLine="420"/>
        <w:jc w:val="both"/>
        <w:rPr>
          <w:rFonts w:eastAsia="宋体"/>
          <w:color w:val="auto"/>
          <w:kern w:val="2"/>
          <w:sz w:val="21"/>
          <w:szCs w:val="22"/>
          <w:lang w:eastAsia="zh-CN" w:bidi="ar-SA"/>
        </w:rPr>
      </w:pPr>
      <w:r>
        <w:rPr>
          <w:rFonts w:eastAsia="宋体"/>
          <w:color w:val="auto"/>
          <w:kern w:val="2"/>
          <w:sz w:val="21"/>
          <w:szCs w:val="22"/>
          <w:lang w:eastAsia="zh-CN" w:bidi="ar-SA"/>
        </w:rPr>
        <w:t>（3）投标函及投标函附录；</w:t>
      </w:r>
    </w:p>
    <w:p w14:paraId="351B64DF">
      <w:pPr>
        <w:spacing w:line="360" w:lineRule="auto"/>
        <w:ind w:firstLine="420"/>
        <w:jc w:val="both"/>
        <w:rPr>
          <w:rFonts w:eastAsia="宋体"/>
          <w:color w:val="auto"/>
          <w:kern w:val="2"/>
          <w:sz w:val="21"/>
          <w:szCs w:val="22"/>
          <w:lang w:eastAsia="zh-CN" w:bidi="ar-SA"/>
        </w:rPr>
      </w:pPr>
      <w:r>
        <w:rPr>
          <w:rFonts w:eastAsia="宋体"/>
          <w:color w:val="auto"/>
          <w:kern w:val="2"/>
          <w:sz w:val="21"/>
          <w:szCs w:val="22"/>
          <w:lang w:eastAsia="zh-CN" w:bidi="ar-SA"/>
        </w:rPr>
        <w:t>（4）专用合同条款；</w:t>
      </w:r>
    </w:p>
    <w:p w14:paraId="76F99853">
      <w:pPr>
        <w:spacing w:line="360" w:lineRule="auto"/>
        <w:ind w:firstLine="420"/>
        <w:jc w:val="both"/>
        <w:rPr>
          <w:rFonts w:eastAsia="宋体"/>
          <w:color w:val="auto"/>
          <w:kern w:val="2"/>
          <w:sz w:val="21"/>
          <w:szCs w:val="22"/>
          <w:lang w:eastAsia="zh-CN" w:bidi="ar-SA"/>
        </w:rPr>
      </w:pPr>
      <w:r>
        <w:rPr>
          <w:rFonts w:eastAsia="宋体"/>
          <w:color w:val="auto"/>
          <w:kern w:val="2"/>
          <w:sz w:val="21"/>
          <w:szCs w:val="22"/>
          <w:lang w:eastAsia="zh-CN" w:bidi="ar-SA"/>
        </w:rPr>
        <w:t>（5）通用合同条款；</w:t>
      </w:r>
    </w:p>
    <w:p w14:paraId="605595C5">
      <w:pPr>
        <w:spacing w:line="360" w:lineRule="auto"/>
        <w:ind w:firstLine="420"/>
        <w:jc w:val="both"/>
        <w:rPr>
          <w:rFonts w:eastAsia="宋体"/>
          <w:color w:val="auto"/>
          <w:kern w:val="2"/>
          <w:sz w:val="21"/>
          <w:szCs w:val="22"/>
          <w:lang w:eastAsia="zh-CN" w:bidi="ar-SA"/>
        </w:rPr>
      </w:pPr>
      <w:r>
        <w:rPr>
          <w:rFonts w:eastAsia="宋体"/>
          <w:color w:val="auto"/>
          <w:kern w:val="2"/>
          <w:sz w:val="21"/>
          <w:szCs w:val="22"/>
          <w:lang w:eastAsia="zh-CN" w:bidi="ar-SA"/>
        </w:rPr>
        <w:t>（6）委托人要求；</w:t>
      </w:r>
    </w:p>
    <w:p w14:paraId="4E5F9CE1">
      <w:pPr>
        <w:spacing w:line="360" w:lineRule="auto"/>
        <w:ind w:firstLine="420"/>
        <w:jc w:val="both"/>
        <w:rPr>
          <w:rFonts w:eastAsia="宋体"/>
          <w:color w:val="auto"/>
          <w:kern w:val="2"/>
          <w:sz w:val="21"/>
          <w:szCs w:val="22"/>
          <w:lang w:eastAsia="zh-CN" w:bidi="ar-SA"/>
        </w:rPr>
      </w:pPr>
      <w:r>
        <w:rPr>
          <w:rFonts w:eastAsia="宋体"/>
          <w:color w:val="auto"/>
          <w:kern w:val="2"/>
          <w:sz w:val="21"/>
          <w:szCs w:val="22"/>
          <w:lang w:eastAsia="zh-CN" w:bidi="ar-SA"/>
        </w:rPr>
        <w:t>（</w:t>
      </w:r>
      <w:r>
        <w:rPr>
          <w:rFonts w:hint="eastAsia" w:eastAsia="宋体"/>
          <w:color w:val="auto"/>
          <w:kern w:val="2"/>
          <w:sz w:val="21"/>
          <w:szCs w:val="22"/>
          <w:lang w:eastAsia="zh-CN" w:bidi="ar-SA"/>
        </w:rPr>
        <w:t>7</w:t>
      </w:r>
      <w:r>
        <w:rPr>
          <w:rFonts w:eastAsia="宋体"/>
          <w:color w:val="auto"/>
          <w:kern w:val="2"/>
          <w:sz w:val="21"/>
          <w:szCs w:val="22"/>
          <w:lang w:eastAsia="zh-CN" w:bidi="ar-SA"/>
        </w:rPr>
        <w:t>）监理报酬清单；</w:t>
      </w:r>
    </w:p>
    <w:p w14:paraId="4512364F">
      <w:pPr>
        <w:spacing w:line="360" w:lineRule="auto"/>
        <w:ind w:firstLine="420"/>
        <w:jc w:val="both"/>
        <w:rPr>
          <w:rFonts w:eastAsia="宋体"/>
          <w:color w:val="auto"/>
          <w:kern w:val="2"/>
          <w:sz w:val="21"/>
          <w:szCs w:val="22"/>
          <w:lang w:eastAsia="zh-CN" w:bidi="ar-SA"/>
        </w:rPr>
      </w:pPr>
      <w:r>
        <w:rPr>
          <w:rFonts w:eastAsia="宋体"/>
          <w:color w:val="auto"/>
          <w:kern w:val="2"/>
          <w:sz w:val="21"/>
          <w:szCs w:val="22"/>
          <w:lang w:eastAsia="zh-CN" w:bidi="ar-SA"/>
        </w:rPr>
        <w:t>（</w:t>
      </w:r>
      <w:r>
        <w:rPr>
          <w:rFonts w:hint="eastAsia" w:eastAsia="宋体"/>
          <w:color w:val="auto"/>
          <w:kern w:val="2"/>
          <w:sz w:val="21"/>
          <w:szCs w:val="22"/>
          <w:lang w:eastAsia="zh-CN" w:bidi="ar-SA"/>
        </w:rPr>
        <w:t>8</w:t>
      </w:r>
      <w:r>
        <w:rPr>
          <w:rFonts w:eastAsia="宋体"/>
          <w:color w:val="auto"/>
          <w:kern w:val="2"/>
          <w:sz w:val="21"/>
          <w:szCs w:val="22"/>
          <w:lang w:eastAsia="zh-CN" w:bidi="ar-SA"/>
        </w:rPr>
        <w:t>）监理大纲；</w:t>
      </w:r>
    </w:p>
    <w:p w14:paraId="66BA54FB">
      <w:pPr>
        <w:spacing w:line="360" w:lineRule="auto"/>
        <w:ind w:firstLine="420"/>
        <w:jc w:val="both"/>
        <w:rPr>
          <w:rFonts w:eastAsia="宋体"/>
          <w:color w:val="auto"/>
          <w:kern w:val="2"/>
          <w:sz w:val="21"/>
          <w:szCs w:val="21"/>
          <w:lang w:eastAsia="zh-CN" w:bidi="ar-SA"/>
        </w:rPr>
      </w:pPr>
      <w:r>
        <w:rPr>
          <w:rFonts w:eastAsia="宋体"/>
          <w:color w:val="auto"/>
          <w:kern w:val="2"/>
          <w:sz w:val="21"/>
          <w:szCs w:val="22"/>
          <w:lang w:eastAsia="zh-CN" w:bidi="ar-SA"/>
        </w:rPr>
        <w:t>（9）其他合同</w:t>
      </w:r>
      <w:r>
        <w:rPr>
          <w:rFonts w:eastAsia="宋体"/>
          <w:color w:val="auto"/>
          <w:kern w:val="2"/>
          <w:sz w:val="21"/>
          <w:szCs w:val="21"/>
          <w:lang w:eastAsia="zh-CN" w:bidi="ar-SA"/>
        </w:rPr>
        <w:t>文件。</w:t>
      </w:r>
    </w:p>
    <w:p w14:paraId="155B0AB0">
      <w:pPr>
        <w:keepNext/>
        <w:keepLines/>
        <w:spacing w:line="360" w:lineRule="auto"/>
        <w:jc w:val="both"/>
        <w:outlineLvl w:val="2"/>
        <w:rPr>
          <w:rFonts w:eastAsia="宋体"/>
          <w:b/>
          <w:bCs/>
          <w:color w:val="auto"/>
          <w:kern w:val="2"/>
          <w:szCs w:val="32"/>
          <w:lang w:eastAsia="zh-CN" w:bidi="ar-SA"/>
        </w:rPr>
      </w:pPr>
      <w:bookmarkStart w:id="472" w:name="_Toc492300644"/>
      <w:bookmarkStart w:id="473" w:name="_Toc2764"/>
      <w:bookmarkStart w:id="474" w:name="_Toc482188551"/>
      <w:r>
        <w:rPr>
          <w:rFonts w:eastAsia="宋体"/>
          <w:b/>
          <w:bCs/>
          <w:color w:val="auto"/>
          <w:kern w:val="2"/>
          <w:szCs w:val="32"/>
          <w:lang w:eastAsia="zh-CN" w:bidi="ar-SA"/>
        </w:rPr>
        <w:t xml:space="preserve">1.5 </w:t>
      </w:r>
      <w:r>
        <w:rPr>
          <w:rFonts w:hint="eastAsia" w:eastAsia="宋体"/>
          <w:b/>
          <w:bCs/>
          <w:color w:val="auto"/>
          <w:kern w:val="2"/>
          <w:szCs w:val="32"/>
          <w:lang w:eastAsia="zh-CN" w:bidi="ar-SA"/>
        </w:rPr>
        <w:t>合同协议书</w:t>
      </w:r>
      <w:bookmarkEnd w:id="472"/>
      <w:bookmarkEnd w:id="473"/>
      <w:bookmarkEnd w:id="474"/>
    </w:p>
    <w:p w14:paraId="60B5ABD2">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监理人按中标通知书规定的时间与委托人签订合同协议书。除法律另有规定或合同另有约定外，委托人和监理人的法定代表人或其委托代理人在合同协议书上签字并盖单位章后，合同生效。</w:t>
      </w:r>
    </w:p>
    <w:p w14:paraId="348D85BC">
      <w:pPr>
        <w:keepNext/>
        <w:keepLines/>
        <w:spacing w:line="360" w:lineRule="auto"/>
        <w:jc w:val="both"/>
        <w:outlineLvl w:val="2"/>
        <w:rPr>
          <w:rFonts w:eastAsia="宋体"/>
          <w:b/>
          <w:bCs/>
          <w:color w:val="auto"/>
          <w:kern w:val="2"/>
          <w:szCs w:val="32"/>
          <w:lang w:eastAsia="zh-CN" w:bidi="ar-SA"/>
        </w:rPr>
      </w:pPr>
      <w:bookmarkStart w:id="475" w:name="_Toc482188552"/>
      <w:bookmarkStart w:id="476" w:name="_Toc22173"/>
      <w:bookmarkStart w:id="477" w:name="_Toc492300645"/>
      <w:r>
        <w:rPr>
          <w:rFonts w:eastAsia="宋体"/>
          <w:b/>
          <w:bCs/>
          <w:color w:val="auto"/>
          <w:kern w:val="2"/>
          <w:szCs w:val="32"/>
          <w:lang w:eastAsia="zh-CN" w:bidi="ar-SA"/>
        </w:rPr>
        <w:t xml:space="preserve">1.6 </w:t>
      </w:r>
      <w:r>
        <w:rPr>
          <w:rFonts w:hint="eastAsia" w:eastAsia="宋体"/>
          <w:b/>
          <w:bCs/>
          <w:color w:val="auto"/>
          <w:kern w:val="2"/>
          <w:szCs w:val="32"/>
          <w:lang w:eastAsia="zh-CN" w:bidi="ar-SA"/>
        </w:rPr>
        <w:t>文件的提供和照管</w:t>
      </w:r>
      <w:bookmarkEnd w:id="475"/>
      <w:bookmarkEnd w:id="476"/>
      <w:bookmarkEnd w:id="477"/>
    </w:p>
    <w:p w14:paraId="34504D19">
      <w:pPr>
        <w:spacing w:line="360" w:lineRule="auto"/>
        <w:ind w:firstLine="422" w:firstLineChars="200"/>
        <w:jc w:val="both"/>
        <w:rPr>
          <w:rFonts w:eastAsia="宋体"/>
          <w:b/>
          <w:color w:val="auto"/>
          <w:kern w:val="2"/>
          <w:sz w:val="21"/>
          <w:szCs w:val="22"/>
          <w:lang w:eastAsia="zh-CN" w:bidi="ar-SA"/>
        </w:rPr>
      </w:pPr>
      <w:r>
        <w:rPr>
          <w:rFonts w:eastAsia="宋体"/>
          <w:b/>
          <w:color w:val="auto"/>
          <w:kern w:val="2"/>
          <w:sz w:val="21"/>
          <w:szCs w:val="22"/>
          <w:lang w:eastAsia="zh-CN" w:bidi="ar-SA"/>
        </w:rPr>
        <w:t>1.6.1 监理文件的提供</w:t>
      </w:r>
    </w:p>
    <w:p w14:paraId="07AA7CB8">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除专用合同条款另有约定外，监理人应在合理的期限内按照合同约定的数量向委托人提供监理文件。合同约定监理文件应经委托人批复的，委托人应当在合同约定的期限内批复或提出修改意见。</w:t>
      </w:r>
    </w:p>
    <w:p w14:paraId="327F6102">
      <w:pPr>
        <w:spacing w:line="360" w:lineRule="auto"/>
        <w:ind w:firstLine="422" w:firstLineChars="200"/>
        <w:jc w:val="both"/>
        <w:rPr>
          <w:rFonts w:eastAsia="宋体"/>
          <w:b/>
          <w:color w:val="auto"/>
          <w:kern w:val="2"/>
          <w:sz w:val="21"/>
          <w:szCs w:val="21"/>
          <w:lang w:eastAsia="zh-CN" w:bidi="ar-SA"/>
        </w:rPr>
      </w:pPr>
      <w:r>
        <w:rPr>
          <w:rFonts w:eastAsia="宋体"/>
          <w:b/>
          <w:color w:val="auto"/>
          <w:kern w:val="2"/>
          <w:sz w:val="21"/>
          <w:szCs w:val="22"/>
          <w:lang w:eastAsia="zh-CN" w:bidi="ar-SA"/>
        </w:rPr>
        <w:t xml:space="preserve">1.6.2 </w:t>
      </w:r>
      <w:r>
        <w:rPr>
          <w:rFonts w:hint="eastAsia" w:eastAsia="宋体"/>
          <w:b/>
          <w:color w:val="auto"/>
          <w:kern w:val="2"/>
          <w:sz w:val="21"/>
          <w:szCs w:val="21"/>
          <w:lang w:eastAsia="zh-CN" w:bidi="ar-SA"/>
        </w:rPr>
        <w:t>委托人</w:t>
      </w:r>
      <w:r>
        <w:rPr>
          <w:rFonts w:eastAsia="宋体"/>
          <w:b/>
          <w:color w:val="auto"/>
          <w:kern w:val="2"/>
          <w:sz w:val="21"/>
          <w:szCs w:val="21"/>
          <w:lang w:eastAsia="zh-CN" w:bidi="ar-SA"/>
        </w:rPr>
        <w:t>提供的文件</w:t>
      </w:r>
    </w:p>
    <w:p w14:paraId="5BB94C1D">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按专用合同条款约定由委托人提供的文件，包括规范标准、承包合同、勘察文件、设计文件等，委托人应按约定的数量和期限交给监理人。由于委托人未按时提供文件造成监理服务期限延误的，按第</w:t>
      </w:r>
      <w:r>
        <w:rPr>
          <w:rFonts w:eastAsia="宋体"/>
          <w:color w:val="auto"/>
          <w:kern w:val="2"/>
          <w:sz w:val="21"/>
          <w:szCs w:val="22"/>
          <w:lang w:eastAsia="zh-CN" w:bidi="ar-SA"/>
        </w:rPr>
        <w:t>6.2</w:t>
      </w:r>
      <w:r>
        <w:rPr>
          <w:rFonts w:eastAsia="宋体"/>
          <w:color w:val="auto"/>
          <w:kern w:val="2"/>
          <w:sz w:val="21"/>
          <w:szCs w:val="21"/>
          <w:lang w:eastAsia="zh-CN" w:bidi="ar-SA"/>
        </w:rPr>
        <w:t>款约定执行。</w:t>
      </w:r>
    </w:p>
    <w:p w14:paraId="6EA9CBD3">
      <w:pPr>
        <w:spacing w:line="360" w:lineRule="auto"/>
        <w:ind w:firstLine="422" w:firstLineChars="200"/>
        <w:jc w:val="both"/>
        <w:rPr>
          <w:rFonts w:eastAsia="宋体"/>
          <w:b/>
          <w:color w:val="auto"/>
          <w:kern w:val="2"/>
          <w:sz w:val="21"/>
          <w:szCs w:val="21"/>
          <w:lang w:eastAsia="zh-CN" w:bidi="ar-SA"/>
        </w:rPr>
      </w:pPr>
      <w:r>
        <w:rPr>
          <w:rFonts w:eastAsia="宋体"/>
          <w:b/>
          <w:color w:val="auto"/>
          <w:kern w:val="2"/>
          <w:sz w:val="21"/>
          <w:szCs w:val="22"/>
          <w:lang w:eastAsia="zh-CN" w:bidi="ar-SA"/>
        </w:rPr>
        <w:t xml:space="preserve">1.6.3 </w:t>
      </w:r>
      <w:r>
        <w:rPr>
          <w:rFonts w:eastAsia="宋体"/>
          <w:b/>
          <w:color w:val="auto"/>
          <w:kern w:val="2"/>
          <w:sz w:val="21"/>
          <w:szCs w:val="21"/>
          <w:lang w:eastAsia="zh-CN" w:bidi="ar-SA"/>
        </w:rPr>
        <w:t>文件错误的通知</w:t>
      </w:r>
    </w:p>
    <w:p w14:paraId="02FD4EF3">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任何一方当事人发现文件中存在的明显错误或疏忽，均应及时通知对方当事人，并应立即采取适当的措施防止损失扩大。</w:t>
      </w:r>
    </w:p>
    <w:p w14:paraId="4ACA65F7">
      <w:pPr>
        <w:spacing w:line="360" w:lineRule="auto"/>
        <w:ind w:firstLine="422" w:firstLineChars="200"/>
        <w:jc w:val="both"/>
        <w:rPr>
          <w:rFonts w:eastAsia="宋体"/>
          <w:b/>
          <w:color w:val="auto"/>
          <w:kern w:val="2"/>
          <w:sz w:val="21"/>
          <w:szCs w:val="22"/>
          <w:lang w:eastAsia="zh-CN" w:bidi="ar-SA"/>
        </w:rPr>
      </w:pPr>
      <w:r>
        <w:rPr>
          <w:rFonts w:eastAsia="宋体"/>
          <w:b/>
          <w:color w:val="auto"/>
          <w:kern w:val="2"/>
          <w:sz w:val="21"/>
          <w:szCs w:val="22"/>
          <w:lang w:eastAsia="zh-CN" w:bidi="ar-SA"/>
        </w:rPr>
        <w:t xml:space="preserve">1.6.4 </w:t>
      </w:r>
      <w:r>
        <w:rPr>
          <w:rFonts w:hint="eastAsia" w:eastAsia="宋体"/>
          <w:b/>
          <w:color w:val="auto"/>
          <w:kern w:val="2"/>
          <w:sz w:val="21"/>
          <w:szCs w:val="22"/>
          <w:lang w:eastAsia="zh-CN" w:bidi="ar-SA"/>
        </w:rPr>
        <w:t>文件的照管</w:t>
      </w:r>
    </w:p>
    <w:p w14:paraId="51B69C95">
      <w:pPr>
        <w:spacing w:line="360" w:lineRule="auto"/>
        <w:ind w:firstLine="420" w:firstLineChars="200"/>
        <w:jc w:val="both"/>
        <w:rPr>
          <w:rFonts w:eastAsia="宋体"/>
          <w:color w:val="auto"/>
          <w:kern w:val="2"/>
          <w:sz w:val="21"/>
          <w:szCs w:val="21"/>
          <w:lang w:eastAsia="zh-CN" w:bidi="ar-SA"/>
        </w:rPr>
      </w:pPr>
      <w:r>
        <w:rPr>
          <w:rFonts w:hint="eastAsia" w:eastAsia="宋体"/>
          <w:color w:val="auto"/>
          <w:kern w:val="2"/>
          <w:sz w:val="21"/>
          <w:szCs w:val="21"/>
          <w:lang w:eastAsia="zh-CN" w:bidi="ar-SA"/>
        </w:rPr>
        <w:t>监理人应在现场保留一份合同文件、监理文件、委托人要求中的所列文件以及其他根据合同收发的往来信函，以备委托人和行政管理部门查阅使用。</w:t>
      </w:r>
    </w:p>
    <w:p w14:paraId="65A1E787">
      <w:pPr>
        <w:keepNext/>
        <w:keepLines/>
        <w:spacing w:line="360" w:lineRule="auto"/>
        <w:jc w:val="both"/>
        <w:outlineLvl w:val="2"/>
        <w:rPr>
          <w:rFonts w:eastAsia="宋体"/>
          <w:b/>
          <w:bCs/>
          <w:color w:val="auto"/>
          <w:kern w:val="2"/>
          <w:szCs w:val="32"/>
          <w:lang w:eastAsia="zh-CN" w:bidi="ar-SA"/>
        </w:rPr>
      </w:pPr>
      <w:bookmarkStart w:id="478" w:name="_Toc492300646"/>
      <w:bookmarkStart w:id="479" w:name="_Toc482188553"/>
      <w:bookmarkStart w:id="480" w:name="_Toc5758"/>
      <w:r>
        <w:rPr>
          <w:rFonts w:eastAsia="宋体"/>
          <w:b/>
          <w:bCs/>
          <w:color w:val="auto"/>
          <w:kern w:val="2"/>
          <w:szCs w:val="32"/>
          <w:lang w:eastAsia="zh-CN" w:bidi="ar-SA"/>
        </w:rPr>
        <w:t xml:space="preserve">1.7 </w:t>
      </w:r>
      <w:r>
        <w:rPr>
          <w:rFonts w:hint="eastAsia" w:eastAsia="宋体"/>
          <w:b/>
          <w:bCs/>
          <w:color w:val="auto"/>
          <w:kern w:val="2"/>
          <w:szCs w:val="32"/>
          <w:lang w:eastAsia="zh-CN" w:bidi="ar-SA"/>
        </w:rPr>
        <w:t>联络</w:t>
      </w:r>
      <w:bookmarkEnd w:id="478"/>
      <w:bookmarkEnd w:id="479"/>
      <w:bookmarkEnd w:id="480"/>
    </w:p>
    <w:p w14:paraId="0F3C195C">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2"/>
          <w:lang w:eastAsia="zh-CN" w:bidi="ar-SA"/>
        </w:rPr>
        <w:t>1.7.1</w:t>
      </w:r>
      <w:r>
        <w:rPr>
          <w:rFonts w:eastAsia="宋体"/>
          <w:color w:val="auto"/>
          <w:kern w:val="2"/>
          <w:sz w:val="21"/>
          <w:szCs w:val="21"/>
          <w:lang w:eastAsia="zh-CN" w:bidi="ar-SA"/>
        </w:rPr>
        <w:t xml:space="preserve"> 与合同有关的通知、批准、证明、证书、指示、要求、请求、同意、意见、确定和决定等，均应采用书面形式。</w:t>
      </w:r>
    </w:p>
    <w:p w14:paraId="0FA5A6CE">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2"/>
          <w:lang w:eastAsia="zh-CN" w:bidi="ar-SA"/>
        </w:rPr>
        <w:t>1.7.2</w:t>
      </w:r>
      <w:r>
        <w:rPr>
          <w:rFonts w:eastAsia="宋体"/>
          <w:color w:val="auto"/>
          <w:kern w:val="2"/>
          <w:sz w:val="21"/>
          <w:szCs w:val="21"/>
          <w:lang w:eastAsia="zh-CN" w:bidi="ar-SA"/>
        </w:rPr>
        <w:t xml:space="preserve"> 上述通知、批准、证明、证书、指示、要求、请求、同意、意见、确定和决定等来往函件，均应在合同约定的期限内送达指定的地点和指定的接收人，并办理签收手续。</w:t>
      </w:r>
    </w:p>
    <w:p w14:paraId="60FCF225">
      <w:pPr>
        <w:keepNext/>
        <w:keepLines/>
        <w:spacing w:line="360" w:lineRule="auto"/>
        <w:jc w:val="both"/>
        <w:outlineLvl w:val="2"/>
        <w:rPr>
          <w:rFonts w:eastAsia="宋体"/>
          <w:b/>
          <w:bCs/>
          <w:color w:val="auto"/>
          <w:kern w:val="2"/>
          <w:szCs w:val="32"/>
          <w:lang w:eastAsia="zh-CN" w:bidi="ar-SA"/>
        </w:rPr>
      </w:pPr>
      <w:bookmarkStart w:id="481" w:name="_Toc5579"/>
      <w:bookmarkStart w:id="482" w:name="_Toc492300647"/>
      <w:bookmarkStart w:id="483" w:name="_Toc482188554"/>
      <w:r>
        <w:rPr>
          <w:rFonts w:eastAsia="宋体"/>
          <w:b/>
          <w:bCs/>
          <w:color w:val="auto"/>
          <w:kern w:val="2"/>
          <w:szCs w:val="32"/>
          <w:lang w:eastAsia="zh-CN" w:bidi="ar-SA"/>
        </w:rPr>
        <w:t xml:space="preserve">1.8 </w:t>
      </w:r>
      <w:r>
        <w:rPr>
          <w:rFonts w:hint="eastAsia" w:eastAsia="宋体"/>
          <w:b/>
          <w:bCs/>
          <w:color w:val="auto"/>
          <w:kern w:val="2"/>
          <w:szCs w:val="32"/>
          <w:lang w:eastAsia="zh-CN" w:bidi="ar-SA"/>
        </w:rPr>
        <w:t>转让</w:t>
      </w:r>
      <w:bookmarkEnd w:id="481"/>
      <w:bookmarkEnd w:id="482"/>
      <w:bookmarkEnd w:id="483"/>
    </w:p>
    <w:p w14:paraId="62E24FF4">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除专用合同条款另有约定外，未经对方当事人同意，一方当事人不得将合同权利全部或部分转让给第三人，也不得全部或部分转移合同义务。</w:t>
      </w:r>
    </w:p>
    <w:p w14:paraId="1F222DAB">
      <w:pPr>
        <w:keepNext/>
        <w:keepLines/>
        <w:spacing w:line="360" w:lineRule="auto"/>
        <w:jc w:val="both"/>
        <w:outlineLvl w:val="2"/>
        <w:rPr>
          <w:rFonts w:eastAsia="宋体"/>
          <w:b/>
          <w:bCs/>
          <w:color w:val="auto"/>
          <w:kern w:val="2"/>
          <w:szCs w:val="32"/>
          <w:lang w:eastAsia="zh-CN" w:bidi="ar-SA"/>
        </w:rPr>
      </w:pPr>
      <w:bookmarkStart w:id="484" w:name="_Toc8262"/>
      <w:bookmarkStart w:id="485" w:name="_Toc492300648"/>
      <w:bookmarkStart w:id="486" w:name="_Toc482188555"/>
      <w:r>
        <w:rPr>
          <w:rFonts w:eastAsia="宋体"/>
          <w:b/>
          <w:bCs/>
          <w:color w:val="auto"/>
          <w:kern w:val="2"/>
          <w:szCs w:val="32"/>
          <w:lang w:eastAsia="zh-CN" w:bidi="ar-SA"/>
        </w:rPr>
        <w:t xml:space="preserve">1.9 </w:t>
      </w:r>
      <w:r>
        <w:rPr>
          <w:rFonts w:hint="eastAsia" w:eastAsia="宋体"/>
          <w:b/>
          <w:bCs/>
          <w:color w:val="auto"/>
          <w:kern w:val="2"/>
          <w:szCs w:val="32"/>
          <w:lang w:eastAsia="zh-CN" w:bidi="ar-SA"/>
        </w:rPr>
        <w:t>严禁贿赂</w:t>
      </w:r>
      <w:bookmarkEnd w:id="484"/>
      <w:bookmarkEnd w:id="485"/>
      <w:bookmarkEnd w:id="486"/>
    </w:p>
    <w:p w14:paraId="7D3EAD6B">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合同双方当事人不得以贿赂或变相贿赂的方式，谋取不当利益或损害对方权益。因贿赂造成对方当事人损失的，行为人应当赔偿损失，并承担相应的法律责任。</w:t>
      </w:r>
    </w:p>
    <w:p w14:paraId="688FD9D4">
      <w:pPr>
        <w:keepNext/>
        <w:keepLines/>
        <w:spacing w:line="360" w:lineRule="auto"/>
        <w:jc w:val="both"/>
        <w:outlineLvl w:val="2"/>
        <w:rPr>
          <w:rFonts w:eastAsia="宋体"/>
          <w:b/>
          <w:bCs/>
          <w:color w:val="auto"/>
          <w:kern w:val="2"/>
          <w:szCs w:val="32"/>
          <w:lang w:eastAsia="zh-CN" w:bidi="ar-SA"/>
        </w:rPr>
      </w:pPr>
      <w:bookmarkStart w:id="487" w:name="_Toc492300649"/>
      <w:bookmarkStart w:id="488" w:name="_Toc482188556"/>
      <w:bookmarkStart w:id="489" w:name="_Toc22559"/>
      <w:r>
        <w:rPr>
          <w:rFonts w:eastAsia="宋体"/>
          <w:b/>
          <w:bCs/>
          <w:color w:val="auto"/>
          <w:kern w:val="2"/>
          <w:szCs w:val="32"/>
          <w:lang w:eastAsia="zh-CN" w:bidi="ar-SA"/>
        </w:rPr>
        <w:t xml:space="preserve">1.10 </w:t>
      </w:r>
      <w:r>
        <w:rPr>
          <w:rFonts w:hint="eastAsia" w:eastAsia="宋体"/>
          <w:b/>
          <w:bCs/>
          <w:color w:val="auto"/>
          <w:kern w:val="2"/>
          <w:szCs w:val="32"/>
          <w:lang w:eastAsia="zh-CN" w:bidi="ar-SA"/>
        </w:rPr>
        <w:t>知识产权</w:t>
      </w:r>
      <w:bookmarkEnd w:id="487"/>
      <w:bookmarkEnd w:id="488"/>
      <w:bookmarkEnd w:id="489"/>
    </w:p>
    <w:p w14:paraId="71A492DF">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2"/>
          <w:lang w:eastAsia="zh-CN" w:bidi="ar-SA"/>
        </w:rPr>
        <w:t>1.10.1除专用合同条款另有约定外，</w:t>
      </w:r>
      <w:r>
        <w:rPr>
          <w:rFonts w:eastAsia="宋体"/>
          <w:color w:val="auto"/>
          <w:kern w:val="2"/>
          <w:sz w:val="21"/>
          <w:szCs w:val="21"/>
          <w:lang w:eastAsia="zh-CN" w:bidi="ar-SA"/>
        </w:rPr>
        <w:t>监理人完成的监理工作成果，除署名权以外的著作权和其他知识产权均归委托人享有。</w:t>
      </w:r>
    </w:p>
    <w:p w14:paraId="51A374B0">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2"/>
          <w:lang w:eastAsia="zh-CN" w:bidi="ar-SA"/>
        </w:rPr>
        <w:t xml:space="preserve">1.10.2 </w:t>
      </w:r>
      <w:r>
        <w:rPr>
          <w:rFonts w:eastAsia="宋体"/>
          <w:color w:val="auto"/>
          <w:kern w:val="2"/>
          <w:sz w:val="21"/>
          <w:szCs w:val="21"/>
          <w:lang w:eastAsia="zh-CN" w:bidi="ar-SA"/>
        </w:rPr>
        <w:t>监理人从事监理活动时不得侵犯他人的知识产权。因侵犯专利权或其他知识产权所引起的责任，由监理人自行承担。因委托人提供的监理资料导致侵权的，由委托人承担责任。</w:t>
      </w:r>
    </w:p>
    <w:p w14:paraId="06C07190">
      <w:pPr>
        <w:spacing w:line="360" w:lineRule="auto"/>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 xml:space="preserve">1.10.3 </w:t>
      </w:r>
      <w:r>
        <w:rPr>
          <w:rFonts w:eastAsia="宋体"/>
          <w:color w:val="auto"/>
          <w:kern w:val="2"/>
          <w:sz w:val="21"/>
          <w:szCs w:val="21"/>
          <w:lang w:eastAsia="zh-CN" w:bidi="ar-SA"/>
        </w:rPr>
        <w:t>监理人在投标文件中采用专利技术、专有技术的，相应的使用费视为已包含在投标报价之中。</w:t>
      </w:r>
    </w:p>
    <w:p w14:paraId="1FD14AD3">
      <w:pPr>
        <w:keepNext/>
        <w:keepLines/>
        <w:spacing w:line="360" w:lineRule="auto"/>
        <w:jc w:val="both"/>
        <w:outlineLvl w:val="2"/>
        <w:rPr>
          <w:rFonts w:eastAsia="宋体"/>
          <w:b/>
          <w:bCs/>
          <w:color w:val="auto"/>
          <w:kern w:val="2"/>
          <w:szCs w:val="32"/>
          <w:lang w:eastAsia="zh-CN" w:bidi="ar-SA"/>
        </w:rPr>
      </w:pPr>
      <w:bookmarkStart w:id="490" w:name="_Toc492300650"/>
      <w:bookmarkStart w:id="491" w:name="_Toc6497"/>
      <w:bookmarkStart w:id="492" w:name="_Toc482188557"/>
      <w:r>
        <w:rPr>
          <w:rFonts w:eastAsia="宋体"/>
          <w:b/>
          <w:bCs/>
          <w:color w:val="auto"/>
          <w:kern w:val="2"/>
          <w:szCs w:val="32"/>
          <w:lang w:eastAsia="zh-CN" w:bidi="ar-SA"/>
        </w:rPr>
        <w:t xml:space="preserve">1.11 </w:t>
      </w:r>
      <w:r>
        <w:rPr>
          <w:rFonts w:hint="eastAsia" w:eastAsia="宋体"/>
          <w:b/>
          <w:bCs/>
          <w:color w:val="auto"/>
          <w:kern w:val="2"/>
          <w:szCs w:val="32"/>
          <w:lang w:eastAsia="zh-CN" w:bidi="ar-SA"/>
        </w:rPr>
        <w:t>文件及信息的保密</w:t>
      </w:r>
      <w:bookmarkEnd w:id="490"/>
      <w:bookmarkEnd w:id="491"/>
      <w:bookmarkEnd w:id="492"/>
    </w:p>
    <w:p w14:paraId="3B304C41">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未经对方同意，任何一方当事人不得将有关文件、技术秘密、需要保密的资料和信息泄露给他人或公开发表与引用。</w:t>
      </w:r>
    </w:p>
    <w:p w14:paraId="46EA3E04">
      <w:pPr>
        <w:keepNext/>
        <w:keepLines/>
        <w:spacing w:line="360" w:lineRule="auto"/>
        <w:jc w:val="both"/>
        <w:outlineLvl w:val="2"/>
        <w:rPr>
          <w:rFonts w:eastAsia="宋体"/>
          <w:b/>
          <w:bCs/>
          <w:color w:val="auto"/>
          <w:kern w:val="2"/>
          <w:szCs w:val="32"/>
          <w:lang w:eastAsia="zh-CN" w:bidi="ar-SA"/>
        </w:rPr>
      </w:pPr>
      <w:bookmarkStart w:id="493" w:name="_Toc482188558"/>
      <w:bookmarkStart w:id="494" w:name="_Toc492300651"/>
      <w:bookmarkStart w:id="495" w:name="_Toc3880"/>
      <w:r>
        <w:rPr>
          <w:rFonts w:eastAsia="宋体"/>
          <w:b/>
          <w:bCs/>
          <w:color w:val="auto"/>
          <w:kern w:val="2"/>
          <w:szCs w:val="32"/>
          <w:lang w:eastAsia="zh-CN" w:bidi="ar-SA"/>
        </w:rPr>
        <w:t xml:space="preserve">1.12 </w:t>
      </w:r>
      <w:bookmarkEnd w:id="493"/>
      <w:r>
        <w:rPr>
          <w:rFonts w:hint="eastAsia" w:eastAsia="宋体"/>
          <w:b/>
          <w:bCs/>
          <w:color w:val="auto"/>
          <w:kern w:val="2"/>
          <w:szCs w:val="32"/>
          <w:lang w:eastAsia="zh-CN" w:bidi="ar-SA"/>
        </w:rPr>
        <w:t>委托人要求</w:t>
      </w:r>
      <w:bookmarkEnd w:id="494"/>
      <w:bookmarkEnd w:id="495"/>
    </w:p>
    <w:p w14:paraId="235A0894">
      <w:pPr>
        <w:spacing w:line="360" w:lineRule="auto"/>
        <w:ind w:firstLine="420"/>
        <w:jc w:val="both"/>
        <w:rPr>
          <w:rFonts w:eastAsia="宋体"/>
          <w:color w:val="auto"/>
          <w:kern w:val="2"/>
          <w:sz w:val="21"/>
          <w:szCs w:val="21"/>
          <w:lang w:eastAsia="zh-CN" w:bidi="ar-SA"/>
        </w:rPr>
      </w:pPr>
      <w:r>
        <w:rPr>
          <w:rFonts w:eastAsia="宋体"/>
          <w:color w:val="auto"/>
          <w:kern w:val="2"/>
          <w:sz w:val="21"/>
          <w:szCs w:val="22"/>
          <w:lang w:eastAsia="zh-CN" w:bidi="ar-SA"/>
        </w:rPr>
        <w:t xml:space="preserve">1.12.1 </w:t>
      </w:r>
      <w:r>
        <w:rPr>
          <w:rFonts w:eastAsia="宋体"/>
          <w:color w:val="auto"/>
          <w:kern w:val="2"/>
          <w:sz w:val="21"/>
          <w:szCs w:val="21"/>
          <w:lang w:eastAsia="zh-CN" w:bidi="ar-SA"/>
        </w:rPr>
        <w:t>监理人应认真阅读、复核委托人要求，</w:t>
      </w:r>
      <w:r>
        <w:rPr>
          <w:rFonts w:eastAsia="宋体"/>
          <w:color w:val="auto"/>
          <w:kern w:val="2"/>
          <w:sz w:val="21"/>
          <w:szCs w:val="22"/>
          <w:lang w:eastAsia="zh-CN" w:bidi="ar-SA"/>
        </w:rPr>
        <w:t>发现错误的，应及时书面通知委托人。无论是否存在错误，委托人均有权修改委托人要求，并在修改后3日内通知监理人。除专用合同</w:t>
      </w:r>
      <w:bookmarkStart w:id="496" w:name="_Toc247527649"/>
      <w:bookmarkStart w:id="497" w:name="_Toc247514048"/>
      <w:bookmarkStart w:id="498" w:name="_Toc300835045"/>
      <w:bookmarkStart w:id="499" w:name="_Toc265955390"/>
      <w:r>
        <w:rPr>
          <w:rFonts w:eastAsia="宋体"/>
          <w:color w:val="auto"/>
          <w:kern w:val="2"/>
          <w:sz w:val="21"/>
          <w:szCs w:val="22"/>
          <w:lang w:eastAsia="zh-CN" w:bidi="ar-SA"/>
        </w:rPr>
        <w:t>条款另有约定外，由此</w:t>
      </w:r>
      <w:bookmarkEnd w:id="496"/>
      <w:bookmarkEnd w:id="497"/>
      <w:bookmarkEnd w:id="498"/>
      <w:bookmarkEnd w:id="499"/>
      <w:r>
        <w:rPr>
          <w:rFonts w:eastAsia="宋体"/>
          <w:color w:val="auto"/>
          <w:kern w:val="2"/>
          <w:sz w:val="21"/>
          <w:szCs w:val="21"/>
          <w:lang w:eastAsia="zh-CN" w:bidi="ar-SA"/>
        </w:rPr>
        <w:t>导致监理人费用增加和(或)周期延误的，委托人应当相应地增加费用和(或)延长周期。</w:t>
      </w:r>
    </w:p>
    <w:p w14:paraId="5007E989">
      <w:pPr>
        <w:spacing w:line="360" w:lineRule="auto"/>
        <w:ind w:firstLine="420"/>
        <w:jc w:val="both"/>
        <w:rPr>
          <w:rFonts w:eastAsia="宋体"/>
          <w:color w:val="auto"/>
          <w:kern w:val="2"/>
          <w:sz w:val="21"/>
          <w:szCs w:val="21"/>
          <w:lang w:eastAsia="zh-CN" w:bidi="ar-SA"/>
        </w:rPr>
      </w:pPr>
      <w:r>
        <w:rPr>
          <w:rFonts w:eastAsia="宋体"/>
          <w:color w:val="auto"/>
          <w:kern w:val="2"/>
          <w:sz w:val="21"/>
          <w:szCs w:val="22"/>
          <w:lang w:eastAsia="zh-CN" w:bidi="ar-SA"/>
        </w:rPr>
        <w:t>1.12.2 如果</w:t>
      </w:r>
      <w:r>
        <w:rPr>
          <w:rFonts w:eastAsia="宋体"/>
          <w:color w:val="auto"/>
          <w:kern w:val="2"/>
          <w:sz w:val="21"/>
          <w:szCs w:val="21"/>
          <w:lang w:eastAsia="zh-CN" w:bidi="ar-SA"/>
        </w:rPr>
        <w:t>委托人要求违反法律规定，监理人应在</w:t>
      </w:r>
      <w:r>
        <w:rPr>
          <w:rFonts w:eastAsia="宋体"/>
          <w:color w:val="auto"/>
          <w:kern w:val="2"/>
          <w:sz w:val="21"/>
          <w:szCs w:val="22"/>
          <w:lang w:eastAsia="zh-CN" w:bidi="ar-SA"/>
        </w:rPr>
        <w:t>发现后及时书面通知委托人，要求其改正。委托人收到通知书后不予改正或不予答复的，监理人有权拒绝履行合同义务，直至解除合同；</w:t>
      </w:r>
      <w:r>
        <w:rPr>
          <w:rFonts w:eastAsia="宋体"/>
          <w:color w:val="auto"/>
          <w:kern w:val="2"/>
          <w:sz w:val="21"/>
          <w:szCs w:val="21"/>
          <w:lang w:eastAsia="zh-CN" w:bidi="ar-SA"/>
        </w:rPr>
        <w:t>由此引起的监理人的全部损失由委托人承担。</w:t>
      </w:r>
    </w:p>
    <w:p w14:paraId="5A970974">
      <w:pPr>
        <w:spacing w:line="360" w:lineRule="auto"/>
        <w:ind w:firstLine="435"/>
        <w:jc w:val="both"/>
        <w:rPr>
          <w:rFonts w:eastAsia="宋体"/>
          <w:color w:val="auto"/>
          <w:kern w:val="2"/>
          <w:sz w:val="21"/>
          <w:szCs w:val="22"/>
          <w:lang w:eastAsia="zh-CN" w:bidi="ar-SA"/>
        </w:rPr>
      </w:pPr>
      <w:r>
        <w:rPr>
          <w:rFonts w:eastAsia="宋体"/>
          <w:color w:val="auto"/>
          <w:kern w:val="2"/>
          <w:sz w:val="21"/>
          <w:szCs w:val="21"/>
          <w:lang w:eastAsia="zh-CN" w:bidi="ar-SA"/>
        </w:rPr>
        <w:t>1.12.3 委托人要求</w:t>
      </w:r>
      <w:r>
        <w:rPr>
          <w:rFonts w:eastAsia="宋体"/>
          <w:color w:val="auto"/>
          <w:kern w:val="2"/>
          <w:sz w:val="21"/>
          <w:szCs w:val="22"/>
          <w:lang w:eastAsia="zh-CN" w:bidi="ar-SA"/>
        </w:rPr>
        <w:t>采用国外规范和标准进行监理时，应由委托人负责提供该规范和标准的外国文本和中文译本，提供的时间、份数和其他要求</w:t>
      </w:r>
      <w:r>
        <w:rPr>
          <w:rFonts w:eastAsia="宋体"/>
          <w:color w:val="auto"/>
          <w:kern w:val="2"/>
          <w:sz w:val="21"/>
          <w:szCs w:val="21"/>
          <w:lang w:eastAsia="zh-CN" w:bidi="ar-SA"/>
        </w:rPr>
        <w:t>在专用合同条款中约定</w:t>
      </w:r>
      <w:r>
        <w:rPr>
          <w:rFonts w:eastAsia="宋体"/>
          <w:color w:val="auto"/>
          <w:kern w:val="2"/>
          <w:sz w:val="21"/>
          <w:szCs w:val="22"/>
          <w:lang w:eastAsia="zh-CN" w:bidi="ar-SA"/>
        </w:rPr>
        <w:t>。</w:t>
      </w:r>
    </w:p>
    <w:p w14:paraId="6F529B6D">
      <w:pPr>
        <w:keepNext/>
        <w:keepLines/>
        <w:spacing w:line="360" w:lineRule="auto"/>
        <w:outlineLvl w:val="1"/>
        <w:rPr>
          <w:rFonts w:ascii="Arial" w:hAnsi="Arial" w:eastAsia="宋体"/>
          <w:b/>
          <w:bCs/>
          <w:color w:val="auto"/>
          <w:kern w:val="2"/>
          <w:sz w:val="28"/>
          <w:szCs w:val="32"/>
          <w:lang w:eastAsia="zh-CN" w:bidi="ar-SA"/>
        </w:rPr>
      </w:pPr>
      <w:bookmarkStart w:id="500" w:name="_Toc504633908"/>
      <w:bookmarkStart w:id="501" w:name="_Toc25953"/>
      <w:bookmarkStart w:id="502" w:name="_Toc492300652"/>
      <w:bookmarkStart w:id="503" w:name="_Toc482188559"/>
      <w:r>
        <w:rPr>
          <w:rFonts w:ascii="Arial" w:hAnsi="Arial" w:eastAsia="宋体"/>
          <w:b/>
          <w:bCs/>
          <w:color w:val="auto"/>
          <w:kern w:val="2"/>
          <w:sz w:val="28"/>
          <w:szCs w:val="32"/>
          <w:lang w:eastAsia="zh-CN" w:bidi="ar-SA"/>
        </w:rPr>
        <w:t>2. 委托人义务</w:t>
      </w:r>
      <w:bookmarkEnd w:id="500"/>
      <w:bookmarkEnd w:id="501"/>
      <w:bookmarkEnd w:id="502"/>
      <w:bookmarkEnd w:id="503"/>
    </w:p>
    <w:p w14:paraId="4F21A134">
      <w:pPr>
        <w:keepNext/>
        <w:keepLines/>
        <w:spacing w:line="360" w:lineRule="auto"/>
        <w:jc w:val="both"/>
        <w:outlineLvl w:val="2"/>
        <w:rPr>
          <w:rFonts w:eastAsia="宋体"/>
          <w:b/>
          <w:bCs/>
          <w:color w:val="auto"/>
          <w:kern w:val="2"/>
          <w:szCs w:val="32"/>
          <w:lang w:eastAsia="zh-CN" w:bidi="ar-SA"/>
        </w:rPr>
      </w:pPr>
      <w:bookmarkStart w:id="504" w:name="_Toc492300653"/>
      <w:bookmarkStart w:id="505" w:name="_Toc20347"/>
      <w:bookmarkStart w:id="506" w:name="_Toc482188560"/>
      <w:r>
        <w:rPr>
          <w:rFonts w:eastAsia="宋体"/>
          <w:b/>
          <w:bCs/>
          <w:color w:val="auto"/>
          <w:kern w:val="2"/>
          <w:szCs w:val="32"/>
          <w:lang w:eastAsia="zh-CN" w:bidi="ar-SA"/>
        </w:rPr>
        <w:t xml:space="preserve">2.1 </w:t>
      </w:r>
      <w:r>
        <w:rPr>
          <w:rFonts w:hint="eastAsia" w:eastAsia="宋体"/>
          <w:b/>
          <w:bCs/>
          <w:color w:val="auto"/>
          <w:kern w:val="2"/>
          <w:szCs w:val="32"/>
          <w:lang w:eastAsia="zh-CN" w:bidi="ar-SA"/>
        </w:rPr>
        <w:t>遵守法律</w:t>
      </w:r>
      <w:bookmarkEnd w:id="504"/>
      <w:bookmarkEnd w:id="505"/>
      <w:bookmarkEnd w:id="506"/>
    </w:p>
    <w:p w14:paraId="5832246D">
      <w:pPr>
        <w:spacing w:line="360" w:lineRule="auto"/>
        <w:ind w:firstLine="420" w:firstLineChars="200"/>
        <w:jc w:val="both"/>
        <w:rPr>
          <w:rFonts w:eastAsia="宋体"/>
          <w:color w:val="auto"/>
          <w:kern w:val="2"/>
          <w:sz w:val="21"/>
          <w:szCs w:val="22"/>
          <w:lang w:eastAsia="zh-CN" w:bidi="ar-SA"/>
        </w:rPr>
      </w:pPr>
      <w:r>
        <w:rPr>
          <w:rFonts w:eastAsia="宋体"/>
          <w:color w:val="auto"/>
          <w:kern w:val="2"/>
          <w:sz w:val="21"/>
          <w:szCs w:val="21"/>
          <w:lang w:eastAsia="zh-CN" w:bidi="ar-SA"/>
        </w:rPr>
        <w:t>委托人在履行合同过程中应遵守法律，并保证监理人免于承担因委托人违反法律而引起的</w:t>
      </w:r>
      <w:bookmarkStart w:id="507" w:name="_Toc247527650"/>
      <w:bookmarkStart w:id="508" w:name="_Toc385592087"/>
      <w:bookmarkStart w:id="509" w:name="_Toc385942918"/>
      <w:bookmarkStart w:id="510" w:name="_Toc370281722"/>
      <w:bookmarkStart w:id="511" w:name="_Toc184635099"/>
      <w:bookmarkStart w:id="512" w:name="_Toc247514049"/>
      <w:bookmarkStart w:id="513" w:name="_Toc300835048"/>
      <w:r>
        <w:rPr>
          <w:rFonts w:eastAsia="宋体"/>
          <w:color w:val="auto"/>
          <w:kern w:val="2"/>
          <w:sz w:val="21"/>
          <w:szCs w:val="21"/>
          <w:lang w:eastAsia="zh-CN" w:bidi="ar-SA"/>
        </w:rPr>
        <w:t>任何责任。</w:t>
      </w:r>
    </w:p>
    <w:p w14:paraId="16AC4FF4">
      <w:pPr>
        <w:keepNext/>
        <w:keepLines/>
        <w:spacing w:line="360" w:lineRule="auto"/>
        <w:jc w:val="both"/>
        <w:outlineLvl w:val="2"/>
        <w:rPr>
          <w:rFonts w:eastAsia="宋体"/>
          <w:b/>
          <w:bCs/>
          <w:color w:val="auto"/>
          <w:kern w:val="2"/>
          <w:szCs w:val="32"/>
          <w:lang w:eastAsia="zh-CN" w:bidi="ar-SA"/>
        </w:rPr>
      </w:pPr>
      <w:bookmarkStart w:id="514" w:name="_Toc482188561"/>
      <w:bookmarkStart w:id="515" w:name="_Toc20620"/>
      <w:bookmarkStart w:id="516" w:name="_Toc492300654"/>
      <w:r>
        <w:rPr>
          <w:rFonts w:eastAsia="宋体"/>
          <w:b/>
          <w:bCs/>
          <w:color w:val="auto"/>
          <w:kern w:val="2"/>
          <w:szCs w:val="32"/>
          <w:lang w:eastAsia="zh-CN" w:bidi="ar-SA"/>
        </w:rPr>
        <w:t>2</w:t>
      </w:r>
      <w:bookmarkEnd w:id="507"/>
      <w:bookmarkEnd w:id="508"/>
      <w:bookmarkEnd w:id="509"/>
      <w:bookmarkEnd w:id="510"/>
      <w:bookmarkEnd w:id="511"/>
      <w:bookmarkEnd w:id="512"/>
      <w:bookmarkEnd w:id="513"/>
      <w:r>
        <w:rPr>
          <w:rFonts w:eastAsia="宋体"/>
          <w:b/>
          <w:bCs/>
          <w:color w:val="auto"/>
          <w:kern w:val="2"/>
          <w:szCs w:val="32"/>
          <w:lang w:eastAsia="zh-CN" w:bidi="ar-SA"/>
        </w:rPr>
        <w:t>.2</w:t>
      </w:r>
      <w:bookmarkStart w:id="517" w:name="_Toc300835049"/>
      <w:bookmarkStart w:id="518" w:name="_Toc247514050"/>
      <w:bookmarkStart w:id="519" w:name="_Toc247527651"/>
      <w:bookmarkStart w:id="520" w:name="_Toc300835052"/>
      <w:bookmarkStart w:id="521" w:name="_Toc385942919"/>
      <w:bookmarkStart w:id="522" w:name="_Toc247514053"/>
      <w:bookmarkStart w:id="523" w:name="_Toc247527654"/>
      <w:bookmarkStart w:id="524" w:name="_Toc370281723"/>
      <w:r>
        <w:rPr>
          <w:rFonts w:eastAsia="宋体"/>
          <w:b/>
          <w:bCs/>
          <w:color w:val="auto"/>
          <w:kern w:val="2"/>
          <w:szCs w:val="32"/>
          <w:lang w:eastAsia="zh-CN" w:bidi="ar-SA"/>
        </w:rPr>
        <w:t xml:space="preserve"> </w:t>
      </w:r>
      <w:r>
        <w:rPr>
          <w:rFonts w:hint="eastAsia" w:eastAsia="宋体"/>
          <w:b/>
          <w:bCs/>
          <w:color w:val="auto"/>
          <w:kern w:val="2"/>
          <w:szCs w:val="32"/>
          <w:lang w:eastAsia="zh-CN" w:bidi="ar-SA"/>
        </w:rPr>
        <w:t>发出开始监理通</w:t>
      </w:r>
      <w:bookmarkEnd w:id="517"/>
      <w:bookmarkEnd w:id="518"/>
      <w:bookmarkEnd w:id="519"/>
      <w:r>
        <w:rPr>
          <w:rFonts w:hint="eastAsia" w:eastAsia="宋体"/>
          <w:b/>
          <w:bCs/>
          <w:color w:val="auto"/>
          <w:kern w:val="2"/>
          <w:szCs w:val="32"/>
          <w:lang w:eastAsia="zh-CN" w:bidi="ar-SA"/>
        </w:rPr>
        <w:t>知</w:t>
      </w:r>
      <w:bookmarkEnd w:id="514"/>
      <w:bookmarkEnd w:id="515"/>
      <w:bookmarkEnd w:id="516"/>
    </w:p>
    <w:p w14:paraId="6B83FBC2">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委托人应按第6.1款的约定向监理人发出开始监理通知。</w:t>
      </w:r>
    </w:p>
    <w:p w14:paraId="415E438D">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除专用合同条款另有约定外，委托人应为监理人的现场人员，在施工期间提供办公房间、办公桌椅、互联网接口、冷暖设施、生活设施、进出现场交通服务和其他便利条件。</w:t>
      </w:r>
    </w:p>
    <w:p w14:paraId="58525EA6">
      <w:pPr>
        <w:keepNext/>
        <w:keepLines/>
        <w:spacing w:line="360" w:lineRule="auto"/>
        <w:jc w:val="both"/>
        <w:outlineLvl w:val="2"/>
        <w:rPr>
          <w:rFonts w:eastAsia="宋体"/>
          <w:b/>
          <w:bCs/>
          <w:color w:val="auto"/>
          <w:kern w:val="2"/>
          <w:szCs w:val="32"/>
          <w:lang w:eastAsia="zh-CN" w:bidi="ar-SA"/>
        </w:rPr>
      </w:pPr>
      <w:bookmarkStart w:id="525" w:name="_Toc492300655"/>
      <w:bookmarkStart w:id="526" w:name="_Toc15916"/>
      <w:bookmarkStart w:id="527" w:name="_Toc482188562"/>
      <w:r>
        <w:rPr>
          <w:rFonts w:eastAsia="宋体"/>
          <w:b/>
          <w:bCs/>
          <w:color w:val="auto"/>
          <w:kern w:val="2"/>
          <w:szCs w:val="32"/>
          <w:lang w:eastAsia="zh-CN" w:bidi="ar-SA"/>
        </w:rPr>
        <w:t>2.</w:t>
      </w:r>
      <w:bookmarkStart w:id="528" w:name="_Toc300835051"/>
      <w:bookmarkStart w:id="529" w:name="_Toc247514052"/>
      <w:bookmarkStart w:id="530" w:name="_Toc247527653"/>
      <w:r>
        <w:rPr>
          <w:rFonts w:eastAsia="宋体"/>
          <w:b/>
          <w:bCs/>
          <w:color w:val="auto"/>
          <w:kern w:val="2"/>
          <w:szCs w:val="32"/>
          <w:lang w:eastAsia="zh-CN" w:bidi="ar-SA"/>
        </w:rPr>
        <w:t xml:space="preserve">3 </w:t>
      </w:r>
      <w:r>
        <w:rPr>
          <w:rFonts w:hint="eastAsia" w:eastAsia="宋体"/>
          <w:b/>
          <w:bCs/>
          <w:color w:val="auto"/>
          <w:kern w:val="2"/>
          <w:szCs w:val="32"/>
          <w:lang w:eastAsia="zh-CN" w:bidi="ar-SA"/>
        </w:rPr>
        <w:t>办理证件</w:t>
      </w:r>
      <w:bookmarkEnd w:id="528"/>
      <w:bookmarkEnd w:id="529"/>
      <w:bookmarkEnd w:id="530"/>
      <w:r>
        <w:rPr>
          <w:rFonts w:hint="eastAsia" w:eastAsia="宋体"/>
          <w:b/>
          <w:bCs/>
          <w:color w:val="auto"/>
          <w:kern w:val="2"/>
          <w:szCs w:val="32"/>
          <w:lang w:eastAsia="zh-CN" w:bidi="ar-SA"/>
        </w:rPr>
        <w:t>和批件</w:t>
      </w:r>
      <w:bookmarkEnd w:id="525"/>
      <w:bookmarkEnd w:id="526"/>
      <w:bookmarkEnd w:id="527"/>
    </w:p>
    <w:p w14:paraId="6B05EBC1">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法律规定和（或）合同约定由委托人负责办理的工程建设项目必须履行的各类审批、核准或备案手续，委托人应当按时办理，监理人应给予必要的协助。</w:t>
      </w:r>
    </w:p>
    <w:p w14:paraId="5D324911">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法律规定和（或）合同约定由监理人负责办理的监理所需的证件和批件，委托人应给予必要的协助。</w:t>
      </w:r>
    </w:p>
    <w:p w14:paraId="6D29F80D">
      <w:pPr>
        <w:keepNext/>
        <w:keepLines/>
        <w:spacing w:line="360" w:lineRule="auto"/>
        <w:jc w:val="both"/>
        <w:outlineLvl w:val="2"/>
        <w:rPr>
          <w:rFonts w:eastAsia="宋体"/>
          <w:b/>
          <w:bCs/>
          <w:color w:val="auto"/>
          <w:kern w:val="2"/>
          <w:szCs w:val="32"/>
          <w:lang w:eastAsia="zh-CN" w:bidi="ar-SA"/>
        </w:rPr>
      </w:pPr>
      <w:bookmarkStart w:id="531" w:name="_Toc492300656"/>
      <w:bookmarkStart w:id="532" w:name="_Toc22020"/>
      <w:bookmarkStart w:id="533" w:name="_Toc482188563"/>
      <w:r>
        <w:rPr>
          <w:rFonts w:eastAsia="宋体"/>
          <w:b/>
          <w:bCs/>
          <w:color w:val="auto"/>
          <w:kern w:val="2"/>
          <w:szCs w:val="32"/>
          <w:lang w:eastAsia="zh-CN" w:bidi="ar-SA"/>
        </w:rPr>
        <w:t xml:space="preserve">2.4 </w:t>
      </w:r>
      <w:r>
        <w:rPr>
          <w:rFonts w:hint="eastAsia" w:eastAsia="宋体"/>
          <w:b/>
          <w:bCs/>
          <w:color w:val="auto"/>
          <w:kern w:val="2"/>
          <w:szCs w:val="32"/>
          <w:lang w:eastAsia="zh-CN" w:bidi="ar-SA"/>
        </w:rPr>
        <w:t>支付合同价款</w:t>
      </w:r>
      <w:bookmarkEnd w:id="531"/>
      <w:bookmarkEnd w:id="532"/>
      <w:bookmarkEnd w:id="533"/>
    </w:p>
    <w:p w14:paraId="7E1DF39E">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委托人应按合同约定向监理人及时支付合同价款。</w:t>
      </w:r>
    </w:p>
    <w:p w14:paraId="5E17FFFD">
      <w:pPr>
        <w:keepNext/>
        <w:keepLines/>
        <w:spacing w:line="360" w:lineRule="auto"/>
        <w:jc w:val="both"/>
        <w:outlineLvl w:val="2"/>
        <w:rPr>
          <w:rFonts w:eastAsia="宋体"/>
          <w:b/>
          <w:bCs/>
          <w:color w:val="auto"/>
          <w:kern w:val="2"/>
          <w:szCs w:val="32"/>
          <w:lang w:eastAsia="zh-CN" w:bidi="ar-SA"/>
        </w:rPr>
      </w:pPr>
      <w:bookmarkStart w:id="534" w:name="_Toc4807"/>
      <w:bookmarkStart w:id="535" w:name="_Toc482188564"/>
      <w:bookmarkStart w:id="536" w:name="_Toc474833987"/>
      <w:bookmarkStart w:id="537" w:name="_Toc492300657"/>
      <w:r>
        <w:rPr>
          <w:rFonts w:eastAsia="宋体"/>
          <w:b/>
          <w:bCs/>
          <w:color w:val="auto"/>
          <w:kern w:val="2"/>
          <w:szCs w:val="32"/>
          <w:lang w:eastAsia="zh-CN" w:bidi="ar-SA"/>
        </w:rPr>
        <w:t xml:space="preserve">2.5 </w:t>
      </w:r>
      <w:r>
        <w:rPr>
          <w:rFonts w:hint="eastAsia" w:eastAsia="宋体"/>
          <w:b/>
          <w:bCs/>
          <w:color w:val="auto"/>
          <w:kern w:val="2"/>
          <w:szCs w:val="32"/>
          <w:lang w:eastAsia="zh-CN" w:bidi="ar-SA"/>
        </w:rPr>
        <w:t>提供监理资料</w:t>
      </w:r>
      <w:bookmarkEnd w:id="534"/>
      <w:bookmarkEnd w:id="535"/>
      <w:bookmarkEnd w:id="536"/>
      <w:bookmarkEnd w:id="537"/>
    </w:p>
    <w:p w14:paraId="59C47609">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委托人应按第1.6.2项的约定向监理人提供监理资料。</w:t>
      </w:r>
    </w:p>
    <w:bookmarkEnd w:id="520"/>
    <w:bookmarkEnd w:id="521"/>
    <w:bookmarkEnd w:id="522"/>
    <w:bookmarkEnd w:id="523"/>
    <w:bookmarkEnd w:id="524"/>
    <w:p w14:paraId="60F10B0A">
      <w:pPr>
        <w:keepNext/>
        <w:keepLines/>
        <w:spacing w:line="360" w:lineRule="auto"/>
        <w:jc w:val="both"/>
        <w:outlineLvl w:val="2"/>
        <w:rPr>
          <w:rFonts w:eastAsia="宋体"/>
          <w:b/>
          <w:bCs/>
          <w:color w:val="auto"/>
          <w:kern w:val="2"/>
          <w:szCs w:val="32"/>
          <w:lang w:eastAsia="zh-CN" w:bidi="ar-SA"/>
        </w:rPr>
      </w:pPr>
      <w:bookmarkStart w:id="538" w:name="_Toc492300658"/>
      <w:bookmarkStart w:id="539" w:name="_Toc7242"/>
      <w:bookmarkStart w:id="540" w:name="_Toc482188565"/>
      <w:r>
        <w:rPr>
          <w:rFonts w:eastAsia="宋体"/>
          <w:b/>
          <w:bCs/>
          <w:color w:val="auto"/>
          <w:kern w:val="2"/>
          <w:szCs w:val="32"/>
          <w:lang w:eastAsia="zh-CN" w:bidi="ar-SA"/>
        </w:rPr>
        <w:t xml:space="preserve">2.6 </w:t>
      </w:r>
      <w:r>
        <w:rPr>
          <w:rFonts w:hint="eastAsia" w:eastAsia="宋体"/>
          <w:b/>
          <w:bCs/>
          <w:color w:val="auto"/>
          <w:kern w:val="2"/>
          <w:szCs w:val="32"/>
          <w:lang w:eastAsia="zh-CN" w:bidi="ar-SA"/>
        </w:rPr>
        <w:t>其他义务</w:t>
      </w:r>
      <w:bookmarkEnd w:id="538"/>
      <w:bookmarkEnd w:id="539"/>
      <w:bookmarkEnd w:id="540"/>
    </w:p>
    <w:p w14:paraId="1A415B52">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委托人应履行合同约定的其他义务</w:t>
      </w:r>
      <w:bookmarkStart w:id="541" w:name="_Toc385942924"/>
      <w:bookmarkStart w:id="542" w:name="_Toc370281728"/>
      <w:r>
        <w:rPr>
          <w:rFonts w:eastAsia="宋体"/>
          <w:color w:val="auto"/>
          <w:kern w:val="2"/>
          <w:sz w:val="21"/>
          <w:szCs w:val="21"/>
          <w:lang w:eastAsia="zh-CN" w:bidi="ar-SA"/>
        </w:rPr>
        <w:t>。</w:t>
      </w:r>
    </w:p>
    <w:p w14:paraId="585926B7">
      <w:pPr>
        <w:keepNext/>
        <w:keepLines/>
        <w:spacing w:line="360" w:lineRule="auto"/>
        <w:outlineLvl w:val="1"/>
        <w:rPr>
          <w:rFonts w:ascii="Arial" w:hAnsi="Arial" w:eastAsia="宋体"/>
          <w:b/>
          <w:bCs/>
          <w:color w:val="auto"/>
          <w:kern w:val="2"/>
          <w:sz w:val="28"/>
          <w:szCs w:val="32"/>
          <w:lang w:eastAsia="zh-CN" w:bidi="ar-SA"/>
        </w:rPr>
      </w:pPr>
      <w:bookmarkStart w:id="543" w:name="_Toc482188566"/>
      <w:bookmarkStart w:id="544" w:name="_Toc504633909"/>
      <w:bookmarkStart w:id="545" w:name="_Toc6729"/>
      <w:bookmarkStart w:id="546" w:name="_Toc492300659"/>
      <w:r>
        <w:rPr>
          <w:rFonts w:ascii="Arial" w:hAnsi="Arial" w:eastAsia="宋体"/>
          <w:b/>
          <w:bCs/>
          <w:color w:val="auto"/>
          <w:kern w:val="2"/>
          <w:sz w:val="28"/>
          <w:szCs w:val="32"/>
          <w:lang w:eastAsia="zh-CN" w:bidi="ar-SA"/>
        </w:rPr>
        <w:t>3. 委托人管</w:t>
      </w:r>
      <w:bookmarkEnd w:id="541"/>
      <w:bookmarkEnd w:id="542"/>
      <w:r>
        <w:rPr>
          <w:rFonts w:ascii="Arial" w:hAnsi="Arial" w:eastAsia="宋体"/>
          <w:b/>
          <w:bCs/>
          <w:color w:val="auto"/>
          <w:kern w:val="2"/>
          <w:sz w:val="28"/>
          <w:szCs w:val="32"/>
          <w:lang w:eastAsia="zh-CN" w:bidi="ar-SA"/>
        </w:rPr>
        <w:t>理</w:t>
      </w:r>
      <w:bookmarkEnd w:id="543"/>
      <w:bookmarkEnd w:id="544"/>
      <w:bookmarkEnd w:id="545"/>
      <w:bookmarkEnd w:id="546"/>
    </w:p>
    <w:p w14:paraId="6F2F10B8">
      <w:pPr>
        <w:keepNext/>
        <w:keepLines/>
        <w:spacing w:line="360" w:lineRule="auto"/>
        <w:jc w:val="both"/>
        <w:outlineLvl w:val="2"/>
        <w:rPr>
          <w:rFonts w:eastAsia="宋体"/>
          <w:b/>
          <w:bCs/>
          <w:color w:val="auto"/>
          <w:kern w:val="2"/>
          <w:szCs w:val="32"/>
          <w:lang w:eastAsia="zh-CN" w:bidi="ar-SA"/>
        </w:rPr>
      </w:pPr>
      <w:bookmarkStart w:id="547" w:name="_Toc743"/>
      <w:bookmarkStart w:id="548" w:name="_Toc482188567"/>
      <w:bookmarkStart w:id="549" w:name="_Toc492300660"/>
      <w:r>
        <w:rPr>
          <w:rFonts w:eastAsia="宋体"/>
          <w:b/>
          <w:bCs/>
          <w:color w:val="auto"/>
          <w:kern w:val="2"/>
          <w:szCs w:val="32"/>
          <w:lang w:eastAsia="zh-CN" w:bidi="ar-SA"/>
        </w:rPr>
        <w:t xml:space="preserve">3.1 </w:t>
      </w:r>
      <w:r>
        <w:rPr>
          <w:rFonts w:hint="eastAsia" w:eastAsia="宋体"/>
          <w:b/>
          <w:bCs/>
          <w:color w:val="auto"/>
          <w:kern w:val="2"/>
          <w:szCs w:val="32"/>
          <w:lang w:eastAsia="zh-CN" w:bidi="ar-SA"/>
        </w:rPr>
        <w:t>委托人代表</w:t>
      </w:r>
      <w:bookmarkEnd w:id="547"/>
      <w:bookmarkEnd w:id="548"/>
      <w:bookmarkEnd w:id="549"/>
    </w:p>
    <w:p w14:paraId="7BA165AA">
      <w:pPr>
        <w:spacing w:line="360" w:lineRule="auto"/>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3.1.1除专用合同条款</w:t>
      </w:r>
      <w:bookmarkStart w:id="550" w:name="_Toc370281729"/>
      <w:bookmarkStart w:id="551" w:name="_Toc385942925"/>
      <w:bookmarkStart w:id="552" w:name="_Toc247514057"/>
      <w:bookmarkStart w:id="553" w:name="_Toc300835055"/>
      <w:bookmarkStart w:id="554" w:name="_Toc247527658"/>
      <w:r>
        <w:rPr>
          <w:rFonts w:eastAsia="宋体"/>
          <w:color w:val="auto"/>
          <w:kern w:val="2"/>
          <w:sz w:val="21"/>
          <w:szCs w:val="22"/>
          <w:lang w:eastAsia="zh-CN" w:bidi="ar-SA"/>
        </w:rPr>
        <w:t>另有约定外，</w:t>
      </w:r>
      <w:bookmarkEnd w:id="550"/>
      <w:bookmarkEnd w:id="551"/>
      <w:bookmarkEnd w:id="552"/>
      <w:bookmarkEnd w:id="553"/>
      <w:bookmarkEnd w:id="554"/>
      <w:r>
        <w:rPr>
          <w:rFonts w:eastAsia="宋体"/>
          <w:color w:val="auto"/>
          <w:kern w:val="2"/>
          <w:sz w:val="21"/>
          <w:szCs w:val="22"/>
          <w:lang w:eastAsia="zh-CN" w:bidi="ar-SA"/>
        </w:rPr>
        <w:t>委托人应在合同签订后14天内，将委托人代</w:t>
      </w:r>
      <w:bookmarkStart w:id="555" w:name="_Toc247527659"/>
      <w:bookmarkStart w:id="556" w:name="_Toc247514058"/>
      <w:bookmarkStart w:id="557" w:name="_Toc184635100"/>
      <w:bookmarkStart w:id="558" w:name="_Toc300835056"/>
      <w:r>
        <w:rPr>
          <w:rFonts w:eastAsia="宋体"/>
          <w:color w:val="auto"/>
          <w:kern w:val="2"/>
          <w:sz w:val="21"/>
          <w:szCs w:val="22"/>
          <w:lang w:eastAsia="zh-CN" w:bidi="ar-SA"/>
        </w:rPr>
        <w:t>表的姓名、职</w:t>
      </w:r>
      <w:bookmarkEnd w:id="555"/>
      <w:bookmarkEnd w:id="556"/>
      <w:bookmarkEnd w:id="557"/>
      <w:bookmarkEnd w:id="558"/>
      <w:r>
        <w:rPr>
          <w:rFonts w:eastAsia="宋体"/>
          <w:color w:val="auto"/>
          <w:kern w:val="2"/>
          <w:sz w:val="21"/>
          <w:szCs w:val="22"/>
          <w:lang w:eastAsia="zh-CN" w:bidi="ar-SA"/>
        </w:rPr>
        <w:t>务、联</w:t>
      </w:r>
      <w:bookmarkStart w:id="559" w:name="_Toc351203511"/>
      <w:r>
        <w:rPr>
          <w:rFonts w:eastAsia="宋体"/>
          <w:color w:val="auto"/>
          <w:kern w:val="2"/>
          <w:sz w:val="21"/>
          <w:szCs w:val="22"/>
          <w:lang w:eastAsia="zh-CN" w:bidi="ar-SA"/>
        </w:rPr>
        <w:t>系方式、授权范围和</w:t>
      </w:r>
      <w:bookmarkEnd w:id="559"/>
      <w:r>
        <w:rPr>
          <w:rFonts w:eastAsia="宋体"/>
          <w:color w:val="auto"/>
          <w:kern w:val="2"/>
          <w:sz w:val="21"/>
          <w:szCs w:val="22"/>
          <w:lang w:eastAsia="zh-CN" w:bidi="ar-SA"/>
        </w:rPr>
        <w:t>授权期限书面通知监理人，由委托人代表在其授权范围和授权期限内，代表委托人行使权利、履行义务和处理合同履行中的具体事宜。委托人代表在授权范围内的行为由委托人承担法律责任。</w:t>
      </w:r>
    </w:p>
    <w:p w14:paraId="79C630A7">
      <w:pPr>
        <w:spacing w:line="360" w:lineRule="auto"/>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3.1.2委托人代表违反法律法规、违背职业道德守则或者不按合同约定履行职责及义务，导致合同无法继续正常履行的，监理人有权通知委托人更换委托人代表。委托人收到通知后7天内，应当核实完毕并将处理结果通知监理人。</w:t>
      </w:r>
    </w:p>
    <w:p w14:paraId="43456749">
      <w:pPr>
        <w:spacing w:line="360" w:lineRule="auto"/>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3.1.3 委托人更换委托人代表的，应提前14天将更换人员的姓名、职务、联系方式、授权范围和授权期限书面通知监理人。委托人代表超过2天不能履行职责的，应委派代表代行其职责，并通知监理人。</w:t>
      </w:r>
    </w:p>
    <w:p w14:paraId="589835A8">
      <w:pPr>
        <w:keepNext/>
        <w:keepLines/>
        <w:spacing w:line="360" w:lineRule="auto"/>
        <w:jc w:val="both"/>
        <w:outlineLvl w:val="2"/>
        <w:rPr>
          <w:rFonts w:eastAsia="宋体"/>
          <w:b/>
          <w:bCs/>
          <w:color w:val="auto"/>
          <w:kern w:val="2"/>
          <w:szCs w:val="32"/>
          <w:lang w:eastAsia="zh-CN" w:bidi="ar-SA"/>
        </w:rPr>
      </w:pPr>
      <w:bookmarkStart w:id="560" w:name="_Toc19115"/>
      <w:bookmarkStart w:id="561" w:name="_Toc492300661"/>
      <w:bookmarkStart w:id="562" w:name="_Toc482188569"/>
      <w:r>
        <w:rPr>
          <w:rFonts w:eastAsia="宋体"/>
          <w:b/>
          <w:bCs/>
          <w:color w:val="auto"/>
          <w:kern w:val="2"/>
          <w:szCs w:val="32"/>
          <w:lang w:eastAsia="zh-CN" w:bidi="ar-SA"/>
        </w:rPr>
        <w:t xml:space="preserve">3.2 </w:t>
      </w:r>
      <w:r>
        <w:rPr>
          <w:rFonts w:hint="eastAsia" w:eastAsia="宋体"/>
          <w:b/>
          <w:bCs/>
          <w:color w:val="auto"/>
          <w:kern w:val="2"/>
          <w:szCs w:val="32"/>
          <w:lang w:eastAsia="zh-CN" w:bidi="ar-SA"/>
        </w:rPr>
        <w:t>委托人的指示</w:t>
      </w:r>
      <w:bookmarkEnd w:id="560"/>
      <w:bookmarkEnd w:id="561"/>
      <w:bookmarkEnd w:id="562"/>
    </w:p>
    <w:p w14:paraId="624F5B93">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2"/>
          <w:lang w:eastAsia="zh-CN" w:bidi="ar-SA"/>
        </w:rPr>
        <w:t xml:space="preserve">3.2.1 </w:t>
      </w:r>
      <w:r>
        <w:rPr>
          <w:rFonts w:eastAsia="宋体"/>
          <w:color w:val="auto"/>
          <w:kern w:val="2"/>
          <w:sz w:val="21"/>
          <w:szCs w:val="21"/>
          <w:lang w:eastAsia="zh-CN" w:bidi="ar-SA"/>
        </w:rPr>
        <w:t>委托人应按合同约定向监理人发出指示，委托人的指示应盖有委托人单位章</w:t>
      </w:r>
      <w:bookmarkStart w:id="563" w:name="_Toc247514062"/>
      <w:bookmarkStart w:id="564" w:name="_Toc247527663"/>
      <w:bookmarkStart w:id="565" w:name="_Toc300835060"/>
      <w:r>
        <w:rPr>
          <w:rFonts w:eastAsia="宋体"/>
          <w:color w:val="auto"/>
          <w:kern w:val="2"/>
          <w:sz w:val="21"/>
          <w:szCs w:val="21"/>
          <w:lang w:eastAsia="zh-CN" w:bidi="ar-SA"/>
        </w:rPr>
        <w:t>，并由</w:t>
      </w:r>
      <w:bookmarkEnd w:id="563"/>
      <w:bookmarkEnd w:id="564"/>
      <w:bookmarkEnd w:id="565"/>
      <w:r>
        <w:rPr>
          <w:rFonts w:eastAsia="宋体"/>
          <w:color w:val="auto"/>
          <w:kern w:val="2"/>
          <w:sz w:val="21"/>
          <w:szCs w:val="21"/>
          <w:lang w:eastAsia="zh-CN" w:bidi="ar-SA"/>
        </w:rPr>
        <w:t>委托人代表签字确认。</w:t>
      </w:r>
    </w:p>
    <w:p w14:paraId="197905AC">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2"/>
          <w:lang w:eastAsia="zh-CN" w:bidi="ar-SA"/>
        </w:rPr>
        <w:t xml:space="preserve">3.2.2 </w:t>
      </w:r>
      <w:r>
        <w:rPr>
          <w:rFonts w:eastAsia="宋体"/>
          <w:color w:val="auto"/>
          <w:kern w:val="2"/>
          <w:sz w:val="21"/>
          <w:szCs w:val="21"/>
          <w:lang w:eastAsia="zh-CN" w:bidi="ar-SA"/>
        </w:rPr>
        <w:t>监理人收到委托人作出的指示后应遵照执行。指示构成变更的，应按第</w:t>
      </w:r>
      <w:r>
        <w:rPr>
          <w:rFonts w:eastAsia="宋体"/>
          <w:color w:val="auto"/>
          <w:kern w:val="2"/>
          <w:sz w:val="21"/>
          <w:szCs w:val="22"/>
          <w:lang w:eastAsia="zh-CN" w:bidi="ar-SA"/>
        </w:rPr>
        <w:t>8</w:t>
      </w:r>
      <w:r>
        <w:rPr>
          <w:rFonts w:eastAsia="宋体"/>
          <w:color w:val="auto"/>
          <w:kern w:val="2"/>
          <w:sz w:val="21"/>
          <w:szCs w:val="21"/>
          <w:lang w:eastAsia="zh-CN" w:bidi="ar-SA"/>
        </w:rPr>
        <w:t>条执行。</w:t>
      </w:r>
    </w:p>
    <w:p w14:paraId="52DB6735">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2"/>
          <w:lang w:eastAsia="zh-CN" w:bidi="ar-SA"/>
        </w:rPr>
        <w:t xml:space="preserve">3.2.3 </w:t>
      </w:r>
      <w:r>
        <w:rPr>
          <w:rFonts w:eastAsia="宋体"/>
          <w:color w:val="auto"/>
          <w:kern w:val="2"/>
          <w:sz w:val="21"/>
          <w:szCs w:val="21"/>
          <w:lang w:eastAsia="zh-CN" w:bidi="ar-SA"/>
        </w:rPr>
        <w:t>在紧急情况下，委托人代表或其授权人员可以当场签发临时书面指示，监理人应遵照执行。委托人代表应在临时书面指示发出后24小时内发出书面确认函，逾期未发出书面确认函的，该临时书面指示应被视为委托人的正式指示。</w:t>
      </w:r>
    </w:p>
    <w:p w14:paraId="46134048">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2"/>
          <w:lang w:eastAsia="zh-CN" w:bidi="ar-SA"/>
        </w:rPr>
        <w:t xml:space="preserve">3.2.4 </w:t>
      </w:r>
      <w:r>
        <w:rPr>
          <w:rFonts w:eastAsia="宋体"/>
          <w:color w:val="auto"/>
          <w:kern w:val="2"/>
          <w:sz w:val="21"/>
          <w:szCs w:val="21"/>
          <w:lang w:eastAsia="zh-CN" w:bidi="ar-SA"/>
        </w:rPr>
        <w:t>由于委托人未能按合同约定发出指示、指示延误或指示错误而导致监理人费用增加和（或）周期延误的，委托人应承担由此增加的费用和（或）周期延误。</w:t>
      </w:r>
    </w:p>
    <w:p w14:paraId="6B95F6CD">
      <w:pPr>
        <w:keepNext/>
        <w:keepLines/>
        <w:spacing w:line="360" w:lineRule="auto"/>
        <w:jc w:val="both"/>
        <w:outlineLvl w:val="2"/>
        <w:rPr>
          <w:rFonts w:eastAsia="宋体"/>
          <w:b/>
          <w:bCs/>
          <w:color w:val="auto"/>
          <w:kern w:val="2"/>
          <w:szCs w:val="32"/>
          <w:lang w:eastAsia="zh-CN" w:bidi="ar-SA"/>
        </w:rPr>
      </w:pPr>
      <w:bookmarkStart w:id="566" w:name="_Toc482188570"/>
      <w:bookmarkStart w:id="567" w:name="_Toc492300662"/>
      <w:bookmarkStart w:id="568" w:name="_Toc12854"/>
      <w:r>
        <w:rPr>
          <w:rFonts w:eastAsia="宋体"/>
          <w:b/>
          <w:bCs/>
          <w:color w:val="auto"/>
          <w:kern w:val="2"/>
          <w:szCs w:val="32"/>
          <w:lang w:eastAsia="zh-CN" w:bidi="ar-SA"/>
        </w:rPr>
        <w:t xml:space="preserve">3.3 </w:t>
      </w:r>
      <w:r>
        <w:rPr>
          <w:rFonts w:hint="eastAsia" w:eastAsia="宋体"/>
          <w:b/>
          <w:bCs/>
          <w:color w:val="auto"/>
          <w:kern w:val="2"/>
          <w:szCs w:val="32"/>
          <w:lang w:eastAsia="zh-CN" w:bidi="ar-SA"/>
        </w:rPr>
        <w:t>决定或答复</w:t>
      </w:r>
      <w:bookmarkEnd w:id="566"/>
      <w:bookmarkEnd w:id="567"/>
      <w:bookmarkEnd w:id="568"/>
    </w:p>
    <w:p w14:paraId="7329FED8">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3.3.1 委托人在法律允许的范围内有权对监理人的监理工作和/或监理文件作出处理决定</w:t>
      </w:r>
      <w:bookmarkStart w:id="569" w:name="_Toc300835062"/>
      <w:bookmarkStart w:id="570" w:name="_Toc184635101"/>
      <w:bookmarkStart w:id="571" w:name="_Toc385942926"/>
      <w:bookmarkStart w:id="572" w:name="_Toc370281730"/>
      <w:bookmarkStart w:id="573" w:name="_Toc247514064"/>
      <w:bookmarkStart w:id="574" w:name="_Toc385592088"/>
      <w:bookmarkStart w:id="575" w:name="_Toc247527665"/>
      <w:r>
        <w:rPr>
          <w:rFonts w:eastAsia="宋体"/>
          <w:color w:val="auto"/>
          <w:kern w:val="2"/>
          <w:sz w:val="21"/>
          <w:szCs w:val="21"/>
          <w:lang w:eastAsia="zh-CN" w:bidi="ar-SA"/>
        </w:rPr>
        <w:t>，监理人应按照委托人的决定执行，涉及监理服务期限或监理报酬等问题按第</w:t>
      </w:r>
      <w:r>
        <w:rPr>
          <w:rFonts w:eastAsia="宋体"/>
          <w:color w:val="auto"/>
          <w:kern w:val="2"/>
          <w:sz w:val="21"/>
          <w:szCs w:val="22"/>
          <w:lang w:eastAsia="zh-CN" w:bidi="ar-SA"/>
        </w:rPr>
        <w:t>8</w:t>
      </w:r>
      <w:r>
        <w:rPr>
          <w:rFonts w:eastAsia="宋体"/>
          <w:color w:val="auto"/>
          <w:kern w:val="2"/>
          <w:sz w:val="21"/>
          <w:szCs w:val="21"/>
          <w:lang w:eastAsia="zh-CN" w:bidi="ar-SA"/>
        </w:rPr>
        <w:t>条的约定处理。</w:t>
      </w:r>
    </w:p>
    <w:p w14:paraId="2D22A5B9">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3.3.2 委托人应在专用合同条款约定的时间之内，对监理人书面提出的事项作出书面答复；逾期没有做出答复的，视为已获得委托人的批准。</w:t>
      </w:r>
    </w:p>
    <w:p w14:paraId="253C6A6C">
      <w:pPr>
        <w:keepNext/>
        <w:keepLines/>
        <w:spacing w:line="360" w:lineRule="auto"/>
        <w:outlineLvl w:val="1"/>
        <w:rPr>
          <w:rFonts w:ascii="Arial" w:hAnsi="Arial" w:eastAsia="宋体"/>
          <w:b/>
          <w:bCs/>
          <w:color w:val="auto"/>
          <w:kern w:val="2"/>
          <w:sz w:val="28"/>
          <w:szCs w:val="32"/>
          <w:lang w:eastAsia="zh-CN" w:bidi="ar-SA"/>
        </w:rPr>
      </w:pPr>
      <w:bookmarkStart w:id="576" w:name="_Toc492300663"/>
      <w:bookmarkStart w:id="577" w:name="_Toc482188571"/>
      <w:bookmarkStart w:id="578" w:name="_Toc13308"/>
      <w:bookmarkStart w:id="579" w:name="_Toc504633910"/>
      <w:r>
        <w:rPr>
          <w:rFonts w:ascii="Arial" w:hAnsi="Arial" w:eastAsia="宋体"/>
          <w:b/>
          <w:bCs/>
          <w:color w:val="auto"/>
          <w:kern w:val="2"/>
          <w:sz w:val="28"/>
          <w:szCs w:val="32"/>
          <w:lang w:eastAsia="zh-CN" w:bidi="ar-SA"/>
        </w:rPr>
        <w:t>4. 监理人义务</w:t>
      </w:r>
      <w:bookmarkEnd w:id="576"/>
      <w:bookmarkEnd w:id="577"/>
      <w:bookmarkEnd w:id="578"/>
      <w:bookmarkEnd w:id="579"/>
    </w:p>
    <w:p w14:paraId="19CB7E43">
      <w:pPr>
        <w:keepNext/>
        <w:keepLines/>
        <w:spacing w:line="360" w:lineRule="auto"/>
        <w:jc w:val="both"/>
        <w:outlineLvl w:val="2"/>
        <w:rPr>
          <w:rFonts w:eastAsia="宋体"/>
          <w:b/>
          <w:bCs/>
          <w:color w:val="auto"/>
          <w:kern w:val="2"/>
          <w:szCs w:val="32"/>
          <w:lang w:eastAsia="zh-CN" w:bidi="ar-SA"/>
        </w:rPr>
      </w:pPr>
      <w:bookmarkStart w:id="580" w:name="_Toc26279"/>
      <w:bookmarkStart w:id="581" w:name="_Toc482188572"/>
      <w:bookmarkStart w:id="582" w:name="_Toc492300664"/>
      <w:r>
        <w:rPr>
          <w:rFonts w:eastAsia="宋体"/>
          <w:b/>
          <w:bCs/>
          <w:color w:val="auto"/>
          <w:kern w:val="2"/>
          <w:szCs w:val="32"/>
          <w:lang w:eastAsia="zh-CN" w:bidi="ar-SA"/>
        </w:rPr>
        <w:t xml:space="preserve">4.1 </w:t>
      </w:r>
      <w:r>
        <w:rPr>
          <w:rFonts w:hint="eastAsia" w:eastAsia="宋体"/>
          <w:b/>
          <w:bCs/>
          <w:color w:val="auto"/>
          <w:kern w:val="2"/>
          <w:szCs w:val="32"/>
          <w:lang w:eastAsia="zh-CN" w:bidi="ar-SA"/>
        </w:rPr>
        <w:t>监理人的一般义务</w:t>
      </w:r>
      <w:bookmarkEnd w:id="580"/>
      <w:bookmarkEnd w:id="581"/>
      <w:bookmarkEnd w:id="582"/>
    </w:p>
    <w:p w14:paraId="2EB79FB1">
      <w:pPr>
        <w:spacing w:line="360" w:lineRule="auto"/>
        <w:ind w:firstLine="422" w:firstLineChars="200"/>
        <w:jc w:val="both"/>
        <w:rPr>
          <w:rFonts w:eastAsia="宋体"/>
          <w:b/>
          <w:color w:val="auto"/>
          <w:kern w:val="2"/>
          <w:sz w:val="21"/>
          <w:szCs w:val="21"/>
          <w:lang w:eastAsia="zh-CN" w:bidi="ar-SA"/>
        </w:rPr>
      </w:pPr>
      <w:r>
        <w:rPr>
          <w:rFonts w:eastAsia="宋体"/>
          <w:b/>
          <w:color w:val="auto"/>
          <w:kern w:val="2"/>
          <w:sz w:val="21"/>
          <w:szCs w:val="22"/>
          <w:lang w:eastAsia="zh-CN" w:bidi="ar-SA"/>
        </w:rPr>
        <w:t xml:space="preserve">4.1.1 </w:t>
      </w:r>
      <w:r>
        <w:rPr>
          <w:rFonts w:eastAsia="宋体"/>
          <w:b/>
          <w:color w:val="auto"/>
          <w:kern w:val="2"/>
          <w:sz w:val="21"/>
          <w:szCs w:val="21"/>
          <w:lang w:eastAsia="zh-CN" w:bidi="ar-SA"/>
        </w:rPr>
        <w:t>遵守法律</w:t>
      </w:r>
    </w:p>
    <w:p w14:paraId="55760A7D">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监理人在履行合同过程中应遵守法律，并保证委托人免于承担因</w:t>
      </w:r>
      <w:bookmarkEnd w:id="569"/>
      <w:bookmarkEnd w:id="570"/>
      <w:bookmarkEnd w:id="571"/>
      <w:bookmarkEnd w:id="572"/>
      <w:bookmarkEnd w:id="573"/>
      <w:bookmarkEnd w:id="574"/>
      <w:bookmarkEnd w:id="575"/>
      <w:r>
        <w:rPr>
          <w:rFonts w:eastAsia="宋体"/>
          <w:color w:val="auto"/>
          <w:kern w:val="2"/>
          <w:sz w:val="21"/>
          <w:szCs w:val="21"/>
          <w:lang w:eastAsia="zh-CN" w:bidi="ar-SA"/>
        </w:rPr>
        <w:t>监理人</w:t>
      </w:r>
      <w:bookmarkStart w:id="583" w:name="_Toc247514065"/>
      <w:bookmarkStart w:id="584" w:name="_Toc385942927"/>
      <w:bookmarkStart w:id="585" w:name="_Toc247527666"/>
      <w:bookmarkStart w:id="586" w:name="_Toc300835063"/>
      <w:bookmarkStart w:id="587" w:name="_Toc370281731"/>
      <w:r>
        <w:rPr>
          <w:rFonts w:eastAsia="宋体"/>
          <w:color w:val="auto"/>
          <w:kern w:val="2"/>
          <w:sz w:val="21"/>
          <w:szCs w:val="21"/>
          <w:lang w:eastAsia="zh-CN" w:bidi="ar-SA"/>
        </w:rPr>
        <w:t>违反法律而引起的任何责任。</w:t>
      </w:r>
    </w:p>
    <w:bookmarkEnd w:id="583"/>
    <w:bookmarkEnd w:id="584"/>
    <w:bookmarkEnd w:id="585"/>
    <w:bookmarkEnd w:id="586"/>
    <w:bookmarkEnd w:id="587"/>
    <w:p w14:paraId="2C7D384D">
      <w:pPr>
        <w:spacing w:line="360" w:lineRule="auto"/>
        <w:ind w:firstLine="422" w:firstLineChars="200"/>
        <w:jc w:val="both"/>
        <w:rPr>
          <w:rFonts w:eastAsia="宋体"/>
          <w:b/>
          <w:color w:val="auto"/>
          <w:kern w:val="2"/>
          <w:sz w:val="21"/>
          <w:szCs w:val="21"/>
          <w:lang w:eastAsia="zh-CN" w:bidi="ar-SA"/>
        </w:rPr>
      </w:pPr>
      <w:r>
        <w:rPr>
          <w:rFonts w:eastAsia="宋体"/>
          <w:b/>
          <w:color w:val="auto"/>
          <w:kern w:val="2"/>
          <w:sz w:val="21"/>
          <w:szCs w:val="22"/>
          <w:lang w:eastAsia="zh-CN" w:bidi="ar-SA"/>
        </w:rPr>
        <w:t xml:space="preserve">4.1.2 </w:t>
      </w:r>
      <w:r>
        <w:rPr>
          <w:rFonts w:eastAsia="宋体"/>
          <w:b/>
          <w:color w:val="auto"/>
          <w:kern w:val="2"/>
          <w:sz w:val="21"/>
          <w:szCs w:val="21"/>
          <w:lang w:eastAsia="zh-CN" w:bidi="ar-SA"/>
        </w:rPr>
        <w:t>依法纳税</w:t>
      </w:r>
    </w:p>
    <w:p w14:paraId="5AE5A21C">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监理人应按有关法律规定纳税，应缴纳的税金（含增值税）包括在合同价格之中。</w:t>
      </w:r>
    </w:p>
    <w:p w14:paraId="3688F898">
      <w:pPr>
        <w:spacing w:line="360" w:lineRule="auto"/>
        <w:ind w:firstLine="422" w:firstLineChars="200"/>
        <w:jc w:val="both"/>
        <w:rPr>
          <w:rFonts w:eastAsia="宋体"/>
          <w:b/>
          <w:color w:val="auto"/>
          <w:kern w:val="2"/>
          <w:sz w:val="21"/>
          <w:szCs w:val="21"/>
          <w:lang w:eastAsia="zh-CN" w:bidi="ar-SA"/>
        </w:rPr>
      </w:pPr>
      <w:r>
        <w:rPr>
          <w:rFonts w:eastAsia="宋体"/>
          <w:b/>
          <w:color w:val="auto"/>
          <w:kern w:val="2"/>
          <w:sz w:val="21"/>
          <w:szCs w:val="22"/>
          <w:lang w:eastAsia="zh-CN" w:bidi="ar-SA"/>
        </w:rPr>
        <w:t xml:space="preserve">4.1.3 </w:t>
      </w:r>
      <w:r>
        <w:rPr>
          <w:rFonts w:eastAsia="宋体"/>
          <w:b/>
          <w:color w:val="auto"/>
          <w:kern w:val="2"/>
          <w:sz w:val="21"/>
          <w:szCs w:val="21"/>
          <w:lang w:eastAsia="zh-CN" w:bidi="ar-SA"/>
        </w:rPr>
        <w:t>完成全部监理工作</w:t>
      </w:r>
    </w:p>
    <w:p w14:paraId="3FB5B2B0">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监理人应按合同约定以及委托人要求，完成合同约定的全部工作，并对工作中的任何缺陷进行整改，使其满足合同约定的目的。</w:t>
      </w:r>
    </w:p>
    <w:p w14:paraId="3894F11D">
      <w:pPr>
        <w:spacing w:line="360" w:lineRule="auto"/>
        <w:ind w:firstLine="422" w:firstLineChars="200"/>
        <w:jc w:val="both"/>
        <w:rPr>
          <w:rFonts w:eastAsia="宋体"/>
          <w:b/>
          <w:color w:val="auto"/>
          <w:kern w:val="2"/>
          <w:sz w:val="21"/>
          <w:szCs w:val="22"/>
          <w:lang w:eastAsia="zh-CN" w:bidi="ar-SA"/>
        </w:rPr>
      </w:pPr>
      <w:r>
        <w:rPr>
          <w:rFonts w:eastAsia="宋体"/>
          <w:b/>
          <w:color w:val="auto"/>
          <w:kern w:val="2"/>
          <w:sz w:val="21"/>
          <w:szCs w:val="22"/>
          <w:lang w:eastAsia="zh-CN" w:bidi="ar-SA"/>
        </w:rPr>
        <w:t>4.1.4 其他义务</w:t>
      </w:r>
    </w:p>
    <w:p w14:paraId="44F2C3F2">
      <w:pPr>
        <w:spacing w:line="360" w:lineRule="auto"/>
        <w:ind w:firstLine="420" w:firstLineChars="200"/>
        <w:jc w:val="both"/>
        <w:rPr>
          <w:rFonts w:eastAsia="宋体"/>
          <w:color w:val="auto"/>
          <w:kern w:val="2"/>
          <w:sz w:val="21"/>
          <w:szCs w:val="22"/>
          <w:lang w:eastAsia="zh-CN" w:bidi="ar-SA"/>
        </w:rPr>
      </w:pPr>
      <w:r>
        <w:rPr>
          <w:rFonts w:eastAsia="宋体"/>
          <w:color w:val="auto"/>
          <w:kern w:val="2"/>
          <w:sz w:val="21"/>
          <w:szCs w:val="21"/>
          <w:lang w:eastAsia="zh-CN" w:bidi="ar-SA"/>
        </w:rPr>
        <w:t>监理人应履行合同约定的其他义务。</w:t>
      </w:r>
    </w:p>
    <w:p w14:paraId="3053EFA9">
      <w:pPr>
        <w:keepNext/>
        <w:keepLines/>
        <w:spacing w:line="360" w:lineRule="auto"/>
        <w:jc w:val="both"/>
        <w:outlineLvl w:val="2"/>
        <w:rPr>
          <w:rFonts w:eastAsia="宋体"/>
          <w:b/>
          <w:bCs/>
          <w:color w:val="auto"/>
          <w:kern w:val="2"/>
          <w:szCs w:val="32"/>
          <w:lang w:eastAsia="zh-CN" w:bidi="ar-SA"/>
        </w:rPr>
      </w:pPr>
      <w:bookmarkStart w:id="588" w:name="_Toc382920065"/>
      <w:bookmarkStart w:id="589" w:name="_Toc492300665"/>
      <w:bookmarkStart w:id="590" w:name="_Toc13239"/>
      <w:bookmarkStart w:id="591" w:name="_Toc17185"/>
      <w:bookmarkStart w:id="592" w:name="_Toc485303383"/>
      <w:bookmarkStart w:id="593" w:name="_Toc482188573"/>
      <w:bookmarkStart w:id="594" w:name="_Toc300835075"/>
      <w:bookmarkStart w:id="595" w:name="_Toc247514076"/>
      <w:bookmarkStart w:id="596" w:name="_Toc247527677"/>
      <w:bookmarkStart w:id="597" w:name="_Toc300835076"/>
      <w:r>
        <w:rPr>
          <w:rFonts w:eastAsia="宋体"/>
          <w:b/>
          <w:bCs/>
          <w:color w:val="auto"/>
          <w:kern w:val="2"/>
          <w:szCs w:val="32"/>
          <w:lang w:eastAsia="zh-CN" w:bidi="ar-SA"/>
        </w:rPr>
        <w:t xml:space="preserve">4.2 </w:t>
      </w:r>
      <w:r>
        <w:rPr>
          <w:rFonts w:hint="eastAsia" w:eastAsia="宋体"/>
          <w:b/>
          <w:bCs/>
          <w:color w:val="auto"/>
          <w:kern w:val="2"/>
          <w:szCs w:val="32"/>
          <w:lang w:eastAsia="zh-CN" w:bidi="ar-SA"/>
        </w:rPr>
        <w:t>履约保证金</w:t>
      </w:r>
      <w:bookmarkEnd w:id="588"/>
      <w:bookmarkEnd w:id="589"/>
      <w:bookmarkEnd w:id="590"/>
      <w:bookmarkEnd w:id="591"/>
      <w:bookmarkEnd w:id="592"/>
    </w:p>
    <w:p w14:paraId="1F1DEA95">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除专用合同条款另有约定外，履约保证金自合同生效之日起生效，在委托人签发竣工验收证书之日起28日后失效。如果监理人不履行合同约定的义务或其履行不符合合同的约定，委托人有权扣划相应金额的履约保证金。</w:t>
      </w:r>
    </w:p>
    <w:bookmarkEnd w:id="593"/>
    <w:p w14:paraId="59BD14D8">
      <w:pPr>
        <w:keepNext/>
        <w:keepLines/>
        <w:spacing w:line="360" w:lineRule="auto"/>
        <w:jc w:val="both"/>
        <w:outlineLvl w:val="2"/>
        <w:rPr>
          <w:rFonts w:eastAsia="宋体"/>
          <w:b/>
          <w:bCs/>
          <w:color w:val="auto"/>
          <w:kern w:val="2"/>
          <w:szCs w:val="32"/>
          <w:lang w:eastAsia="zh-CN" w:bidi="ar-SA"/>
        </w:rPr>
      </w:pPr>
      <w:bookmarkStart w:id="598" w:name="_Toc492300666"/>
      <w:bookmarkStart w:id="599" w:name="_Toc482188574"/>
      <w:bookmarkStart w:id="600" w:name="_Toc15092"/>
      <w:r>
        <w:rPr>
          <w:rFonts w:eastAsia="宋体"/>
          <w:b/>
          <w:bCs/>
          <w:color w:val="auto"/>
          <w:kern w:val="2"/>
          <w:szCs w:val="32"/>
          <w:lang w:eastAsia="zh-CN" w:bidi="ar-SA"/>
        </w:rPr>
        <w:t xml:space="preserve">4.3 </w:t>
      </w:r>
      <w:r>
        <w:rPr>
          <w:rFonts w:hint="eastAsia" w:eastAsia="宋体"/>
          <w:b/>
          <w:bCs/>
          <w:color w:val="auto"/>
          <w:kern w:val="2"/>
          <w:szCs w:val="32"/>
          <w:lang w:eastAsia="zh-CN" w:bidi="ar-SA"/>
        </w:rPr>
        <w:t>联合体</w:t>
      </w:r>
      <w:bookmarkEnd w:id="598"/>
      <w:bookmarkEnd w:id="599"/>
      <w:bookmarkEnd w:id="600"/>
    </w:p>
    <w:p w14:paraId="45D57D95">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2"/>
          <w:lang w:eastAsia="zh-CN" w:bidi="ar-SA"/>
        </w:rPr>
        <w:t xml:space="preserve">4.3.1 </w:t>
      </w:r>
      <w:r>
        <w:rPr>
          <w:rFonts w:eastAsia="宋体"/>
          <w:color w:val="auto"/>
          <w:kern w:val="2"/>
          <w:sz w:val="21"/>
          <w:szCs w:val="21"/>
          <w:lang w:eastAsia="zh-CN" w:bidi="ar-SA"/>
        </w:rPr>
        <w:t>联合体各方应共同与委托人签订合同。联合体各方应为履行合同承担连带责任。</w:t>
      </w:r>
    </w:p>
    <w:p w14:paraId="2A3F922D">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2"/>
          <w:lang w:eastAsia="zh-CN" w:bidi="ar-SA"/>
        </w:rPr>
        <w:t>4.3.2</w:t>
      </w:r>
      <w:r>
        <w:rPr>
          <w:rFonts w:eastAsia="宋体"/>
          <w:color w:val="auto"/>
          <w:kern w:val="2"/>
          <w:sz w:val="21"/>
          <w:szCs w:val="21"/>
          <w:lang w:eastAsia="zh-CN" w:bidi="ar-SA"/>
        </w:rPr>
        <w:t xml:space="preserve"> 联合体协议经委托人确认后作为合同附件。在履行合同过程中，未经委托人同意，不得修改联合体协议。</w:t>
      </w:r>
    </w:p>
    <w:p w14:paraId="63D7820A">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2"/>
          <w:lang w:eastAsia="zh-CN" w:bidi="ar-SA"/>
        </w:rPr>
        <w:t xml:space="preserve">4.3.3 </w:t>
      </w:r>
      <w:r>
        <w:rPr>
          <w:rFonts w:eastAsia="宋体"/>
          <w:color w:val="auto"/>
          <w:kern w:val="2"/>
          <w:sz w:val="21"/>
          <w:szCs w:val="21"/>
          <w:lang w:eastAsia="zh-CN" w:bidi="ar-SA"/>
        </w:rPr>
        <w:t>联合体牵头人或联合体授权的代表负责与委托人联系，并接受指示，负责组织联合体各成员全面履行合同。</w:t>
      </w:r>
    </w:p>
    <w:p w14:paraId="5DA4B497">
      <w:pPr>
        <w:keepNext/>
        <w:keepLines/>
        <w:spacing w:line="360" w:lineRule="auto"/>
        <w:jc w:val="both"/>
        <w:outlineLvl w:val="2"/>
        <w:rPr>
          <w:rFonts w:eastAsia="宋体"/>
          <w:b/>
          <w:bCs/>
          <w:color w:val="auto"/>
          <w:kern w:val="2"/>
          <w:szCs w:val="32"/>
          <w:lang w:eastAsia="zh-CN" w:bidi="ar-SA"/>
        </w:rPr>
      </w:pPr>
      <w:bookmarkStart w:id="601" w:name="_Toc482188575"/>
      <w:bookmarkStart w:id="602" w:name="_Toc11181"/>
      <w:bookmarkStart w:id="603" w:name="_Toc492300667"/>
      <w:r>
        <w:rPr>
          <w:rFonts w:eastAsia="宋体"/>
          <w:b/>
          <w:bCs/>
          <w:color w:val="auto"/>
          <w:kern w:val="2"/>
          <w:szCs w:val="32"/>
          <w:lang w:eastAsia="zh-CN" w:bidi="ar-SA"/>
        </w:rPr>
        <w:t xml:space="preserve">4.4 </w:t>
      </w:r>
      <w:bookmarkEnd w:id="601"/>
      <w:r>
        <w:rPr>
          <w:rFonts w:hint="eastAsia" w:eastAsia="宋体"/>
          <w:b/>
          <w:bCs/>
          <w:color w:val="auto"/>
          <w:kern w:val="2"/>
          <w:szCs w:val="32"/>
          <w:lang w:eastAsia="zh-CN" w:bidi="ar-SA"/>
        </w:rPr>
        <w:t>总监理工程师</w:t>
      </w:r>
      <w:bookmarkEnd w:id="602"/>
      <w:bookmarkEnd w:id="603"/>
    </w:p>
    <w:p w14:paraId="12B0E178">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2"/>
          <w:lang w:eastAsia="zh-CN" w:bidi="ar-SA"/>
        </w:rPr>
        <w:t>4.4.1</w:t>
      </w:r>
      <w:r>
        <w:rPr>
          <w:rFonts w:eastAsia="宋体"/>
          <w:color w:val="auto"/>
          <w:kern w:val="2"/>
          <w:sz w:val="21"/>
          <w:szCs w:val="21"/>
          <w:lang w:eastAsia="zh-CN" w:bidi="ar-SA"/>
        </w:rPr>
        <w:t xml:space="preserve"> 监理人应按合同协议书的约定指派总监理工程师，并在约定的期限内到职。监理人更换</w:t>
      </w:r>
      <w:bookmarkStart w:id="604" w:name="_Toc247514069"/>
      <w:bookmarkStart w:id="605" w:name="_Toc300835067"/>
      <w:bookmarkStart w:id="606" w:name="_Toc247527670"/>
      <w:r>
        <w:rPr>
          <w:rFonts w:eastAsia="宋体"/>
          <w:color w:val="auto"/>
          <w:kern w:val="2"/>
          <w:sz w:val="21"/>
          <w:szCs w:val="21"/>
          <w:lang w:eastAsia="zh-CN" w:bidi="ar-SA"/>
        </w:rPr>
        <w:t>总监理工程师应事先征得</w:t>
      </w:r>
      <w:bookmarkEnd w:id="604"/>
      <w:bookmarkEnd w:id="605"/>
      <w:bookmarkEnd w:id="606"/>
      <w:r>
        <w:rPr>
          <w:rFonts w:eastAsia="宋体"/>
          <w:color w:val="auto"/>
          <w:kern w:val="2"/>
          <w:sz w:val="21"/>
          <w:szCs w:val="21"/>
          <w:lang w:eastAsia="zh-CN" w:bidi="ar-SA"/>
        </w:rPr>
        <w:t>委托人同意，并应在更换14天前将拟更换的总监理工程师的姓名和详细资料提交委托人。总监理工程师2天内不能履行职责的，应事先征得委托人同意，并委派代表代行其职责。</w:t>
      </w:r>
    </w:p>
    <w:p w14:paraId="26C67F8D">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2"/>
          <w:lang w:eastAsia="zh-CN" w:bidi="ar-SA"/>
        </w:rPr>
        <w:t>4.4.2</w:t>
      </w:r>
      <w:r>
        <w:rPr>
          <w:rFonts w:eastAsia="宋体"/>
          <w:color w:val="auto"/>
          <w:kern w:val="2"/>
          <w:sz w:val="21"/>
          <w:szCs w:val="21"/>
          <w:lang w:eastAsia="zh-CN" w:bidi="ar-SA"/>
        </w:rPr>
        <w:t>总监理工程师应按合同约定以及委托人要求，负责组织合同工作的实施。在情况紧急且无法与委托人取得联系时，可采取保证工程和人员生命财产安全的紧急措施，并在采取措施后24小时内向委托人提交书面报告。</w:t>
      </w:r>
    </w:p>
    <w:p w14:paraId="28181E97">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2"/>
          <w:lang w:eastAsia="zh-CN" w:bidi="ar-SA"/>
        </w:rPr>
        <w:t>4.4.3</w:t>
      </w:r>
      <w:r>
        <w:rPr>
          <w:rFonts w:eastAsia="宋体"/>
          <w:color w:val="auto"/>
          <w:kern w:val="2"/>
          <w:sz w:val="21"/>
          <w:szCs w:val="21"/>
          <w:lang w:eastAsia="zh-CN" w:bidi="ar-SA"/>
        </w:rPr>
        <w:t xml:space="preserve"> 监理人为履行合同发出的一切函件均应盖有监理人单位章或由监理人授权的项目机构章，并由监理人的总监理工程师签字确认。</w:t>
      </w:r>
    </w:p>
    <w:p w14:paraId="405A3C94">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2"/>
          <w:lang w:eastAsia="zh-CN" w:bidi="ar-SA"/>
        </w:rPr>
        <w:t>4.4.4</w:t>
      </w:r>
      <w:r>
        <w:rPr>
          <w:rFonts w:eastAsia="宋体"/>
          <w:color w:val="auto"/>
          <w:kern w:val="2"/>
          <w:sz w:val="21"/>
          <w:szCs w:val="21"/>
          <w:lang w:eastAsia="zh-CN" w:bidi="ar-SA"/>
        </w:rPr>
        <w:t xml:space="preserve"> 按照专用合同条款约定，总监理工程师可以授权其下属人员履行其某项职责，但事先应将这些人员的姓名和授权范围书面通知委托人和承包人。</w:t>
      </w:r>
    </w:p>
    <w:p w14:paraId="60D2DCAB">
      <w:pPr>
        <w:keepNext/>
        <w:keepLines/>
        <w:spacing w:line="360" w:lineRule="auto"/>
        <w:jc w:val="both"/>
        <w:outlineLvl w:val="2"/>
        <w:rPr>
          <w:rFonts w:eastAsia="宋体"/>
          <w:b/>
          <w:bCs/>
          <w:color w:val="auto"/>
          <w:kern w:val="2"/>
          <w:szCs w:val="32"/>
          <w:lang w:eastAsia="zh-CN" w:bidi="ar-SA"/>
        </w:rPr>
      </w:pPr>
      <w:bookmarkStart w:id="607" w:name="_Toc482188576"/>
      <w:bookmarkStart w:id="608" w:name="_Toc492300668"/>
      <w:bookmarkStart w:id="609" w:name="_Toc4378"/>
      <w:r>
        <w:rPr>
          <w:rFonts w:eastAsia="宋体"/>
          <w:b/>
          <w:bCs/>
          <w:color w:val="auto"/>
          <w:kern w:val="2"/>
          <w:szCs w:val="32"/>
          <w:lang w:eastAsia="zh-CN" w:bidi="ar-SA"/>
        </w:rPr>
        <w:t xml:space="preserve">4.5 </w:t>
      </w:r>
      <w:r>
        <w:rPr>
          <w:rFonts w:hint="eastAsia" w:eastAsia="宋体"/>
          <w:b/>
          <w:bCs/>
          <w:color w:val="auto"/>
          <w:kern w:val="2"/>
          <w:szCs w:val="32"/>
          <w:lang w:eastAsia="zh-CN" w:bidi="ar-SA"/>
        </w:rPr>
        <w:t>监理人员的管理</w:t>
      </w:r>
      <w:bookmarkEnd w:id="607"/>
      <w:bookmarkEnd w:id="608"/>
      <w:bookmarkEnd w:id="609"/>
    </w:p>
    <w:p w14:paraId="14688356">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2"/>
          <w:lang w:eastAsia="zh-CN" w:bidi="ar-SA"/>
        </w:rPr>
        <w:t>4.5.1</w:t>
      </w:r>
      <w:r>
        <w:rPr>
          <w:rFonts w:eastAsia="宋体"/>
          <w:color w:val="auto"/>
          <w:kern w:val="2"/>
          <w:sz w:val="21"/>
          <w:szCs w:val="21"/>
          <w:lang w:eastAsia="zh-CN" w:bidi="ar-SA"/>
        </w:rPr>
        <w:t xml:space="preserve"> 监理人应在接到开始监理通知之日起7天内，向委托人提交监理项目机构以及</w:t>
      </w:r>
      <w:bookmarkStart w:id="610" w:name="_Toc247527671"/>
      <w:bookmarkStart w:id="611" w:name="_Toc300835068"/>
      <w:bookmarkStart w:id="612" w:name="_Toc247514070"/>
      <w:r>
        <w:rPr>
          <w:rFonts w:eastAsia="宋体"/>
          <w:color w:val="auto"/>
          <w:kern w:val="2"/>
          <w:sz w:val="21"/>
          <w:szCs w:val="21"/>
          <w:lang w:eastAsia="zh-CN" w:bidi="ar-SA"/>
        </w:rPr>
        <w:t>人员安排的报告，其内容应</w:t>
      </w:r>
      <w:bookmarkEnd w:id="610"/>
      <w:bookmarkEnd w:id="611"/>
      <w:bookmarkEnd w:id="612"/>
      <w:r>
        <w:rPr>
          <w:rFonts w:eastAsia="宋体"/>
          <w:color w:val="auto"/>
          <w:kern w:val="2"/>
          <w:sz w:val="21"/>
          <w:szCs w:val="21"/>
          <w:lang w:eastAsia="zh-CN" w:bidi="ar-SA"/>
        </w:rPr>
        <w:t>包括项目机构设置、主要监理人员和作业人员的名单及资格条件。主要监理人员应相对稳定，更换主要监理人员的，应取得委托人的同意,并向委托人提交继任人员的资格、管理经验等资料。总监理工程师的更换，应按照本章第4.4.1项规定执行。</w:t>
      </w:r>
    </w:p>
    <w:p w14:paraId="08832D59">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2"/>
          <w:lang w:eastAsia="zh-CN" w:bidi="ar-SA"/>
        </w:rPr>
        <w:t>4.5.2</w:t>
      </w:r>
      <w:r>
        <w:rPr>
          <w:rFonts w:hint="eastAsia" w:eastAsia="宋体"/>
          <w:color w:val="auto"/>
          <w:kern w:val="2"/>
          <w:sz w:val="21"/>
          <w:szCs w:val="22"/>
          <w:lang w:eastAsia="zh-CN" w:bidi="ar-SA"/>
        </w:rPr>
        <w:t>除专用合同条款另有约定外，</w:t>
      </w:r>
      <w:r>
        <w:rPr>
          <w:rFonts w:hint="eastAsia" w:eastAsia="宋体"/>
          <w:color w:val="auto"/>
          <w:kern w:val="2"/>
          <w:sz w:val="21"/>
          <w:szCs w:val="21"/>
          <w:lang w:eastAsia="zh-CN" w:bidi="ar-SA"/>
        </w:rPr>
        <w:t>主要监理人员包括总监理工程师、专业监理工程师等；其他人员包括各专业的监理员、资料员等。</w:t>
      </w:r>
    </w:p>
    <w:p w14:paraId="2B6F5E2A">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2"/>
          <w:lang w:eastAsia="zh-CN" w:bidi="ar-SA"/>
        </w:rPr>
        <w:t>4.5.3</w:t>
      </w:r>
      <w:r>
        <w:rPr>
          <w:rFonts w:eastAsia="宋体"/>
          <w:color w:val="auto"/>
          <w:kern w:val="2"/>
          <w:sz w:val="21"/>
          <w:szCs w:val="21"/>
          <w:lang w:eastAsia="zh-CN" w:bidi="ar-SA"/>
        </w:rPr>
        <w:t>监理人应保证其主要监理人员在合同期限内的任何时候，都能按时参加委托人组织的工作会议。</w:t>
      </w:r>
    </w:p>
    <w:p w14:paraId="6A7C38E3">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2"/>
          <w:lang w:eastAsia="zh-CN" w:bidi="ar-SA"/>
        </w:rPr>
        <w:t xml:space="preserve">4.5.4 </w:t>
      </w:r>
      <w:r>
        <w:rPr>
          <w:rFonts w:eastAsia="宋体"/>
          <w:color w:val="auto"/>
          <w:kern w:val="2"/>
          <w:sz w:val="21"/>
          <w:szCs w:val="21"/>
          <w:lang w:eastAsia="zh-CN" w:bidi="ar-SA"/>
        </w:rPr>
        <w:t>国家规定应当持证上岗的工作人员均应持有相应的资格证明，委托人有权随时检查。委托人认为有必要时，可以进行现场考核。</w:t>
      </w:r>
    </w:p>
    <w:p w14:paraId="3A9F4F2E">
      <w:pPr>
        <w:keepNext/>
        <w:keepLines/>
        <w:spacing w:line="360" w:lineRule="auto"/>
        <w:jc w:val="both"/>
        <w:outlineLvl w:val="2"/>
        <w:rPr>
          <w:rFonts w:eastAsia="宋体"/>
          <w:b/>
          <w:bCs/>
          <w:color w:val="auto"/>
          <w:kern w:val="2"/>
          <w:szCs w:val="32"/>
          <w:lang w:eastAsia="zh-CN" w:bidi="ar-SA"/>
        </w:rPr>
      </w:pPr>
      <w:bookmarkStart w:id="613" w:name="_Toc482188577"/>
      <w:bookmarkStart w:id="614" w:name="_Toc492300669"/>
      <w:bookmarkStart w:id="615" w:name="_Toc14712"/>
      <w:r>
        <w:rPr>
          <w:rFonts w:eastAsia="宋体"/>
          <w:b/>
          <w:bCs/>
          <w:color w:val="auto"/>
          <w:kern w:val="2"/>
          <w:szCs w:val="32"/>
          <w:lang w:eastAsia="zh-CN" w:bidi="ar-SA"/>
        </w:rPr>
        <w:t xml:space="preserve">4.6 </w:t>
      </w:r>
      <w:r>
        <w:rPr>
          <w:rFonts w:hint="eastAsia" w:eastAsia="宋体"/>
          <w:b/>
          <w:bCs/>
          <w:color w:val="auto"/>
          <w:kern w:val="2"/>
          <w:szCs w:val="32"/>
          <w:lang w:eastAsia="zh-CN" w:bidi="ar-SA"/>
        </w:rPr>
        <w:t>撤换总监理工程师和其他人员</w:t>
      </w:r>
      <w:bookmarkEnd w:id="613"/>
      <w:bookmarkEnd w:id="614"/>
      <w:bookmarkEnd w:id="615"/>
    </w:p>
    <w:p w14:paraId="0CAD7513">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监理人应对其总监理工程师和其他人员进行有效管理。委托人要求撤换不能胜任本职工作、行</w:t>
      </w:r>
      <w:bookmarkStart w:id="616" w:name="_Toc247514071"/>
      <w:bookmarkStart w:id="617" w:name="_Toc300835069"/>
      <w:bookmarkStart w:id="618" w:name="_Toc247527672"/>
      <w:r>
        <w:rPr>
          <w:rFonts w:eastAsia="宋体"/>
          <w:color w:val="auto"/>
          <w:kern w:val="2"/>
          <w:sz w:val="21"/>
          <w:szCs w:val="21"/>
          <w:lang w:eastAsia="zh-CN" w:bidi="ar-SA"/>
        </w:rPr>
        <w:t>为不端或玩忽职守的总监理工程师和其</w:t>
      </w:r>
      <w:bookmarkEnd w:id="616"/>
      <w:bookmarkEnd w:id="617"/>
      <w:bookmarkEnd w:id="618"/>
      <w:r>
        <w:rPr>
          <w:rFonts w:eastAsia="宋体"/>
          <w:color w:val="auto"/>
          <w:kern w:val="2"/>
          <w:sz w:val="21"/>
          <w:szCs w:val="21"/>
          <w:lang w:eastAsia="zh-CN" w:bidi="ar-SA"/>
        </w:rPr>
        <w:t>他人员的，监理人应予以撤换。</w:t>
      </w:r>
    </w:p>
    <w:p w14:paraId="757119D0">
      <w:pPr>
        <w:keepNext/>
        <w:keepLines/>
        <w:spacing w:line="360" w:lineRule="auto"/>
        <w:jc w:val="both"/>
        <w:outlineLvl w:val="2"/>
        <w:rPr>
          <w:rFonts w:eastAsia="宋体"/>
          <w:b/>
          <w:bCs/>
          <w:color w:val="auto"/>
          <w:kern w:val="2"/>
          <w:szCs w:val="32"/>
          <w:lang w:eastAsia="zh-CN" w:bidi="ar-SA"/>
        </w:rPr>
      </w:pPr>
      <w:bookmarkStart w:id="619" w:name="_Toc482188578"/>
      <w:bookmarkStart w:id="620" w:name="_Toc30750"/>
      <w:bookmarkStart w:id="621" w:name="_Toc492300670"/>
      <w:r>
        <w:rPr>
          <w:rFonts w:eastAsia="宋体"/>
          <w:b/>
          <w:bCs/>
          <w:color w:val="auto"/>
          <w:kern w:val="2"/>
          <w:szCs w:val="32"/>
          <w:lang w:eastAsia="zh-CN" w:bidi="ar-SA"/>
        </w:rPr>
        <w:t xml:space="preserve">4.7 </w:t>
      </w:r>
      <w:r>
        <w:rPr>
          <w:rFonts w:hint="eastAsia" w:eastAsia="宋体"/>
          <w:b/>
          <w:bCs/>
          <w:color w:val="auto"/>
          <w:kern w:val="2"/>
          <w:szCs w:val="32"/>
          <w:lang w:eastAsia="zh-CN" w:bidi="ar-SA"/>
        </w:rPr>
        <w:t>保障人员的合法权益</w:t>
      </w:r>
      <w:bookmarkEnd w:id="619"/>
      <w:bookmarkEnd w:id="620"/>
      <w:bookmarkEnd w:id="621"/>
    </w:p>
    <w:p w14:paraId="0EF83E72">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2"/>
          <w:lang w:eastAsia="zh-CN" w:bidi="ar-SA"/>
        </w:rPr>
        <w:t>4.7.1</w:t>
      </w:r>
      <w:r>
        <w:rPr>
          <w:rFonts w:eastAsia="宋体"/>
          <w:color w:val="auto"/>
          <w:kern w:val="2"/>
          <w:sz w:val="21"/>
          <w:szCs w:val="21"/>
          <w:lang w:eastAsia="zh-CN" w:bidi="ar-SA"/>
        </w:rPr>
        <w:t xml:space="preserve"> 监理人应与其雇佣的人员签订劳动合同，并按时发放工资。</w:t>
      </w:r>
    </w:p>
    <w:p w14:paraId="648054E2">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2"/>
          <w:lang w:eastAsia="zh-CN" w:bidi="ar-SA"/>
        </w:rPr>
        <w:t>4.7.2</w:t>
      </w:r>
      <w:r>
        <w:rPr>
          <w:rFonts w:eastAsia="宋体"/>
          <w:color w:val="auto"/>
          <w:kern w:val="2"/>
          <w:sz w:val="21"/>
          <w:szCs w:val="21"/>
          <w:lang w:eastAsia="zh-CN" w:bidi="ar-SA"/>
        </w:rPr>
        <w:t xml:space="preserve"> 监理人应</w:t>
      </w:r>
      <w:bookmarkStart w:id="622" w:name="_Toc247514072"/>
      <w:bookmarkStart w:id="623" w:name="_Toc247527673"/>
      <w:bookmarkStart w:id="624" w:name="_Toc300835070"/>
      <w:r>
        <w:rPr>
          <w:rFonts w:eastAsia="宋体"/>
          <w:color w:val="auto"/>
          <w:kern w:val="2"/>
          <w:sz w:val="21"/>
          <w:szCs w:val="21"/>
          <w:lang w:eastAsia="zh-CN" w:bidi="ar-SA"/>
        </w:rPr>
        <w:t>按劳动法的规定安排工作时间</w:t>
      </w:r>
      <w:bookmarkEnd w:id="622"/>
      <w:bookmarkEnd w:id="623"/>
      <w:bookmarkEnd w:id="624"/>
      <w:r>
        <w:rPr>
          <w:rFonts w:eastAsia="宋体"/>
          <w:color w:val="auto"/>
          <w:kern w:val="2"/>
          <w:sz w:val="21"/>
          <w:szCs w:val="21"/>
          <w:lang w:eastAsia="zh-CN" w:bidi="ar-SA"/>
        </w:rPr>
        <w:t>，保证其雇佣人员享有休息和休假的权利。因监理需要占用休假日或延长工作时间的，应不超过法律规定的限度，并按法律规定给予补休或付酬。</w:t>
      </w:r>
    </w:p>
    <w:p w14:paraId="2A454828">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2"/>
          <w:lang w:eastAsia="zh-CN" w:bidi="ar-SA"/>
        </w:rPr>
        <w:t>4.7.3</w:t>
      </w:r>
      <w:r>
        <w:rPr>
          <w:rFonts w:eastAsia="宋体"/>
          <w:color w:val="auto"/>
          <w:kern w:val="2"/>
          <w:sz w:val="21"/>
          <w:szCs w:val="21"/>
          <w:lang w:eastAsia="zh-CN" w:bidi="ar-SA"/>
        </w:rPr>
        <w:t xml:space="preserve"> 监理人应按有关法律规定和合同约定，为其雇佣人员办理保险。</w:t>
      </w:r>
    </w:p>
    <w:p w14:paraId="3EEDE925">
      <w:pPr>
        <w:keepNext/>
        <w:keepLines/>
        <w:spacing w:line="360" w:lineRule="auto"/>
        <w:jc w:val="both"/>
        <w:outlineLvl w:val="2"/>
        <w:rPr>
          <w:rFonts w:eastAsia="宋体"/>
          <w:b/>
          <w:bCs/>
          <w:color w:val="auto"/>
          <w:kern w:val="2"/>
          <w:szCs w:val="32"/>
          <w:lang w:eastAsia="zh-CN" w:bidi="ar-SA"/>
        </w:rPr>
      </w:pPr>
      <w:bookmarkStart w:id="625" w:name="_Toc482188579"/>
      <w:bookmarkStart w:id="626" w:name="_Toc492300671"/>
      <w:bookmarkStart w:id="627" w:name="_Toc4055"/>
      <w:r>
        <w:rPr>
          <w:rFonts w:eastAsia="宋体"/>
          <w:b/>
          <w:bCs/>
          <w:color w:val="auto"/>
          <w:kern w:val="2"/>
          <w:szCs w:val="32"/>
          <w:lang w:eastAsia="zh-CN" w:bidi="ar-SA"/>
        </w:rPr>
        <w:t xml:space="preserve">4.8 </w:t>
      </w:r>
      <w:r>
        <w:rPr>
          <w:rFonts w:hint="eastAsia" w:eastAsia="宋体"/>
          <w:b/>
          <w:bCs/>
          <w:color w:val="auto"/>
          <w:kern w:val="2"/>
          <w:szCs w:val="32"/>
          <w:lang w:eastAsia="zh-CN" w:bidi="ar-SA"/>
        </w:rPr>
        <w:t>合同价款应专款专用</w:t>
      </w:r>
      <w:bookmarkEnd w:id="625"/>
      <w:bookmarkEnd w:id="626"/>
      <w:bookmarkEnd w:id="627"/>
    </w:p>
    <w:p w14:paraId="4815F646">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委托人按合同约定支付给监理人的各项价款，应专用于合同监理工作。</w:t>
      </w:r>
    </w:p>
    <w:bookmarkEnd w:id="594"/>
    <w:bookmarkEnd w:id="595"/>
    <w:bookmarkEnd w:id="596"/>
    <w:p w14:paraId="0D95C05D">
      <w:pPr>
        <w:keepNext/>
        <w:keepLines/>
        <w:spacing w:line="360" w:lineRule="auto"/>
        <w:outlineLvl w:val="1"/>
        <w:rPr>
          <w:rFonts w:ascii="Arial" w:hAnsi="Arial" w:eastAsia="宋体"/>
          <w:b/>
          <w:bCs/>
          <w:color w:val="auto"/>
          <w:kern w:val="2"/>
          <w:sz w:val="28"/>
          <w:szCs w:val="32"/>
          <w:lang w:eastAsia="zh-CN" w:bidi="ar-SA"/>
        </w:rPr>
      </w:pPr>
      <w:bookmarkStart w:id="628" w:name="_Toc492300672"/>
      <w:bookmarkStart w:id="629" w:name="_Toc504633911"/>
      <w:bookmarkStart w:id="630" w:name="_Toc7392"/>
      <w:bookmarkStart w:id="631" w:name="_Toc482188580"/>
      <w:r>
        <w:rPr>
          <w:rFonts w:ascii="Arial" w:hAnsi="Arial" w:eastAsia="宋体"/>
          <w:b/>
          <w:bCs/>
          <w:color w:val="auto"/>
          <w:kern w:val="2"/>
          <w:sz w:val="28"/>
          <w:szCs w:val="32"/>
          <w:lang w:eastAsia="zh-CN" w:bidi="ar-SA"/>
        </w:rPr>
        <w:t>5. 监理要求</w:t>
      </w:r>
      <w:bookmarkEnd w:id="628"/>
      <w:bookmarkEnd w:id="629"/>
      <w:bookmarkEnd w:id="630"/>
      <w:bookmarkEnd w:id="631"/>
    </w:p>
    <w:p w14:paraId="45015699">
      <w:pPr>
        <w:keepNext/>
        <w:keepLines/>
        <w:spacing w:line="360" w:lineRule="auto"/>
        <w:jc w:val="both"/>
        <w:outlineLvl w:val="2"/>
        <w:rPr>
          <w:rFonts w:eastAsia="宋体"/>
          <w:b/>
          <w:bCs/>
          <w:color w:val="auto"/>
          <w:kern w:val="2"/>
          <w:szCs w:val="32"/>
          <w:lang w:eastAsia="zh-CN" w:bidi="ar-SA"/>
        </w:rPr>
      </w:pPr>
      <w:bookmarkStart w:id="632" w:name="_Toc19359"/>
      <w:bookmarkStart w:id="633" w:name="_Toc492300673"/>
      <w:bookmarkStart w:id="634" w:name="_Toc482188581"/>
      <w:r>
        <w:rPr>
          <w:rFonts w:eastAsia="宋体"/>
          <w:b/>
          <w:bCs/>
          <w:color w:val="auto"/>
          <w:kern w:val="2"/>
          <w:szCs w:val="32"/>
          <w:lang w:eastAsia="zh-CN" w:bidi="ar-SA"/>
        </w:rPr>
        <w:t xml:space="preserve">5.1 </w:t>
      </w:r>
      <w:r>
        <w:rPr>
          <w:rFonts w:hint="eastAsia" w:eastAsia="宋体"/>
          <w:b/>
          <w:bCs/>
          <w:color w:val="auto"/>
          <w:kern w:val="2"/>
          <w:szCs w:val="32"/>
          <w:lang w:eastAsia="zh-CN" w:bidi="ar-SA"/>
        </w:rPr>
        <w:t>监理范围</w:t>
      </w:r>
      <w:bookmarkEnd w:id="632"/>
      <w:bookmarkEnd w:id="633"/>
    </w:p>
    <w:p w14:paraId="5F6408DE">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5.1.1 本合同的监理范围包括工程范围、阶段范围和工作范围，具体监理范围应当根据三者之间的关联内容进行确定。</w:t>
      </w:r>
    </w:p>
    <w:p w14:paraId="1BB50BF6">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5.1.2 工程范围指所监理工程的建设内容，具体范围在专用合同条款中约定。</w:t>
      </w:r>
    </w:p>
    <w:p w14:paraId="0B9891A5">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5.1.3 阶段范围指工程建设程序中的勘察阶段、设计阶段、施工阶段、缺陷责任期及保修阶段中的一个或者多个阶段，具体范围在专用合同条款中约定。</w:t>
      </w:r>
    </w:p>
    <w:p w14:paraId="77182009">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5.1.4 工作范围指监理工作中的</w:t>
      </w:r>
      <w:r>
        <w:rPr>
          <w:rFonts w:eastAsia="宋体"/>
          <w:color w:val="auto"/>
          <w:kern w:val="2"/>
          <w:sz w:val="21"/>
          <w:szCs w:val="22"/>
          <w:lang w:eastAsia="zh-CN" w:bidi="ar-SA"/>
        </w:rPr>
        <w:t>质量控制、进度控制、投资控制、合同管理、信息管理、组织协调和安全监理、环保监理中的一项或者多项工作，</w:t>
      </w:r>
      <w:r>
        <w:rPr>
          <w:rFonts w:eastAsia="宋体"/>
          <w:color w:val="auto"/>
          <w:kern w:val="2"/>
          <w:sz w:val="21"/>
          <w:szCs w:val="21"/>
          <w:lang w:eastAsia="zh-CN" w:bidi="ar-SA"/>
        </w:rPr>
        <w:t>具体范围在专用合同条款中约定。</w:t>
      </w:r>
    </w:p>
    <w:bookmarkEnd w:id="634"/>
    <w:p w14:paraId="7391E2D7">
      <w:pPr>
        <w:keepNext/>
        <w:keepLines/>
        <w:spacing w:line="360" w:lineRule="auto"/>
        <w:jc w:val="both"/>
        <w:outlineLvl w:val="2"/>
        <w:rPr>
          <w:rFonts w:eastAsia="宋体"/>
          <w:b/>
          <w:bCs/>
          <w:color w:val="auto"/>
          <w:kern w:val="2"/>
          <w:szCs w:val="32"/>
          <w:lang w:eastAsia="zh-CN" w:bidi="ar-SA"/>
        </w:rPr>
      </w:pPr>
      <w:bookmarkStart w:id="635" w:name="_Toc482188582"/>
      <w:bookmarkStart w:id="636" w:name="_Toc492300674"/>
      <w:bookmarkStart w:id="637" w:name="_Toc1665"/>
      <w:r>
        <w:rPr>
          <w:rFonts w:eastAsia="宋体"/>
          <w:b/>
          <w:bCs/>
          <w:color w:val="auto"/>
          <w:kern w:val="2"/>
          <w:szCs w:val="32"/>
          <w:lang w:eastAsia="zh-CN" w:bidi="ar-SA"/>
        </w:rPr>
        <w:t xml:space="preserve">5.2 </w:t>
      </w:r>
      <w:r>
        <w:rPr>
          <w:rFonts w:hint="eastAsia" w:eastAsia="宋体"/>
          <w:b/>
          <w:bCs/>
          <w:color w:val="auto"/>
          <w:kern w:val="2"/>
          <w:szCs w:val="32"/>
          <w:lang w:eastAsia="zh-CN" w:bidi="ar-SA"/>
        </w:rPr>
        <w:t>监理依据</w:t>
      </w:r>
      <w:bookmarkEnd w:id="635"/>
      <w:bookmarkEnd w:id="636"/>
      <w:bookmarkEnd w:id="637"/>
    </w:p>
    <w:p w14:paraId="3EB84FC3">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除专用合同条款另有约定外，本工程的监理依据如下：</w:t>
      </w:r>
    </w:p>
    <w:p w14:paraId="3FD8B6D8">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（1）适用的法律、行政法规及部门规章；</w:t>
      </w:r>
    </w:p>
    <w:p w14:paraId="77EB4F7C">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（2）与工程有关的规范、标准、规程；</w:t>
      </w:r>
    </w:p>
    <w:p w14:paraId="19555224">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（3）工程勘察文件、设计文件及其他文件；</w:t>
      </w:r>
    </w:p>
    <w:p w14:paraId="793CFFEC">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（4）本工程监理的委托合同及补充合同；</w:t>
      </w:r>
    </w:p>
    <w:p w14:paraId="34330090">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（5）委托人签订的勘察、设计和施工承包合同；</w:t>
      </w:r>
    </w:p>
    <w:p w14:paraId="23A969A8">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（6）合同履行中与监理服务有关的来往函件；</w:t>
      </w:r>
    </w:p>
    <w:p w14:paraId="3547279A">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（7）其他监理依据。</w:t>
      </w:r>
    </w:p>
    <w:p w14:paraId="05C7030F">
      <w:pPr>
        <w:keepNext/>
        <w:keepLines/>
        <w:spacing w:line="360" w:lineRule="auto"/>
        <w:jc w:val="both"/>
        <w:outlineLvl w:val="2"/>
        <w:rPr>
          <w:rFonts w:eastAsia="宋体"/>
          <w:b/>
          <w:bCs/>
          <w:color w:val="auto"/>
          <w:kern w:val="2"/>
          <w:szCs w:val="32"/>
          <w:lang w:eastAsia="zh-CN" w:bidi="ar-SA"/>
        </w:rPr>
      </w:pPr>
      <w:bookmarkStart w:id="638" w:name="_Toc492300675"/>
      <w:bookmarkStart w:id="639" w:name="_Toc482188583"/>
      <w:bookmarkStart w:id="640" w:name="_Toc26216"/>
      <w:r>
        <w:rPr>
          <w:rFonts w:eastAsia="宋体"/>
          <w:b/>
          <w:bCs/>
          <w:color w:val="auto"/>
          <w:kern w:val="2"/>
          <w:szCs w:val="32"/>
          <w:lang w:eastAsia="zh-CN" w:bidi="ar-SA"/>
        </w:rPr>
        <w:t xml:space="preserve">5.3 </w:t>
      </w:r>
      <w:r>
        <w:rPr>
          <w:rFonts w:hint="eastAsia" w:eastAsia="宋体"/>
          <w:b/>
          <w:bCs/>
          <w:color w:val="auto"/>
          <w:kern w:val="2"/>
          <w:szCs w:val="32"/>
          <w:lang w:eastAsia="zh-CN" w:bidi="ar-SA"/>
        </w:rPr>
        <w:t>监理内容</w:t>
      </w:r>
      <w:bookmarkEnd w:id="638"/>
      <w:bookmarkEnd w:id="639"/>
      <w:bookmarkEnd w:id="640"/>
    </w:p>
    <w:p w14:paraId="3ECD0E32">
      <w:pPr>
        <w:spacing w:line="360" w:lineRule="auto"/>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除专用条件另有约定外，监理工作内容包括：</w:t>
      </w:r>
    </w:p>
    <w:p w14:paraId="5BA67366">
      <w:pPr>
        <w:spacing w:line="360" w:lineRule="auto"/>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（1）收到工程设计文件后编制监理规划，并在第一次工地会议7天前报委托人。根据有关规定和监理工作需要，编制监理实施细则；</w:t>
      </w:r>
    </w:p>
    <w:p w14:paraId="1BA5E4BA">
      <w:pPr>
        <w:spacing w:line="360" w:lineRule="auto"/>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（2）熟悉工程设计文件，并参加由委托人主持的图纸会审和设计交底会议；</w:t>
      </w:r>
    </w:p>
    <w:p w14:paraId="464470C9">
      <w:pPr>
        <w:spacing w:line="360" w:lineRule="auto"/>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（3）参加由委托人主持的第一次工地会议；主持监理例会并根据工程需要主持或参加专题会议；</w:t>
      </w:r>
    </w:p>
    <w:p w14:paraId="4AA7B838">
      <w:pPr>
        <w:spacing w:line="360" w:lineRule="auto"/>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（4）审查施工承包人提交的施工组织设计，重点审查其中的质量安全技术措施、专项施工方案与工程建设强制性标准的符合性；</w:t>
      </w:r>
    </w:p>
    <w:p w14:paraId="1F531716">
      <w:pPr>
        <w:spacing w:line="360" w:lineRule="auto"/>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（5）检查施工承包人工程质量、安全生产管理制度及组织机构和人员资格；</w:t>
      </w:r>
    </w:p>
    <w:p w14:paraId="51A95932">
      <w:pPr>
        <w:spacing w:line="360" w:lineRule="auto"/>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（6）检查施工承包人专职安全生产管理人员的配备情况；</w:t>
      </w:r>
    </w:p>
    <w:p w14:paraId="68CFA176">
      <w:pPr>
        <w:spacing w:line="360" w:lineRule="auto"/>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（7）审查施工承包人提交的施工进度计划，核查承包人对施工进度计划的调整；</w:t>
      </w:r>
    </w:p>
    <w:p w14:paraId="007224F5">
      <w:pPr>
        <w:spacing w:line="360" w:lineRule="auto"/>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（8）检查施工承包人的试验室；</w:t>
      </w:r>
    </w:p>
    <w:p w14:paraId="36006C7F">
      <w:pPr>
        <w:spacing w:line="360" w:lineRule="auto"/>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（9）审核施工分包人资质条件；</w:t>
      </w:r>
    </w:p>
    <w:p w14:paraId="494F2565">
      <w:pPr>
        <w:spacing w:line="360" w:lineRule="auto"/>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（10）查验施工承包人的施工测量放线成果；</w:t>
      </w:r>
    </w:p>
    <w:p w14:paraId="7C5A7026">
      <w:pPr>
        <w:spacing w:line="360" w:lineRule="auto"/>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（11）审查工程开工条件，对条件具备的签发开工令；</w:t>
      </w:r>
    </w:p>
    <w:p w14:paraId="348D678D">
      <w:pPr>
        <w:spacing w:line="360" w:lineRule="auto"/>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（12）审查施工承包人报送的工程材料、构配件、设备质量证明文件的有效性和符合性，并按规定对用于工程的材料采取平行检验或见证取样方式进行抽检；</w:t>
      </w:r>
    </w:p>
    <w:p w14:paraId="2FCA6EE8">
      <w:pPr>
        <w:spacing w:line="360" w:lineRule="auto"/>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（13）审核施工承包人提交的工程款支付申请，签发或出具工程款支付证书，并报委托人审核、批准；</w:t>
      </w:r>
    </w:p>
    <w:p w14:paraId="040D763A">
      <w:pPr>
        <w:spacing w:line="360" w:lineRule="auto"/>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（14）在巡视、旁站和检验过程中，发现工程质量、施工安全存在事故隐患的，要求施工承包人整改并报委托人；</w:t>
      </w:r>
    </w:p>
    <w:p w14:paraId="137D4E8A">
      <w:pPr>
        <w:spacing w:line="360" w:lineRule="auto"/>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（15）经委托人同意，签发工程暂停令和复工令；</w:t>
      </w:r>
    </w:p>
    <w:p w14:paraId="493AB1D7">
      <w:pPr>
        <w:spacing w:line="360" w:lineRule="auto"/>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（16）审查施工承包人提交的采用新材料、新工艺、新技术、新设备的论证材料及相关验收标准；</w:t>
      </w:r>
    </w:p>
    <w:p w14:paraId="6BC5574D">
      <w:pPr>
        <w:spacing w:line="360" w:lineRule="auto"/>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（17）验收隐蔽工程、分部分项工程；</w:t>
      </w:r>
    </w:p>
    <w:p w14:paraId="0CB308C8">
      <w:pPr>
        <w:spacing w:line="360" w:lineRule="auto"/>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（18）审查施工承包人提交的工程变更申请，协调处理施工进度调整、费用索赔、合同争议等事项；</w:t>
      </w:r>
    </w:p>
    <w:p w14:paraId="4B649209">
      <w:pPr>
        <w:spacing w:line="360" w:lineRule="auto"/>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（19）审查施工承包人提交的竣工验收申请，编写工程质量评估报告；</w:t>
      </w:r>
    </w:p>
    <w:p w14:paraId="6C4331A4">
      <w:pPr>
        <w:spacing w:line="360" w:lineRule="auto"/>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（20）参加工程竣工验收，签署竣工验收意见；</w:t>
      </w:r>
    </w:p>
    <w:p w14:paraId="68D460A1">
      <w:pPr>
        <w:spacing w:line="360" w:lineRule="auto"/>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（21）审查施工承包人提交的竣工结算申请并报委托人；</w:t>
      </w:r>
    </w:p>
    <w:p w14:paraId="368BEAAA">
      <w:pPr>
        <w:spacing w:line="360" w:lineRule="auto"/>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（22）编制、整理工程监理归档文件并报委托人。</w:t>
      </w:r>
    </w:p>
    <w:p w14:paraId="30B63DFF">
      <w:pPr>
        <w:keepNext/>
        <w:keepLines/>
        <w:spacing w:line="360" w:lineRule="auto"/>
        <w:jc w:val="both"/>
        <w:outlineLvl w:val="2"/>
        <w:rPr>
          <w:rFonts w:eastAsia="宋体"/>
          <w:b/>
          <w:bCs/>
          <w:color w:val="auto"/>
          <w:kern w:val="2"/>
          <w:szCs w:val="32"/>
          <w:lang w:eastAsia="zh-CN" w:bidi="ar-SA"/>
        </w:rPr>
      </w:pPr>
      <w:bookmarkStart w:id="641" w:name="_Toc492300676"/>
      <w:bookmarkStart w:id="642" w:name="_Toc9018"/>
      <w:r>
        <w:rPr>
          <w:rFonts w:eastAsia="宋体"/>
          <w:b/>
          <w:bCs/>
          <w:color w:val="auto"/>
          <w:kern w:val="2"/>
          <w:szCs w:val="32"/>
          <w:lang w:eastAsia="zh-CN" w:bidi="ar-SA"/>
        </w:rPr>
        <w:t xml:space="preserve">5.4 </w:t>
      </w:r>
      <w:r>
        <w:rPr>
          <w:rFonts w:hint="eastAsia" w:eastAsia="宋体"/>
          <w:b/>
          <w:bCs/>
          <w:color w:val="auto"/>
          <w:kern w:val="2"/>
          <w:szCs w:val="32"/>
          <w:lang w:eastAsia="zh-CN" w:bidi="ar-SA"/>
        </w:rPr>
        <w:t>监理文件要求</w:t>
      </w:r>
      <w:bookmarkEnd w:id="641"/>
      <w:bookmarkEnd w:id="642"/>
    </w:p>
    <w:p w14:paraId="5A7528FD">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5.4.1 监理文件的编制应符合法律、规范标准的强制性规定和委托人要求，相关的监理依据应当完整准确，文件内容和相应数据应当真实可靠。</w:t>
      </w:r>
    </w:p>
    <w:p w14:paraId="5BB26B71">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5.4.2 监理文件的深度应满足本阶段相应监理工作的规定要求，满足委托人的下步工作需要，并应符合国家和行业现行规定。</w:t>
      </w:r>
    </w:p>
    <w:p w14:paraId="66D0BFB7">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5.4.3本工程监理文件的具体类别、编制要求、编制内容、提交时间和份数等，在专用合同条款中约定。</w:t>
      </w:r>
    </w:p>
    <w:bookmarkEnd w:id="597"/>
    <w:p w14:paraId="7157BE5F">
      <w:pPr>
        <w:keepNext/>
        <w:keepLines/>
        <w:spacing w:line="360" w:lineRule="auto"/>
        <w:jc w:val="both"/>
        <w:outlineLvl w:val="2"/>
        <w:rPr>
          <w:rFonts w:eastAsia="宋体"/>
          <w:b/>
          <w:bCs/>
          <w:color w:val="auto"/>
          <w:kern w:val="2"/>
          <w:szCs w:val="32"/>
          <w:lang w:eastAsia="zh-CN" w:bidi="ar-SA"/>
        </w:rPr>
      </w:pPr>
      <w:bookmarkStart w:id="643" w:name="_Toc482188591"/>
      <w:bookmarkStart w:id="644" w:name="_Toc492300677"/>
      <w:bookmarkStart w:id="645" w:name="_Toc27808"/>
      <w:r>
        <w:rPr>
          <w:rFonts w:eastAsia="宋体"/>
          <w:b/>
          <w:bCs/>
          <w:color w:val="auto"/>
          <w:kern w:val="2"/>
          <w:szCs w:val="32"/>
          <w:lang w:eastAsia="zh-CN" w:bidi="ar-SA"/>
        </w:rPr>
        <w:t>6. 开始监理和完成</w:t>
      </w:r>
      <w:bookmarkEnd w:id="643"/>
      <w:r>
        <w:rPr>
          <w:rFonts w:eastAsia="宋体"/>
          <w:b/>
          <w:bCs/>
          <w:color w:val="auto"/>
          <w:kern w:val="2"/>
          <w:szCs w:val="32"/>
          <w:lang w:eastAsia="zh-CN" w:bidi="ar-SA"/>
        </w:rPr>
        <w:t>监理</w:t>
      </w:r>
      <w:bookmarkEnd w:id="644"/>
      <w:bookmarkEnd w:id="645"/>
    </w:p>
    <w:p w14:paraId="4E2F3C1F">
      <w:pPr>
        <w:keepNext/>
        <w:keepLines/>
        <w:spacing w:line="360" w:lineRule="auto"/>
        <w:jc w:val="both"/>
        <w:outlineLvl w:val="2"/>
        <w:rPr>
          <w:rFonts w:eastAsia="宋体"/>
          <w:b/>
          <w:bCs/>
          <w:color w:val="auto"/>
          <w:kern w:val="2"/>
          <w:szCs w:val="32"/>
          <w:lang w:eastAsia="zh-CN" w:bidi="ar-SA"/>
        </w:rPr>
      </w:pPr>
      <w:bookmarkStart w:id="646" w:name="_Toc482188592"/>
      <w:bookmarkStart w:id="647" w:name="_Toc4234"/>
      <w:bookmarkStart w:id="648" w:name="_Toc492300678"/>
      <w:r>
        <w:rPr>
          <w:rFonts w:eastAsia="宋体"/>
          <w:b/>
          <w:bCs/>
          <w:color w:val="auto"/>
          <w:kern w:val="2"/>
          <w:szCs w:val="32"/>
          <w:lang w:eastAsia="zh-CN" w:bidi="ar-SA"/>
        </w:rPr>
        <w:t xml:space="preserve">6.1 </w:t>
      </w:r>
      <w:r>
        <w:rPr>
          <w:rFonts w:hint="eastAsia" w:eastAsia="宋体"/>
          <w:b/>
          <w:bCs/>
          <w:color w:val="auto"/>
          <w:kern w:val="2"/>
          <w:szCs w:val="32"/>
          <w:lang w:eastAsia="zh-CN" w:bidi="ar-SA"/>
        </w:rPr>
        <w:t>开始</w:t>
      </w:r>
      <w:bookmarkEnd w:id="646"/>
      <w:r>
        <w:rPr>
          <w:rFonts w:hint="eastAsia" w:eastAsia="宋体"/>
          <w:b/>
          <w:bCs/>
          <w:color w:val="auto"/>
          <w:kern w:val="2"/>
          <w:szCs w:val="32"/>
          <w:lang w:eastAsia="zh-CN" w:bidi="ar-SA"/>
        </w:rPr>
        <w:t>监理</w:t>
      </w:r>
      <w:bookmarkEnd w:id="647"/>
      <w:bookmarkEnd w:id="648"/>
    </w:p>
    <w:p w14:paraId="0522439D">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6.1.1符合专用合同条款约定的开始监理条件的，委托人应提前7</w:t>
      </w:r>
      <w:bookmarkStart w:id="649" w:name="_Toc300835117"/>
      <w:bookmarkStart w:id="650" w:name="_Toc184635108"/>
      <w:bookmarkStart w:id="651" w:name="_Toc247514114"/>
      <w:bookmarkStart w:id="652" w:name="_Toc247527715"/>
      <w:r>
        <w:rPr>
          <w:rFonts w:eastAsia="宋体"/>
          <w:color w:val="auto"/>
          <w:kern w:val="2"/>
          <w:sz w:val="21"/>
          <w:szCs w:val="21"/>
          <w:lang w:eastAsia="zh-CN" w:bidi="ar-SA"/>
        </w:rPr>
        <w:t>天向监理人发出开始</w:t>
      </w:r>
      <w:bookmarkEnd w:id="649"/>
      <w:bookmarkEnd w:id="650"/>
      <w:bookmarkEnd w:id="651"/>
      <w:bookmarkEnd w:id="652"/>
      <w:r>
        <w:rPr>
          <w:rFonts w:eastAsia="宋体"/>
          <w:color w:val="auto"/>
          <w:kern w:val="2"/>
          <w:sz w:val="21"/>
          <w:szCs w:val="21"/>
          <w:lang w:eastAsia="zh-CN" w:bidi="ar-SA"/>
        </w:rPr>
        <w:t>监理通知。</w:t>
      </w:r>
      <w:bookmarkStart w:id="653" w:name="_Toc247514115"/>
      <w:bookmarkStart w:id="654" w:name="_Toc247527716"/>
      <w:bookmarkStart w:id="655" w:name="_Toc300835118"/>
      <w:bookmarkStart w:id="656" w:name="_Toc300835120"/>
      <w:bookmarkStart w:id="657" w:name="_Toc247527718"/>
      <w:bookmarkStart w:id="658" w:name="_Toc247514117"/>
      <w:r>
        <w:rPr>
          <w:rFonts w:eastAsia="宋体"/>
          <w:color w:val="auto"/>
          <w:kern w:val="2"/>
          <w:sz w:val="21"/>
          <w:szCs w:val="21"/>
          <w:lang w:eastAsia="zh-CN" w:bidi="ar-SA"/>
        </w:rPr>
        <w:t>监理服务期限自开始</w:t>
      </w:r>
      <w:bookmarkEnd w:id="653"/>
      <w:bookmarkEnd w:id="654"/>
      <w:bookmarkEnd w:id="655"/>
      <w:r>
        <w:rPr>
          <w:rFonts w:eastAsia="宋体"/>
          <w:color w:val="auto"/>
          <w:kern w:val="2"/>
          <w:sz w:val="21"/>
          <w:szCs w:val="21"/>
          <w:lang w:eastAsia="zh-CN" w:bidi="ar-SA"/>
        </w:rPr>
        <w:t>监理通知中载明的开始监理日期起计算。</w:t>
      </w:r>
    </w:p>
    <w:p w14:paraId="0E88830E">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6.1.2除专用合同条款另有约定外，因委托人原因造成合同签订之日起90天内未能发出开始监理通知的，监理人有权提出价格调整要求，或者解除合同。委托人应当承担由此增加的费用和（或）周期延误。</w:t>
      </w:r>
    </w:p>
    <w:p w14:paraId="26185939">
      <w:pPr>
        <w:keepNext/>
        <w:keepLines/>
        <w:spacing w:line="360" w:lineRule="auto"/>
        <w:jc w:val="both"/>
        <w:outlineLvl w:val="2"/>
        <w:rPr>
          <w:rFonts w:eastAsia="宋体"/>
          <w:b/>
          <w:bCs/>
          <w:color w:val="auto"/>
          <w:kern w:val="2"/>
          <w:szCs w:val="32"/>
          <w:lang w:eastAsia="zh-CN" w:bidi="ar-SA"/>
        </w:rPr>
      </w:pPr>
      <w:bookmarkStart w:id="659" w:name="_Toc492300679"/>
      <w:bookmarkStart w:id="660" w:name="_Toc25963"/>
      <w:bookmarkStart w:id="661" w:name="_Toc482188593"/>
      <w:r>
        <w:rPr>
          <w:rFonts w:eastAsia="宋体"/>
          <w:b/>
          <w:bCs/>
          <w:color w:val="auto"/>
          <w:kern w:val="2"/>
          <w:szCs w:val="32"/>
          <w:lang w:eastAsia="zh-CN" w:bidi="ar-SA"/>
        </w:rPr>
        <w:t xml:space="preserve">6.2 </w:t>
      </w:r>
      <w:r>
        <w:rPr>
          <w:rFonts w:hint="eastAsia" w:eastAsia="宋体"/>
          <w:b/>
          <w:bCs/>
          <w:color w:val="auto"/>
          <w:kern w:val="2"/>
          <w:szCs w:val="32"/>
          <w:lang w:eastAsia="zh-CN" w:bidi="ar-SA"/>
        </w:rPr>
        <w:t>监理周期延误</w:t>
      </w:r>
      <w:bookmarkEnd w:id="659"/>
      <w:bookmarkEnd w:id="660"/>
      <w:bookmarkEnd w:id="661"/>
    </w:p>
    <w:p w14:paraId="0F23AED6">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在履行合同过程中，由于下列原因造成监理服务期限延误的，委托人应当延长监理服务期限并增加监理报酬，具体方法</w:t>
      </w:r>
      <w:r>
        <w:rPr>
          <w:rFonts w:eastAsia="宋体"/>
          <w:color w:val="auto"/>
          <w:sz w:val="21"/>
          <w:szCs w:val="21"/>
          <w:lang w:eastAsia="zh-CN" w:bidi="ar-SA"/>
        </w:rPr>
        <w:t>在专用合同条款中约定</w:t>
      </w:r>
      <w:r>
        <w:rPr>
          <w:rFonts w:eastAsia="宋体"/>
          <w:color w:val="auto"/>
          <w:kern w:val="2"/>
          <w:sz w:val="21"/>
          <w:szCs w:val="21"/>
          <w:lang w:eastAsia="zh-CN" w:bidi="ar-SA"/>
        </w:rPr>
        <w:t>。</w:t>
      </w:r>
      <w:bookmarkEnd w:id="656"/>
      <w:bookmarkEnd w:id="657"/>
      <w:bookmarkEnd w:id="658"/>
    </w:p>
    <w:p w14:paraId="66F6F406">
      <w:pPr>
        <w:spacing w:line="360" w:lineRule="auto"/>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（1）合同变更；</w:t>
      </w:r>
    </w:p>
    <w:p w14:paraId="2AFC716F">
      <w:pPr>
        <w:spacing w:line="360" w:lineRule="auto"/>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 xml:space="preserve">（2）因委托人原因导致的监理工作暂停； </w:t>
      </w:r>
    </w:p>
    <w:p w14:paraId="31986E57">
      <w:pPr>
        <w:spacing w:line="360" w:lineRule="auto"/>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（3）未按合同约定及时支付监理报酬；</w:t>
      </w:r>
    </w:p>
    <w:p w14:paraId="3FCDD03B">
      <w:pPr>
        <w:spacing w:line="360" w:lineRule="auto"/>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（4）未及时履行合同约定的相关义务；</w:t>
      </w:r>
    </w:p>
    <w:p w14:paraId="55BA2BFE">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2"/>
          <w:lang w:eastAsia="zh-CN" w:bidi="ar-SA"/>
        </w:rPr>
        <w:t>（5）</w:t>
      </w:r>
      <w:r>
        <w:rPr>
          <w:rFonts w:eastAsia="宋体"/>
          <w:color w:val="auto"/>
          <w:kern w:val="2"/>
          <w:sz w:val="21"/>
          <w:szCs w:val="21"/>
          <w:lang w:eastAsia="zh-CN" w:bidi="ar-SA"/>
        </w:rPr>
        <w:t>由于承包人延误、行政管理</w:t>
      </w:r>
      <w:r>
        <w:rPr>
          <w:rFonts w:eastAsia="宋体"/>
          <w:color w:val="auto"/>
          <w:kern w:val="2"/>
          <w:sz w:val="21"/>
          <w:szCs w:val="22"/>
          <w:lang w:eastAsia="zh-CN" w:bidi="ar-SA"/>
        </w:rPr>
        <w:t>造成的监理</w:t>
      </w:r>
      <w:r>
        <w:rPr>
          <w:rFonts w:eastAsia="宋体"/>
          <w:color w:val="auto"/>
          <w:kern w:val="2"/>
          <w:sz w:val="21"/>
          <w:szCs w:val="21"/>
          <w:lang w:eastAsia="zh-CN" w:bidi="ar-SA"/>
        </w:rPr>
        <w:t>服务期延误；</w:t>
      </w:r>
    </w:p>
    <w:p w14:paraId="623690D4">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2"/>
          <w:lang w:eastAsia="zh-CN" w:bidi="ar-SA"/>
        </w:rPr>
        <w:t>（6）造成</w:t>
      </w:r>
      <w:r>
        <w:rPr>
          <w:rFonts w:eastAsia="宋体"/>
          <w:color w:val="auto"/>
          <w:kern w:val="2"/>
          <w:sz w:val="21"/>
          <w:szCs w:val="21"/>
          <w:lang w:eastAsia="zh-CN" w:bidi="ar-SA"/>
        </w:rPr>
        <w:t>监理服务期限延误的其他原因。</w:t>
      </w:r>
    </w:p>
    <w:p w14:paraId="625F01E2">
      <w:pPr>
        <w:keepNext/>
        <w:keepLines/>
        <w:spacing w:line="360" w:lineRule="auto"/>
        <w:jc w:val="both"/>
        <w:outlineLvl w:val="2"/>
        <w:rPr>
          <w:rFonts w:eastAsia="宋体"/>
          <w:b/>
          <w:bCs/>
          <w:color w:val="auto"/>
          <w:kern w:val="2"/>
          <w:szCs w:val="32"/>
          <w:lang w:eastAsia="zh-CN" w:bidi="ar-SA"/>
        </w:rPr>
      </w:pPr>
      <w:bookmarkStart w:id="662" w:name="_Toc492300680"/>
      <w:bookmarkStart w:id="663" w:name="_Toc8735"/>
      <w:bookmarkStart w:id="664" w:name="_Toc482188601"/>
      <w:bookmarkStart w:id="665" w:name="_Toc467651004"/>
      <w:r>
        <w:rPr>
          <w:rFonts w:eastAsia="宋体"/>
          <w:b/>
          <w:bCs/>
          <w:color w:val="auto"/>
          <w:kern w:val="2"/>
          <w:szCs w:val="32"/>
          <w:lang w:eastAsia="zh-CN" w:bidi="ar-SA"/>
        </w:rPr>
        <w:t xml:space="preserve">6.3 </w:t>
      </w:r>
      <w:r>
        <w:rPr>
          <w:rFonts w:hint="eastAsia" w:eastAsia="宋体"/>
          <w:b/>
          <w:bCs/>
          <w:color w:val="auto"/>
          <w:kern w:val="2"/>
          <w:szCs w:val="32"/>
          <w:lang w:eastAsia="zh-CN" w:bidi="ar-SA"/>
        </w:rPr>
        <w:t>完成监理</w:t>
      </w:r>
      <w:bookmarkEnd w:id="662"/>
      <w:bookmarkEnd w:id="663"/>
      <w:r>
        <w:rPr>
          <w:rFonts w:eastAsia="宋体"/>
          <w:b/>
          <w:bCs/>
          <w:color w:val="auto"/>
          <w:kern w:val="2"/>
          <w:szCs w:val="32"/>
          <w:lang w:eastAsia="zh-CN" w:bidi="ar-SA"/>
        </w:rPr>
        <w:t xml:space="preserve"> </w:t>
      </w:r>
    </w:p>
    <w:p w14:paraId="71D83861">
      <w:pPr>
        <w:spacing w:line="360" w:lineRule="auto"/>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6.3.1 监理人应当根据法律、规范标准、合同约定和委托人要求实施和完成监理，并编制和移交监理文件。</w:t>
      </w:r>
    </w:p>
    <w:p w14:paraId="0EF7D60E">
      <w:pPr>
        <w:spacing w:line="360" w:lineRule="auto"/>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6.3.2 根据委托人要求或者基于专业能力判断，监理人认为能够提前完成监理的，可向委托人递交一份提前完成监理建议书，包括实施方案、提前时间、监理报酬变动等内容。除专用合同条款另有约定之外，委托人接受建议书的，不因提前完成监理而减少监理报酬；增加监理报酬的，所增费用由委托人承担。</w:t>
      </w:r>
    </w:p>
    <w:p w14:paraId="54DB9174">
      <w:pPr>
        <w:spacing w:line="360" w:lineRule="auto"/>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6.3.3 缺陷修复监理指缺陷责任期间，监理人对承包人修复质量缺陷进行的监理。缺陷修复监理的责任由监理人负责。</w:t>
      </w:r>
    </w:p>
    <w:p w14:paraId="0667FC17">
      <w:pPr>
        <w:spacing w:line="360" w:lineRule="auto"/>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6.3.4 委托人应当及时接收监理人提交的监理文件。如无正当理由拒收的，视为委托人已经接收监理文件。接收监理文件时，委托人应向监理人出具文件签收凭证，凭证内容包括文件名称、文件内容、文件形式、份数、提交和接收日期、提交人与接收人的亲笔签名等。</w:t>
      </w:r>
    </w:p>
    <w:p w14:paraId="5E3EB5E0">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6.3</w:t>
      </w:r>
      <w:r>
        <w:rPr>
          <w:rFonts w:eastAsia="宋体"/>
          <w:color w:val="auto"/>
          <w:kern w:val="2"/>
          <w:sz w:val="21"/>
          <w:szCs w:val="22"/>
          <w:lang w:eastAsia="zh-CN" w:bidi="ar-SA"/>
        </w:rPr>
        <w:t>.5 除专用合同条款另有约定外，监理文件包括纸质文件和电子文件两种形式，两者若有不一致时，应以纸质文件为准。纸质文件应当加盖单位章和总监理工程师的注册执业印章，具体份数、纸幅、装订格式等要求，应</w:t>
      </w:r>
      <w:r>
        <w:rPr>
          <w:rFonts w:eastAsia="宋体"/>
          <w:color w:val="auto"/>
          <w:kern w:val="2"/>
          <w:sz w:val="21"/>
          <w:szCs w:val="21"/>
          <w:lang w:eastAsia="zh-CN" w:bidi="ar-SA"/>
        </w:rPr>
        <w:t>在专用合同条款中约定</w:t>
      </w:r>
      <w:r>
        <w:rPr>
          <w:rFonts w:eastAsia="宋体"/>
          <w:color w:val="auto"/>
          <w:kern w:val="2"/>
          <w:sz w:val="21"/>
          <w:szCs w:val="22"/>
          <w:lang w:eastAsia="zh-CN" w:bidi="ar-SA"/>
        </w:rPr>
        <w:t>；电子文件应使用光盘和U盘分别贮存。</w:t>
      </w:r>
    </w:p>
    <w:bookmarkEnd w:id="664"/>
    <w:bookmarkEnd w:id="665"/>
    <w:p w14:paraId="26D44312">
      <w:pPr>
        <w:keepNext/>
        <w:keepLines/>
        <w:spacing w:line="360" w:lineRule="auto"/>
        <w:outlineLvl w:val="1"/>
        <w:rPr>
          <w:rFonts w:ascii="Arial" w:hAnsi="Arial" w:eastAsia="宋体"/>
          <w:b/>
          <w:bCs/>
          <w:color w:val="auto"/>
          <w:kern w:val="2"/>
          <w:sz w:val="28"/>
          <w:szCs w:val="32"/>
          <w:lang w:eastAsia="zh-CN" w:bidi="ar-SA"/>
        </w:rPr>
      </w:pPr>
      <w:bookmarkStart w:id="666" w:name="_Toc492300681"/>
      <w:bookmarkStart w:id="667" w:name="_Toc482188607"/>
      <w:bookmarkStart w:id="668" w:name="_Toc504633912"/>
      <w:bookmarkStart w:id="669" w:name="_Toc619"/>
      <w:bookmarkStart w:id="670" w:name="_Toc247527728"/>
      <w:bookmarkStart w:id="671" w:name="_Toc247514127"/>
      <w:bookmarkStart w:id="672" w:name="_Toc184635110"/>
      <w:r>
        <w:rPr>
          <w:rFonts w:ascii="Arial" w:hAnsi="Arial" w:eastAsia="宋体"/>
          <w:b/>
          <w:bCs/>
          <w:color w:val="auto"/>
          <w:kern w:val="2"/>
          <w:sz w:val="28"/>
          <w:szCs w:val="32"/>
          <w:lang w:eastAsia="zh-CN" w:bidi="ar-SA"/>
        </w:rPr>
        <w:t>7. 监理责任与保险</w:t>
      </w:r>
      <w:bookmarkEnd w:id="666"/>
      <w:bookmarkEnd w:id="667"/>
      <w:bookmarkEnd w:id="668"/>
      <w:bookmarkEnd w:id="669"/>
    </w:p>
    <w:bookmarkEnd w:id="670"/>
    <w:bookmarkEnd w:id="671"/>
    <w:bookmarkEnd w:id="672"/>
    <w:p w14:paraId="381DC435">
      <w:pPr>
        <w:keepNext/>
        <w:keepLines/>
        <w:spacing w:line="360" w:lineRule="auto"/>
        <w:jc w:val="both"/>
        <w:outlineLvl w:val="2"/>
        <w:rPr>
          <w:rFonts w:eastAsia="宋体"/>
          <w:b/>
          <w:bCs/>
          <w:color w:val="auto"/>
          <w:kern w:val="2"/>
          <w:szCs w:val="32"/>
          <w:lang w:eastAsia="zh-CN" w:bidi="ar-SA"/>
        </w:rPr>
      </w:pPr>
      <w:bookmarkStart w:id="673" w:name="_Toc482188610"/>
      <w:bookmarkStart w:id="674" w:name="_Toc492300682"/>
      <w:bookmarkStart w:id="675" w:name="_Toc1275"/>
      <w:r>
        <w:rPr>
          <w:rFonts w:eastAsia="宋体"/>
          <w:b/>
          <w:bCs/>
          <w:color w:val="auto"/>
          <w:kern w:val="2"/>
          <w:szCs w:val="32"/>
          <w:lang w:eastAsia="zh-CN" w:bidi="ar-SA"/>
        </w:rPr>
        <w:t xml:space="preserve">7.1 </w:t>
      </w:r>
      <w:r>
        <w:rPr>
          <w:rFonts w:hint="eastAsia" w:eastAsia="宋体"/>
          <w:b/>
          <w:bCs/>
          <w:color w:val="auto"/>
          <w:kern w:val="2"/>
          <w:szCs w:val="32"/>
          <w:lang w:eastAsia="zh-CN" w:bidi="ar-SA"/>
        </w:rPr>
        <w:t>监理责任主体</w:t>
      </w:r>
      <w:bookmarkEnd w:id="673"/>
      <w:bookmarkEnd w:id="674"/>
      <w:bookmarkEnd w:id="675"/>
    </w:p>
    <w:p w14:paraId="68FD07B5">
      <w:pPr>
        <w:spacing w:line="360" w:lineRule="auto"/>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7.1.1 监理人应运用一切合理的专业技术、知识技能和项目经验，按照职业道德准则和行业公认标准尽其全部职责，勤勉、谨慎、公正地履行其在本合同项下的责任和义务。</w:t>
      </w:r>
    </w:p>
    <w:p w14:paraId="4E1D9E85">
      <w:pPr>
        <w:spacing w:line="360" w:lineRule="auto"/>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7.1.2 监理责任为监理单位项目负责人终身责任制。</w:t>
      </w:r>
      <w:r>
        <w:rPr>
          <w:rFonts w:eastAsia="宋体"/>
          <w:color w:val="auto"/>
          <w:kern w:val="2"/>
          <w:sz w:val="21"/>
          <w:szCs w:val="21"/>
          <w:shd w:val="clear" w:color="auto" w:fill="FFFFFF"/>
          <w:lang w:eastAsia="zh-CN" w:bidi="ar-SA"/>
        </w:rPr>
        <w:t>总监理工程师应当按照法律法规、有关技术标准、设计文件和工程承包合同进行监理，对施工质量承担监理责任。</w:t>
      </w:r>
    </w:p>
    <w:p w14:paraId="61572024">
      <w:pPr>
        <w:spacing w:line="360" w:lineRule="auto"/>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7.1.3 总监理工程师应当在办理工程质量监督手续前签署工程质量终身责任承诺书，连同法定代表人出具的授权书，报工程质量监督机构备案。</w:t>
      </w:r>
    </w:p>
    <w:p w14:paraId="6678FE63">
      <w:pPr>
        <w:keepNext/>
        <w:keepLines/>
        <w:spacing w:line="360" w:lineRule="auto"/>
        <w:jc w:val="both"/>
        <w:outlineLvl w:val="2"/>
        <w:rPr>
          <w:rFonts w:eastAsia="宋体"/>
          <w:b/>
          <w:bCs/>
          <w:color w:val="auto"/>
          <w:kern w:val="2"/>
          <w:szCs w:val="32"/>
          <w:lang w:eastAsia="zh-CN" w:bidi="ar-SA"/>
        </w:rPr>
      </w:pPr>
      <w:bookmarkStart w:id="676" w:name="_Toc482188611"/>
      <w:bookmarkStart w:id="677" w:name="_Toc7908"/>
      <w:bookmarkStart w:id="678" w:name="_Toc492300683"/>
      <w:r>
        <w:rPr>
          <w:rFonts w:eastAsia="宋体"/>
          <w:b/>
          <w:bCs/>
          <w:color w:val="auto"/>
          <w:kern w:val="2"/>
          <w:szCs w:val="32"/>
          <w:lang w:eastAsia="zh-CN" w:bidi="ar-SA"/>
        </w:rPr>
        <w:t xml:space="preserve">7.2 </w:t>
      </w:r>
      <w:r>
        <w:rPr>
          <w:rFonts w:hint="eastAsia" w:eastAsia="宋体"/>
          <w:b/>
          <w:bCs/>
          <w:color w:val="auto"/>
          <w:kern w:val="2"/>
          <w:szCs w:val="32"/>
          <w:lang w:eastAsia="zh-CN" w:bidi="ar-SA"/>
        </w:rPr>
        <w:t>监理责任保险</w:t>
      </w:r>
      <w:bookmarkEnd w:id="676"/>
      <w:bookmarkEnd w:id="677"/>
      <w:bookmarkEnd w:id="678"/>
    </w:p>
    <w:p w14:paraId="4AC3F8BA">
      <w:pPr>
        <w:spacing w:line="360" w:lineRule="auto"/>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除专用合同条款另有约定外，建议监理人根据工程情况对监理责任进行保险，并在合同履行期间保持足额、有效。</w:t>
      </w:r>
    </w:p>
    <w:p w14:paraId="5B29CC76">
      <w:pPr>
        <w:keepNext/>
        <w:keepLines/>
        <w:spacing w:line="360" w:lineRule="auto"/>
        <w:outlineLvl w:val="1"/>
        <w:rPr>
          <w:rFonts w:ascii="Arial" w:hAnsi="Arial" w:eastAsia="宋体"/>
          <w:b/>
          <w:bCs/>
          <w:color w:val="auto"/>
          <w:kern w:val="2"/>
          <w:sz w:val="28"/>
          <w:szCs w:val="32"/>
          <w:lang w:eastAsia="zh-CN" w:bidi="ar-SA"/>
        </w:rPr>
      </w:pPr>
      <w:bookmarkStart w:id="679" w:name="_Toc492300684"/>
      <w:bookmarkStart w:id="680" w:name="_Toc504633913"/>
      <w:bookmarkStart w:id="681" w:name="_Toc482188615"/>
      <w:bookmarkStart w:id="682" w:name="_Toc2189"/>
      <w:r>
        <w:rPr>
          <w:rFonts w:ascii="Arial" w:hAnsi="Arial" w:eastAsia="宋体"/>
          <w:b/>
          <w:bCs/>
          <w:color w:val="auto"/>
          <w:kern w:val="2"/>
          <w:sz w:val="28"/>
          <w:szCs w:val="32"/>
          <w:lang w:eastAsia="zh-CN" w:bidi="ar-SA"/>
        </w:rPr>
        <w:t>8. 合同变更</w:t>
      </w:r>
      <w:bookmarkEnd w:id="679"/>
      <w:bookmarkEnd w:id="680"/>
      <w:bookmarkEnd w:id="681"/>
      <w:bookmarkEnd w:id="682"/>
    </w:p>
    <w:p w14:paraId="6D95C359">
      <w:pPr>
        <w:keepNext/>
        <w:keepLines/>
        <w:spacing w:line="360" w:lineRule="auto"/>
        <w:jc w:val="both"/>
        <w:outlineLvl w:val="2"/>
        <w:rPr>
          <w:rFonts w:eastAsia="宋体"/>
          <w:b/>
          <w:bCs/>
          <w:color w:val="auto"/>
          <w:kern w:val="2"/>
          <w:szCs w:val="32"/>
          <w:lang w:eastAsia="zh-CN" w:bidi="ar-SA"/>
        </w:rPr>
      </w:pPr>
      <w:bookmarkStart w:id="683" w:name="_Toc482188616"/>
      <w:bookmarkStart w:id="684" w:name="_Toc467651025"/>
      <w:bookmarkStart w:id="685" w:name="_Toc492300685"/>
      <w:bookmarkStart w:id="686" w:name="_Toc4309"/>
      <w:r>
        <w:rPr>
          <w:rFonts w:eastAsia="宋体"/>
          <w:b/>
          <w:bCs/>
          <w:color w:val="auto"/>
          <w:kern w:val="2"/>
          <w:szCs w:val="32"/>
          <w:lang w:eastAsia="zh-CN" w:bidi="ar-SA"/>
        </w:rPr>
        <w:t xml:space="preserve">8.1 </w:t>
      </w:r>
      <w:r>
        <w:rPr>
          <w:rFonts w:hint="eastAsia" w:eastAsia="宋体"/>
          <w:b/>
          <w:bCs/>
          <w:color w:val="auto"/>
          <w:kern w:val="2"/>
          <w:szCs w:val="32"/>
          <w:lang w:eastAsia="zh-CN" w:bidi="ar-SA"/>
        </w:rPr>
        <w:t>变更情形</w:t>
      </w:r>
      <w:bookmarkEnd w:id="683"/>
      <w:bookmarkEnd w:id="684"/>
      <w:bookmarkEnd w:id="685"/>
      <w:bookmarkEnd w:id="686"/>
    </w:p>
    <w:p w14:paraId="25743089">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8.1.1 合同履行中发生下述情形时，合同一方均可向对方提出变更请求，经双方协商一致后进行变更，监理服务期限和监理报酬的调整方法</w:t>
      </w:r>
      <w:r>
        <w:rPr>
          <w:rFonts w:eastAsia="宋体"/>
          <w:color w:val="auto"/>
          <w:sz w:val="21"/>
          <w:szCs w:val="21"/>
          <w:lang w:eastAsia="zh-CN" w:bidi="ar-SA"/>
        </w:rPr>
        <w:t>在专用合同条款中约定</w:t>
      </w:r>
      <w:r>
        <w:rPr>
          <w:rFonts w:eastAsia="宋体"/>
          <w:color w:val="auto"/>
          <w:kern w:val="2"/>
          <w:sz w:val="21"/>
          <w:szCs w:val="21"/>
          <w:lang w:eastAsia="zh-CN" w:bidi="ar-SA"/>
        </w:rPr>
        <w:t>。</w:t>
      </w:r>
    </w:p>
    <w:p w14:paraId="7576AD57">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（1）监理范围发生变化；</w:t>
      </w:r>
    </w:p>
    <w:p w14:paraId="64E4DDEF">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（2）除不可抗力外，非监理人的原因引起的周期延误；</w:t>
      </w:r>
    </w:p>
    <w:p w14:paraId="3B23196D">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（3）非监理人的原因，对工程同一部分重复进行监理；</w:t>
      </w:r>
    </w:p>
    <w:p w14:paraId="4C935140">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（4）非监理人的原因，对工程暂停监理及恢复监理。</w:t>
      </w:r>
    </w:p>
    <w:p w14:paraId="4AA0D83F">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8.1.2 基准日后，因颁布新的或修订原有法律、法规、规范和标准等引发合同变更情形的，按照上述约定进行调整。</w:t>
      </w:r>
    </w:p>
    <w:p w14:paraId="1794B41E">
      <w:pPr>
        <w:keepNext/>
        <w:keepLines/>
        <w:spacing w:line="360" w:lineRule="auto"/>
        <w:jc w:val="both"/>
        <w:outlineLvl w:val="2"/>
        <w:rPr>
          <w:rFonts w:eastAsia="宋体"/>
          <w:b/>
          <w:bCs/>
          <w:color w:val="auto"/>
          <w:kern w:val="2"/>
          <w:szCs w:val="32"/>
          <w:lang w:eastAsia="zh-CN" w:bidi="ar-SA"/>
        </w:rPr>
      </w:pPr>
      <w:bookmarkStart w:id="687" w:name="_Toc482188617"/>
      <w:bookmarkStart w:id="688" w:name="_Toc467651026"/>
      <w:bookmarkStart w:id="689" w:name="_Toc492300686"/>
      <w:bookmarkStart w:id="690" w:name="_Toc9698"/>
      <w:r>
        <w:rPr>
          <w:rFonts w:eastAsia="宋体"/>
          <w:b/>
          <w:bCs/>
          <w:color w:val="auto"/>
          <w:kern w:val="2"/>
          <w:szCs w:val="32"/>
          <w:lang w:eastAsia="zh-CN" w:bidi="ar-SA"/>
        </w:rPr>
        <w:t xml:space="preserve">8.2 </w:t>
      </w:r>
      <w:r>
        <w:rPr>
          <w:rFonts w:hint="eastAsia" w:eastAsia="宋体"/>
          <w:b/>
          <w:bCs/>
          <w:color w:val="auto"/>
          <w:kern w:val="2"/>
          <w:szCs w:val="32"/>
          <w:lang w:eastAsia="zh-CN" w:bidi="ar-SA"/>
        </w:rPr>
        <w:t>合理化建议</w:t>
      </w:r>
      <w:bookmarkEnd w:id="687"/>
      <w:bookmarkEnd w:id="688"/>
      <w:bookmarkEnd w:id="689"/>
      <w:bookmarkEnd w:id="690"/>
    </w:p>
    <w:p w14:paraId="3ECEA476">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2"/>
          <w:lang w:eastAsia="zh-CN" w:bidi="ar-SA"/>
        </w:rPr>
        <w:t xml:space="preserve">8.2.1 </w:t>
      </w:r>
      <w:r>
        <w:rPr>
          <w:rFonts w:eastAsia="宋体"/>
          <w:color w:val="auto"/>
          <w:kern w:val="2"/>
          <w:sz w:val="21"/>
          <w:szCs w:val="21"/>
          <w:lang w:eastAsia="zh-CN" w:bidi="ar-SA"/>
        </w:rPr>
        <w:t>合同履行中，监理人可对委托人要求提出合理化建议。合理化建议应以书面形式提交委托人，被委托人采纳并构成变更的，执行第</w:t>
      </w:r>
      <w:r>
        <w:rPr>
          <w:rFonts w:eastAsia="宋体"/>
          <w:color w:val="auto"/>
          <w:kern w:val="2"/>
          <w:sz w:val="21"/>
          <w:szCs w:val="22"/>
          <w:lang w:eastAsia="zh-CN" w:bidi="ar-SA"/>
        </w:rPr>
        <w:t>8.1</w:t>
      </w:r>
      <w:r>
        <w:rPr>
          <w:rFonts w:eastAsia="宋体"/>
          <w:color w:val="auto"/>
          <w:kern w:val="2"/>
          <w:sz w:val="21"/>
          <w:szCs w:val="21"/>
          <w:lang w:eastAsia="zh-CN" w:bidi="ar-SA"/>
        </w:rPr>
        <w:t>款约定。</w:t>
      </w:r>
    </w:p>
    <w:p w14:paraId="18881A3C">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2"/>
          <w:lang w:eastAsia="zh-CN" w:bidi="ar-SA"/>
        </w:rPr>
        <w:t>8.2.2</w:t>
      </w:r>
      <w:r>
        <w:rPr>
          <w:rFonts w:eastAsia="宋体"/>
          <w:color w:val="auto"/>
          <w:kern w:val="2"/>
          <w:sz w:val="21"/>
          <w:szCs w:val="21"/>
          <w:lang w:eastAsia="zh-CN" w:bidi="ar-SA"/>
        </w:rPr>
        <w:t xml:space="preserve"> 监理人提出的合理化建议降低了工程投资、缩短了施工期限或者提高了工程经济效益的，委托人应按专用合同条款中的约定给予奖励。</w:t>
      </w:r>
    </w:p>
    <w:p w14:paraId="386341B2">
      <w:pPr>
        <w:keepNext/>
        <w:keepLines/>
        <w:spacing w:line="360" w:lineRule="auto"/>
        <w:outlineLvl w:val="1"/>
        <w:rPr>
          <w:rFonts w:ascii="Arial" w:hAnsi="Arial" w:eastAsia="宋体"/>
          <w:b/>
          <w:bCs/>
          <w:color w:val="auto"/>
          <w:kern w:val="2"/>
          <w:sz w:val="28"/>
          <w:szCs w:val="32"/>
          <w:lang w:eastAsia="zh-CN" w:bidi="ar-SA"/>
        </w:rPr>
      </w:pPr>
      <w:bookmarkStart w:id="691" w:name="_Toc9211"/>
      <w:bookmarkStart w:id="692" w:name="_Toc482188618"/>
      <w:bookmarkStart w:id="693" w:name="_Toc492300687"/>
      <w:bookmarkStart w:id="694" w:name="_Toc504633914"/>
      <w:r>
        <w:rPr>
          <w:rFonts w:ascii="Arial" w:hAnsi="Arial" w:eastAsia="宋体"/>
          <w:b/>
          <w:bCs/>
          <w:color w:val="auto"/>
          <w:kern w:val="2"/>
          <w:sz w:val="28"/>
          <w:szCs w:val="32"/>
          <w:lang w:eastAsia="zh-CN" w:bidi="ar-SA"/>
        </w:rPr>
        <w:t>9. 合同价格与支付</w:t>
      </w:r>
      <w:bookmarkEnd w:id="691"/>
      <w:bookmarkEnd w:id="692"/>
      <w:bookmarkEnd w:id="693"/>
      <w:bookmarkEnd w:id="694"/>
    </w:p>
    <w:p w14:paraId="52DC1198">
      <w:pPr>
        <w:keepNext/>
        <w:keepLines/>
        <w:spacing w:line="360" w:lineRule="auto"/>
        <w:jc w:val="both"/>
        <w:outlineLvl w:val="2"/>
        <w:rPr>
          <w:rFonts w:eastAsia="宋体"/>
          <w:b/>
          <w:bCs/>
          <w:color w:val="auto"/>
          <w:kern w:val="2"/>
          <w:szCs w:val="32"/>
          <w:lang w:eastAsia="zh-CN" w:bidi="ar-SA"/>
        </w:rPr>
      </w:pPr>
      <w:bookmarkStart w:id="695" w:name="_Toc492300688"/>
      <w:bookmarkStart w:id="696" w:name="_Toc23838"/>
      <w:bookmarkStart w:id="697" w:name="_Toc482188619"/>
      <w:r>
        <w:rPr>
          <w:rFonts w:eastAsia="宋体"/>
          <w:b/>
          <w:bCs/>
          <w:color w:val="auto"/>
          <w:kern w:val="2"/>
          <w:szCs w:val="32"/>
          <w:lang w:eastAsia="zh-CN" w:bidi="ar-SA"/>
        </w:rPr>
        <w:t xml:space="preserve">9.1 </w:t>
      </w:r>
      <w:r>
        <w:rPr>
          <w:rFonts w:hint="eastAsia" w:eastAsia="宋体"/>
          <w:b/>
          <w:bCs/>
          <w:color w:val="auto"/>
          <w:kern w:val="2"/>
          <w:szCs w:val="32"/>
          <w:lang w:eastAsia="zh-CN" w:bidi="ar-SA"/>
        </w:rPr>
        <w:t>合同价格</w:t>
      </w:r>
      <w:bookmarkEnd w:id="695"/>
      <w:bookmarkEnd w:id="696"/>
      <w:bookmarkEnd w:id="697"/>
    </w:p>
    <w:p w14:paraId="5F9BDC71">
      <w:pPr>
        <w:spacing w:line="360" w:lineRule="auto"/>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9.1.1 本合同的价款确定方式、调整方式和风险范围划分，</w:t>
      </w:r>
      <w:r>
        <w:rPr>
          <w:rFonts w:eastAsia="宋体"/>
          <w:color w:val="auto"/>
          <w:sz w:val="21"/>
          <w:szCs w:val="21"/>
          <w:lang w:eastAsia="zh-CN" w:bidi="ar-SA"/>
        </w:rPr>
        <w:t>在专用合同条款中约定</w:t>
      </w:r>
      <w:r>
        <w:rPr>
          <w:rFonts w:eastAsia="宋体"/>
          <w:color w:val="auto"/>
          <w:kern w:val="2"/>
          <w:sz w:val="21"/>
          <w:szCs w:val="22"/>
          <w:lang w:eastAsia="zh-CN" w:bidi="ar-SA"/>
        </w:rPr>
        <w:t>。</w:t>
      </w:r>
    </w:p>
    <w:p w14:paraId="7964CE4A">
      <w:pPr>
        <w:spacing w:line="360" w:lineRule="auto"/>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9.1.2 除专用合同条款另有约定外，合同价格应当包括收集资料、踏勘现场、制订纲要、实施监理、编制监理文件等全部费用和国家规定的增值税税金。</w:t>
      </w:r>
    </w:p>
    <w:p w14:paraId="2B4AD4A9">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2"/>
          <w:lang w:eastAsia="zh-CN" w:bidi="ar-SA"/>
        </w:rPr>
        <w:t>9.1.3 委托人要求监理人进行外出考察、试验检测、专项咨询或专家评审时，相应费用不含在合同价格之中，由委托人另行支付。</w:t>
      </w:r>
    </w:p>
    <w:p w14:paraId="70CD20E6">
      <w:pPr>
        <w:keepNext/>
        <w:keepLines/>
        <w:spacing w:line="360" w:lineRule="auto"/>
        <w:jc w:val="both"/>
        <w:outlineLvl w:val="2"/>
        <w:rPr>
          <w:rFonts w:eastAsia="宋体"/>
          <w:b/>
          <w:bCs/>
          <w:color w:val="auto"/>
          <w:kern w:val="2"/>
          <w:szCs w:val="32"/>
          <w:lang w:eastAsia="zh-CN" w:bidi="ar-SA"/>
        </w:rPr>
      </w:pPr>
      <w:bookmarkStart w:id="698" w:name="_Toc482188620"/>
      <w:bookmarkStart w:id="699" w:name="_Toc5600"/>
      <w:bookmarkStart w:id="700" w:name="_Toc492300689"/>
      <w:r>
        <w:rPr>
          <w:rFonts w:eastAsia="宋体"/>
          <w:b/>
          <w:bCs/>
          <w:color w:val="auto"/>
          <w:kern w:val="2"/>
          <w:szCs w:val="32"/>
          <w:lang w:eastAsia="zh-CN" w:bidi="ar-SA"/>
        </w:rPr>
        <w:t xml:space="preserve">9.2 </w:t>
      </w:r>
      <w:bookmarkEnd w:id="698"/>
      <w:r>
        <w:rPr>
          <w:rFonts w:hint="eastAsia" w:eastAsia="宋体"/>
          <w:b/>
          <w:bCs/>
          <w:color w:val="auto"/>
          <w:kern w:val="2"/>
          <w:szCs w:val="32"/>
          <w:lang w:eastAsia="zh-CN" w:bidi="ar-SA"/>
        </w:rPr>
        <w:t>预付款</w:t>
      </w:r>
      <w:bookmarkEnd w:id="699"/>
      <w:bookmarkEnd w:id="700"/>
    </w:p>
    <w:p w14:paraId="0873F8AA">
      <w:pPr>
        <w:spacing w:line="360" w:lineRule="auto"/>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9.2.1</w:t>
      </w:r>
      <w:r>
        <w:rPr>
          <w:rFonts w:eastAsia="宋体"/>
          <w:color w:val="auto"/>
          <w:kern w:val="2"/>
          <w:sz w:val="21"/>
          <w:szCs w:val="21"/>
          <w:lang w:eastAsia="zh-CN" w:bidi="ar-SA"/>
        </w:rPr>
        <w:t>预付款应专用于本工程的监理。预付款的额度</w:t>
      </w:r>
      <w:r>
        <w:rPr>
          <w:rFonts w:hint="eastAsia" w:eastAsia="宋体"/>
          <w:color w:val="auto"/>
          <w:kern w:val="2"/>
          <w:sz w:val="21"/>
          <w:szCs w:val="21"/>
          <w:lang w:eastAsia="zh-CN" w:bidi="ar-SA"/>
        </w:rPr>
        <w:t>、</w:t>
      </w:r>
      <w:r>
        <w:rPr>
          <w:rFonts w:eastAsia="宋体"/>
          <w:color w:val="auto"/>
          <w:kern w:val="2"/>
          <w:sz w:val="21"/>
          <w:szCs w:val="21"/>
          <w:lang w:eastAsia="zh-CN" w:bidi="ar-SA"/>
        </w:rPr>
        <w:t>支付方式</w:t>
      </w:r>
      <w:r>
        <w:rPr>
          <w:rFonts w:hint="eastAsia" w:eastAsia="宋体"/>
          <w:color w:val="auto"/>
          <w:kern w:val="2"/>
          <w:sz w:val="21"/>
          <w:szCs w:val="21"/>
          <w:lang w:eastAsia="zh-CN" w:bidi="ar-SA"/>
        </w:rPr>
        <w:t>及抵扣方式</w:t>
      </w:r>
      <w:r>
        <w:rPr>
          <w:rFonts w:eastAsia="宋体"/>
          <w:color w:val="auto"/>
          <w:sz w:val="21"/>
          <w:szCs w:val="21"/>
          <w:lang w:eastAsia="zh-CN" w:bidi="ar-SA"/>
        </w:rPr>
        <w:t>在专用合同条款中约定</w:t>
      </w:r>
      <w:r>
        <w:rPr>
          <w:rFonts w:hint="eastAsia" w:eastAsia="宋体"/>
          <w:color w:val="auto"/>
          <w:sz w:val="21"/>
          <w:szCs w:val="21"/>
          <w:lang w:eastAsia="zh-CN" w:bidi="ar-SA"/>
        </w:rPr>
        <w:t>（本项目不适用）</w:t>
      </w:r>
      <w:r>
        <w:rPr>
          <w:rFonts w:eastAsia="宋体"/>
          <w:color w:val="auto"/>
          <w:kern w:val="2"/>
          <w:sz w:val="21"/>
          <w:szCs w:val="22"/>
          <w:lang w:eastAsia="zh-CN" w:bidi="ar-SA"/>
        </w:rPr>
        <w:t>。</w:t>
      </w:r>
    </w:p>
    <w:p w14:paraId="641754D1">
      <w:pPr>
        <w:spacing w:line="360" w:lineRule="auto"/>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9.2.2 委托人应在收到预付款支付</w:t>
      </w:r>
      <w:r>
        <w:rPr>
          <w:rFonts w:eastAsia="宋体"/>
          <w:color w:val="auto"/>
          <w:kern w:val="2"/>
          <w:sz w:val="21"/>
          <w:szCs w:val="21"/>
          <w:lang w:eastAsia="zh-CN" w:bidi="ar-SA"/>
        </w:rPr>
        <w:t>申请</w:t>
      </w:r>
      <w:r>
        <w:rPr>
          <w:rFonts w:eastAsia="宋体"/>
          <w:color w:val="auto"/>
          <w:kern w:val="2"/>
          <w:sz w:val="21"/>
          <w:szCs w:val="22"/>
          <w:lang w:eastAsia="zh-CN" w:bidi="ar-SA"/>
        </w:rPr>
        <w:t>后28天内，将预付款支付给监理人；监理人应当提供等额的增值税发票。</w:t>
      </w:r>
    </w:p>
    <w:p w14:paraId="6E1DC591">
      <w:pPr>
        <w:keepNext/>
        <w:keepLines/>
        <w:spacing w:line="360" w:lineRule="auto"/>
        <w:jc w:val="both"/>
        <w:outlineLvl w:val="2"/>
        <w:rPr>
          <w:rFonts w:eastAsia="宋体"/>
          <w:b/>
          <w:bCs/>
          <w:color w:val="auto"/>
          <w:kern w:val="2"/>
          <w:szCs w:val="32"/>
          <w:lang w:eastAsia="zh-CN" w:bidi="ar-SA"/>
        </w:rPr>
      </w:pPr>
      <w:bookmarkStart w:id="701" w:name="_Toc492300690"/>
      <w:bookmarkStart w:id="702" w:name="_Toc972"/>
      <w:bookmarkStart w:id="703" w:name="_Toc482188621"/>
      <w:bookmarkStart w:id="704" w:name="_Toc467651035"/>
      <w:r>
        <w:rPr>
          <w:rFonts w:eastAsia="宋体"/>
          <w:b/>
          <w:bCs/>
          <w:color w:val="auto"/>
          <w:kern w:val="2"/>
          <w:szCs w:val="32"/>
          <w:lang w:eastAsia="zh-CN" w:bidi="ar-SA"/>
        </w:rPr>
        <w:t xml:space="preserve">9.3 </w:t>
      </w:r>
      <w:r>
        <w:rPr>
          <w:rFonts w:hint="eastAsia" w:eastAsia="宋体"/>
          <w:b/>
          <w:bCs/>
          <w:color w:val="auto"/>
          <w:kern w:val="2"/>
          <w:szCs w:val="32"/>
          <w:lang w:eastAsia="zh-CN" w:bidi="ar-SA"/>
        </w:rPr>
        <w:t>中期支付</w:t>
      </w:r>
      <w:bookmarkEnd w:id="701"/>
      <w:bookmarkEnd w:id="702"/>
      <w:bookmarkEnd w:id="703"/>
      <w:bookmarkEnd w:id="704"/>
    </w:p>
    <w:p w14:paraId="07313E3F">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2"/>
          <w:lang w:eastAsia="zh-CN" w:bidi="ar-SA"/>
        </w:rPr>
        <w:t>9.3.1</w:t>
      </w:r>
      <w:r>
        <w:rPr>
          <w:rFonts w:eastAsia="宋体"/>
          <w:color w:val="auto"/>
          <w:kern w:val="2"/>
          <w:sz w:val="21"/>
          <w:szCs w:val="21"/>
          <w:lang w:eastAsia="zh-CN" w:bidi="ar-SA"/>
        </w:rPr>
        <w:t xml:space="preserve"> 监理人应按委托人批准或专用合同条款约定的格式及份数，向委托人提交中期支付申请，并附相应的支持性证明文件。</w:t>
      </w:r>
    </w:p>
    <w:p w14:paraId="072DA007">
      <w:pPr>
        <w:spacing w:line="360" w:lineRule="auto"/>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9.3.2 委托人应在收到</w:t>
      </w:r>
      <w:r>
        <w:rPr>
          <w:rFonts w:eastAsia="宋体"/>
          <w:color w:val="auto"/>
          <w:kern w:val="2"/>
          <w:sz w:val="21"/>
          <w:szCs w:val="21"/>
          <w:lang w:eastAsia="zh-CN" w:bidi="ar-SA"/>
        </w:rPr>
        <w:t>中期支付申请</w:t>
      </w:r>
      <w:r>
        <w:rPr>
          <w:rFonts w:eastAsia="宋体"/>
          <w:color w:val="auto"/>
          <w:kern w:val="2"/>
          <w:sz w:val="21"/>
          <w:szCs w:val="22"/>
          <w:lang w:eastAsia="zh-CN" w:bidi="ar-SA"/>
        </w:rPr>
        <w:t>后的28天内，将应付款项支付给监理人；监理人应当提供等额的增值税发票。委托人未能在前述时间内完成审批或不予答复的，视为委托人同意</w:t>
      </w:r>
      <w:r>
        <w:rPr>
          <w:rFonts w:eastAsia="宋体"/>
          <w:color w:val="auto"/>
          <w:kern w:val="2"/>
          <w:sz w:val="21"/>
          <w:szCs w:val="21"/>
          <w:lang w:eastAsia="zh-CN" w:bidi="ar-SA"/>
        </w:rPr>
        <w:t>中期支付申请</w:t>
      </w:r>
      <w:r>
        <w:rPr>
          <w:rFonts w:eastAsia="宋体"/>
          <w:color w:val="auto"/>
          <w:kern w:val="2"/>
          <w:sz w:val="21"/>
          <w:szCs w:val="22"/>
          <w:lang w:eastAsia="zh-CN" w:bidi="ar-SA"/>
        </w:rPr>
        <w:t>。委托人不按期支付的，按专用合同条款的约定支付逾期付款违约金。</w:t>
      </w:r>
    </w:p>
    <w:p w14:paraId="7C60D54D">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2"/>
          <w:lang w:eastAsia="zh-CN" w:bidi="ar-SA"/>
        </w:rPr>
        <w:t xml:space="preserve">9.3.3 </w:t>
      </w:r>
      <w:r>
        <w:rPr>
          <w:rFonts w:eastAsia="宋体"/>
          <w:color w:val="auto"/>
          <w:kern w:val="2"/>
          <w:sz w:val="21"/>
          <w:szCs w:val="21"/>
          <w:lang w:eastAsia="zh-CN" w:bidi="ar-SA"/>
        </w:rPr>
        <w:t>中期支付涉及政府投资资金的，按照国库集中支付等国家相关规定和专用合同条款的约定执行。</w:t>
      </w:r>
    </w:p>
    <w:p w14:paraId="29E3E3FC">
      <w:pPr>
        <w:keepNext/>
        <w:keepLines/>
        <w:spacing w:line="360" w:lineRule="auto"/>
        <w:jc w:val="both"/>
        <w:outlineLvl w:val="2"/>
        <w:rPr>
          <w:rFonts w:eastAsia="宋体"/>
          <w:b/>
          <w:bCs/>
          <w:color w:val="auto"/>
          <w:kern w:val="2"/>
          <w:szCs w:val="32"/>
          <w:lang w:eastAsia="zh-CN" w:bidi="ar-SA"/>
        </w:rPr>
      </w:pPr>
      <w:bookmarkStart w:id="705" w:name="_Toc467651036"/>
      <w:bookmarkStart w:id="706" w:name="_Toc482188622"/>
      <w:bookmarkStart w:id="707" w:name="_Toc25437"/>
      <w:bookmarkStart w:id="708" w:name="_Toc492300691"/>
      <w:r>
        <w:rPr>
          <w:rFonts w:eastAsia="宋体"/>
          <w:b/>
          <w:bCs/>
          <w:color w:val="auto"/>
          <w:kern w:val="2"/>
          <w:szCs w:val="32"/>
          <w:lang w:eastAsia="zh-CN" w:bidi="ar-SA"/>
        </w:rPr>
        <w:t xml:space="preserve">9.4 </w:t>
      </w:r>
      <w:r>
        <w:rPr>
          <w:rFonts w:hint="eastAsia" w:eastAsia="宋体"/>
          <w:b/>
          <w:bCs/>
          <w:color w:val="auto"/>
          <w:kern w:val="2"/>
          <w:szCs w:val="32"/>
          <w:lang w:eastAsia="zh-CN" w:bidi="ar-SA"/>
        </w:rPr>
        <w:t>费用结算</w:t>
      </w:r>
      <w:bookmarkEnd w:id="705"/>
      <w:bookmarkEnd w:id="706"/>
      <w:bookmarkEnd w:id="707"/>
      <w:bookmarkEnd w:id="708"/>
    </w:p>
    <w:p w14:paraId="26ADFB83">
      <w:pPr>
        <w:spacing w:line="360" w:lineRule="auto"/>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9.4.1</w:t>
      </w:r>
      <w:r>
        <w:rPr>
          <w:rFonts w:eastAsia="宋体"/>
          <w:color w:val="auto"/>
          <w:kern w:val="2"/>
          <w:sz w:val="21"/>
          <w:szCs w:val="21"/>
          <w:lang w:eastAsia="zh-CN" w:bidi="ar-SA"/>
        </w:rPr>
        <w:t xml:space="preserve"> 合同工作完成后</w:t>
      </w:r>
      <w:r>
        <w:rPr>
          <w:rFonts w:eastAsia="宋体"/>
          <w:color w:val="auto"/>
          <w:kern w:val="2"/>
          <w:sz w:val="21"/>
          <w:szCs w:val="22"/>
          <w:lang w:eastAsia="zh-CN" w:bidi="ar-SA"/>
        </w:rPr>
        <w:t>，监理人可按专用合同条款约定的份数和期限，向委托人提交监理费用结算申请，并提供相关证明材料。</w:t>
      </w:r>
    </w:p>
    <w:p w14:paraId="7B969692">
      <w:pPr>
        <w:spacing w:line="360" w:lineRule="auto"/>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9.4.2 委托人应在收到费用结算申请后的28天内，将应付款项支付给监理人；监理人应当提供等额的增值税发票。委托人未能在前述时间内完成审批或不予答复的，视为委托人同意费用结算申请。委托人不按期支付的，按专用合同条款的约定支付逾期付款违约金。</w:t>
      </w:r>
    </w:p>
    <w:p w14:paraId="5B1B51E7">
      <w:pPr>
        <w:spacing w:line="360" w:lineRule="auto"/>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9.4.3 委托人对费用结算申请内容有异议的，有权要求监理人进行修正和提供补充资料，由监理人重新提交</w:t>
      </w:r>
      <w:r>
        <w:rPr>
          <w:rFonts w:eastAsia="宋体"/>
          <w:color w:val="auto"/>
          <w:kern w:val="2"/>
          <w:sz w:val="21"/>
          <w:szCs w:val="21"/>
          <w:lang w:eastAsia="zh-CN" w:bidi="ar-SA"/>
        </w:rPr>
        <w:t>。</w:t>
      </w:r>
      <w:r>
        <w:rPr>
          <w:rFonts w:eastAsia="宋体"/>
          <w:color w:val="auto"/>
          <w:kern w:val="2"/>
          <w:sz w:val="21"/>
          <w:szCs w:val="22"/>
          <w:lang w:eastAsia="zh-CN" w:bidi="ar-SA"/>
        </w:rPr>
        <w:t>监理人对此有异议的，按第12条的约定执行。</w:t>
      </w:r>
    </w:p>
    <w:p w14:paraId="4221F64A">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2"/>
          <w:lang w:eastAsia="zh-CN" w:bidi="ar-SA"/>
        </w:rPr>
        <w:t>9.4.4 最终结清</w:t>
      </w:r>
      <w:r>
        <w:rPr>
          <w:rFonts w:eastAsia="宋体"/>
          <w:color w:val="auto"/>
          <w:kern w:val="2"/>
          <w:sz w:val="21"/>
          <w:szCs w:val="21"/>
          <w:lang w:eastAsia="zh-CN" w:bidi="ar-SA"/>
        </w:rPr>
        <w:t>付款涉及政府投资资金的，</w:t>
      </w:r>
      <w:r>
        <w:rPr>
          <w:rFonts w:eastAsia="宋体"/>
          <w:color w:val="auto"/>
          <w:kern w:val="2"/>
          <w:sz w:val="21"/>
          <w:szCs w:val="22"/>
          <w:lang w:eastAsia="zh-CN" w:bidi="ar-SA"/>
        </w:rPr>
        <w:t>按第9.3.3项的</w:t>
      </w:r>
      <w:r>
        <w:rPr>
          <w:rFonts w:eastAsia="宋体"/>
          <w:color w:val="auto"/>
          <w:kern w:val="2"/>
          <w:sz w:val="21"/>
          <w:szCs w:val="21"/>
          <w:lang w:eastAsia="zh-CN" w:bidi="ar-SA"/>
        </w:rPr>
        <w:t>约定执行。</w:t>
      </w:r>
    </w:p>
    <w:p w14:paraId="2BF259E3">
      <w:pPr>
        <w:keepNext/>
        <w:keepLines/>
        <w:spacing w:line="360" w:lineRule="auto"/>
        <w:outlineLvl w:val="1"/>
        <w:rPr>
          <w:rFonts w:ascii="Arial" w:hAnsi="Arial" w:eastAsia="宋体"/>
          <w:b/>
          <w:bCs/>
          <w:color w:val="auto"/>
          <w:kern w:val="2"/>
          <w:sz w:val="28"/>
          <w:szCs w:val="32"/>
          <w:lang w:eastAsia="zh-CN" w:bidi="ar-SA"/>
        </w:rPr>
      </w:pPr>
      <w:bookmarkStart w:id="709" w:name="_Toc13019"/>
      <w:bookmarkStart w:id="710" w:name="_Toc504633915"/>
      <w:bookmarkStart w:id="711" w:name="_Toc492300692"/>
      <w:bookmarkStart w:id="712" w:name="_Toc482188623"/>
      <w:r>
        <w:rPr>
          <w:rFonts w:ascii="Arial" w:hAnsi="Arial" w:eastAsia="宋体"/>
          <w:b/>
          <w:bCs/>
          <w:color w:val="auto"/>
          <w:kern w:val="2"/>
          <w:sz w:val="28"/>
          <w:szCs w:val="32"/>
          <w:lang w:eastAsia="zh-CN" w:bidi="ar-SA"/>
        </w:rPr>
        <w:t>10. 不可抗力</w:t>
      </w:r>
      <w:bookmarkEnd w:id="709"/>
      <w:bookmarkEnd w:id="710"/>
      <w:bookmarkEnd w:id="711"/>
      <w:bookmarkEnd w:id="712"/>
    </w:p>
    <w:p w14:paraId="0B6F2D9D">
      <w:pPr>
        <w:keepNext/>
        <w:keepLines/>
        <w:spacing w:line="360" w:lineRule="auto"/>
        <w:jc w:val="both"/>
        <w:outlineLvl w:val="2"/>
        <w:rPr>
          <w:rFonts w:eastAsia="宋体"/>
          <w:b/>
          <w:bCs/>
          <w:color w:val="auto"/>
          <w:kern w:val="2"/>
          <w:szCs w:val="32"/>
          <w:lang w:eastAsia="zh-CN" w:bidi="ar-SA"/>
        </w:rPr>
      </w:pPr>
      <w:bookmarkStart w:id="713" w:name="_Toc31549"/>
      <w:bookmarkStart w:id="714" w:name="_Toc482188624"/>
      <w:bookmarkStart w:id="715" w:name="_Toc492300693"/>
      <w:r>
        <w:rPr>
          <w:rFonts w:eastAsia="宋体"/>
          <w:b/>
          <w:bCs/>
          <w:color w:val="auto"/>
          <w:kern w:val="2"/>
          <w:szCs w:val="32"/>
          <w:lang w:eastAsia="zh-CN" w:bidi="ar-SA"/>
        </w:rPr>
        <w:t xml:space="preserve">10.1 </w:t>
      </w:r>
      <w:r>
        <w:rPr>
          <w:rFonts w:hint="eastAsia" w:eastAsia="宋体"/>
          <w:b/>
          <w:bCs/>
          <w:color w:val="auto"/>
          <w:kern w:val="2"/>
          <w:szCs w:val="32"/>
          <w:lang w:eastAsia="zh-CN" w:bidi="ar-SA"/>
        </w:rPr>
        <w:t>不可抗力的确认</w:t>
      </w:r>
      <w:bookmarkEnd w:id="713"/>
      <w:bookmarkEnd w:id="714"/>
      <w:bookmarkEnd w:id="715"/>
    </w:p>
    <w:p w14:paraId="433592D6">
      <w:pPr>
        <w:spacing w:line="360" w:lineRule="auto"/>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10.1.1</w:t>
      </w:r>
      <w:r>
        <w:rPr>
          <w:rFonts w:eastAsia="宋体"/>
          <w:color w:val="auto"/>
          <w:kern w:val="2"/>
          <w:sz w:val="21"/>
          <w:szCs w:val="21"/>
          <w:lang w:eastAsia="zh-CN" w:bidi="ar-SA"/>
        </w:rPr>
        <w:t xml:space="preserve"> 不可抗力是指监理人和委托人在订立合同时不可预见，在履行合</w:t>
      </w:r>
      <w:bookmarkStart w:id="716" w:name="_Toc184635118"/>
      <w:bookmarkStart w:id="717" w:name="_Toc300835182"/>
      <w:bookmarkStart w:id="718" w:name="_Toc247527781"/>
      <w:bookmarkStart w:id="719" w:name="_Toc247514180"/>
      <w:r>
        <w:rPr>
          <w:rFonts w:eastAsia="宋体"/>
          <w:color w:val="auto"/>
          <w:kern w:val="2"/>
          <w:sz w:val="21"/>
          <w:szCs w:val="21"/>
          <w:lang w:eastAsia="zh-CN" w:bidi="ar-SA"/>
        </w:rPr>
        <w:t>同过程中不可避免</w:t>
      </w:r>
      <w:bookmarkEnd w:id="716"/>
      <w:bookmarkEnd w:id="717"/>
      <w:bookmarkEnd w:id="718"/>
      <w:bookmarkEnd w:id="719"/>
      <w:r>
        <w:rPr>
          <w:rFonts w:eastAsia="宋体"/>
          <w:color w:val="auto"/>
          <w:kern w:val="2"/>
          <w:sz w:val="21"/>
          <w:szCs w:val="21"/>
          <w:lang w:eastAsia="zh-CN" w:bidi="ar-SA"/>
        </w:rPr>
        <w:t>发</w:t>
      </w:r>
      <w:bookmarkStart w:id="720" w:name="_Toc247514181"/>
      <w:bookmarkStart w:id="721" w:name="_Toc300835183"/>
      <w:bookmarkStart w:id="722" w:name="_Toc247527782"/>
      <w:r>
        <w:rPr>
          <w:rFonts w:eastAsia="宋体"/>
          <w:color w:val="auto"/>
          <w:kern w:val="2"/>
          <w:sz w:val="21"/>
          <w:szCs w:val="21"/>
          <w:lang w:eastAsia="zh-CN" w:bidi="ar-SA"/>
        </w:rPr>
        <w:t>生并不能克服的自然灾害和</w:t>
      </w:r>
      <w:bookmarkEnd w:id="720"/>
      <w:bookmarkEnd w:id="721"/>
      <w:bookmarkEnd w:id="722"/>
      <w:r>
        <w:rPr>
          <w:rFonts w:eastAsia="宋体"/>
          <w:color w:val="auto"/>
          <w:kern w:val="2"/>
          <w:sz w:val="21"/>
          <w:szCs w:val="21"/>
          <w:lang w:eastAsia="zh-CN" w:bidi="ar-SA"/>
        </w:rPr>
        <w:t>社会性突发事件，如地震、海啸、瘟疫、水灾、骚乱、暴动、战争和专用合同条款约定的其</w:t>
      </w:r>
      <w:r>
        <w:rPr>
          <w:rFonts w:eastAsia="宋体"/>
          <w:color w:val="auto"/>
          <w:kern w:val="2"/>
          <w:sz w:val="21"/>
          <w:szCs w:val="22"/>
          <w:lang w:eastAsia="zh-CN" w:bidi="ar-SA"/>
        </w:rPr>
        <w:t>他情形。</w:t>
      </w:r>
    </w:p>
    <w:p w14:paraId="794EFB6C">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2"/>
          <w:lang w:eastAsia="zh-CN" w:bidi="ar-SA"/>
        </w:rPr>
        <w:t>10.1.2</w:t>
      </w:r>
      <w:r>
        <w:rPr>
          <w:rFonts w:eastAsia="宋体"/>
          <w:color w:val="auto"/>
          <w:kern w:val="2"/>
          <w:sz w:val="21"/>
          <w:szCs w:val="21"/>
          <w:lang w:eastAsia="zh-CN" w:bidi="ar-SA"/>
        </w:rPr>
        <w:t xml:space="preserve"> 不可抗力发生后，委托人和监理人应及时认真统计所造成的损失，收集不可抗力造成损失的证据。合同双方对是否属于不可抗力或其损失的意见不一致的，由合同双方协商确定。</w:t>
      </w:r>
    </w:p>
    <w:p w14:paraId="66105CB6">
      <w:pPr>
        <w:keepNext/>
        <w:keepLines/>
        <w:spacing w:line="360" w:lineRule="auto"/>
        <w:jc w:val="both"/>
        <w:outlineLvl w:val="2"/>
        <w:rPr>
          <w:rFonts w:eastAsia="宋体"/>
          <w:b/>
          <w:bCs/>
          <w:color w:val="auto"/>
          <w:kern w:val="2"/>
          <w:szCs w:val="32"/>
          <w:lang w:eastAsia="zh-CN" w:bidi="ar-SA"/>
        </w:rPr>
      </w:pPr>
      <w:bookmarkStart w:id="723" w:name="_Toc482188625"/>
      <w:bookmarkStart w:id="724" w:name="_Toc14646"/>
      <w:bookmarkStart w:id="725" w:name="_Toc492300694"/>
      <w:r>
        <w:rPr>
          <w:rFonts w:eastAsia="宋体"/>
          <w:b/>
          <w:bCs/>
          <w:color w:val="auto"/>
          <w:kern w:val="2"/>
          <w:szCs w:val="32"/>
          <w:lang w:eastAsia="zh-CN" w:bidi="ar-SA"/>
        </w:rPr>
        <w:t xml:space="preserve">10.2 </w:t>
      </w:r>
      <w:r>
        <w:rPr>
          <w:rFonts w:hint="eastAsia" w:eastAsia="宋体"/>
          <w:b/>
          <w:bCs/>
          <w:color w:val="auto"/>
          <w:kern w:val="2"/>
          <w:szCs w:val="32"/>
          <w:lang w:eastAsia="zh-CN" w:bidi="ar-SA"/>
        </w:rPr>
        <w:t>不可抗力的通知</w:t>
      </w:r>
      <w:bookmarkEnd w:id="723"/>
      <w:bookmarkEnd w:id="724"/>
      <w:bookmarkEnd w:id="725"/>
    </w:p>
    <w:p w14:paraId="1CC1A356">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2"/>
          <w:lang w:eastAsia="zh-CN" w:bidi="ar-SA"/>
        </w:rPr>
        <w:t>10.2.1</w:t>
      </w:r>
      <w:r>
        <w:rPr>
          <w:rFonts w:eastAsia="宋体"/>
          <w:color w:val="auto"/>
          <w:kern w:val="2"/>
          <w:sz w:val="21"/>
          <w:szCs w:val="21"/>
          <w:lang w:eastAsia="zh-CN" w:bidi="ar-SA"/>
        </w:rPr>
        <w:t xml:space="preserve"> 合同一方当事人遇到不可抗力事件，使其履行合同义务受到阻碍时，应立即通知合同</w:t>
      </w:r>
      <w:bookmarkStart w:id="726" w:name="_Toc247514182"/>
      <w:bookmarkStart w:id="727" w:name="_Toc247527783"/>
      <w:bookmarkStart w:id="728" w:name="_Toc300835184"/>
      <w:r>
        <w:rPr>
          <w:rFonts w:eastAsia="宋体"/>
          <w:color w:val="auto"/>
          <w:kern w:val="2"/>
          <w:sz w:val="21"/>
          <w:szCs w:val="21"/>
          <w:lang w:eastAsia="zh-CN" w:bidi="ar-SA"/>
        </w:rPr>
        <w:t>另一方当事人，书面说明不</w:t>
      </w:r>
      <w:bookmarkEnd w:id="726"/>
      <w:bookmarkEnd w:id="727"/>
      <w:bookmarkEnd w:id="728"/>
      <w:r>
        <w:rPr>
          <w:rFonts w:eastAsia="宋体"/>
          <w:color w:val="auto"/>
          <w:kern w:val="2"/>
          <w:sz w:val="21"/>
          <w:szCs w:val="21"/>
          <w:lang w:eastAsia="zh-CN" w:bidi="ar-SA"/>
        </w:rPr>
        <w:t>可抗力和受阻碍的详细情况，并提供必要的证明。</w:t>
      </w:r>
    </w:p>
    <w:p w14:paraId="4BA3DF53">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2"/>
          <w:lang w:eastAsia="zh-CN" w:bidi="ar-SA"/>
        </w:rPr>
        <w:t xml:space="preserve">10.2.2 </w:t>
      </w:r>
      <w:r>
        <w:rPr>
          <w:rFonts w:eastAsia="宋体"/>
          <w:color w:val="auto"/>
          <w:kern w:val="2"/>
          <w:sz w:val="21"/>
          <w:szCs w:val="21"/>
          <w:lang w:eastAsia="zh-CN" w:bidi="ar-SA"/>
        </w:rPr>
        <w:t>如不可抗力持续发生，合同一方当事人应及时向合同另一方当事人提交中间报告，说明不可抗力和履行合同受阻的情况，并于不可抗力事件结束后28天内提交最终报告及有关资料。</w:t>
      </w:r>
    </w:p>
    <w:p w14:paraId="68BB5F1F">
      <w:pPr>
        <w:keepNext/>
        <w:keepLines/>
        <w:spacing w:line="360" w:lineRule="auto"/>
        <w:jc w:val="both"/>
        <w:outlineLvl w:val="2"/>
        <w:rPr>
          <w:rFonts w:eastAsia="宋体"/>
          <w:b/>
          <w:bCs/>
          <w:color w:val="auto"/>
          <w:kern w:val="2"/>
          <w:szCs w:val="32"/>
          <w:lang w:eastAsia="zh-CN" w:bidi="ar-SA"/>
        </w:rPr>
      </w:pPr>
      <w:bookmarkStart w:id="729" w:name="_Toc482188626"/>
      <w:bookmarkStart w:id="730" w:name="_Toc492300695"/>
      <w:bookmarkStart w:id="731" w:name="_Toc18144"/>
      <w:r>
        <w:rPr>
          <w:rFonts w:eastAsia="宋体"/>
          <w:b/>
          <w:bCs/>
          <w:color w:val="auto"/>
          <w:kern w:val="2"/>
          <w:szCs w:val="32"/>
          <w:lang w:eastAsia="zh-CN" w:bidi="ar-SA"/>
        </w:rPr>
        <w:t xml:space="preserve">10.3 </w:t>
      </w:r>
      <w:r>
        <w:rPr>
          <w:rFonts w:hint="eastAsia" w:eastAsia="宋体"/>
          <w:b/>
          <w:bCs/>
          <w:color w:val="auto"/>
          <w:kern w:val="2"/>
          <w:szCs w:val="32"/>
          <w:lang w:eastAsia="zh-CN" w:bidi="ar-SA"/>
        </w:rPr>
        <w:t>不可抗力后果及其处理</w:t>
      </w:r>
      <w:bookmarkEnd w:id="729"/>
      <w:bookmarkEnd w:id="730"/>
      <w:bookmarkEnd w:id="731"/>
    </w:p>
    <w:p w14:paraId="773D1EA5">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10.3.1 不可抗力引起的后果及其损失，应由合同当事人依据法律规定各自承担。不可抗力发生前已完成的监理工作，应当按照合同约定进行支付。</w:t>
      </w:r>
    </w:p>
    <w:p w14:paraId="7ECD9FD7">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10.3.2 不可抗力发生后，合同当事人应当采取有效措施避免损失进一步扩大，如未采取有效措施致使损失扩大的，应当自行承担扩大部分的损失。</w:t>
      </w:r>
    </w:p>
    <w:p w14:paraId="3179FDB5">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10.3.3 因一方当事人迟延履行合同义务，致使迟延履行期间遭遇不可抗力的，应由该当事人承担全部损失。</w:t>
      </w:r>
    </w:p>
    <w:p w14:paraId="3006D34F">
      <w:pPr>
        <w:keepNext/>
        <w:keepLines/>
        <w:spacing w:line="360" w:lineRule="auto"/>
        <w:outlineLvl w:val="1"/>
        <w:rPr>
          <w:rFonts w:ascii="Arial" w:hAnsi="Arial" w:eastAsia="宋体"/>
          <w:b/>
          <w:bCs/>
          <w:color w:val="auto"/>
          <w:kern w:val="2"/>
          <w:sz w:val="28"/>
          <w:szCs w:val="32"/>
          <w:lang w:eastAsia="zh-CN" w:bidi="ar-SA"/>
        </w:rPr>
      </w:pPr>
      <w:bookmarkStart w:id="732" w:name="_Toc482188627"/>
      <w:bookmarkStart w:id="733" w:name="_Toc504633916"/>
      <w:bookmarkStart w:id="734" w:name="_Toc492300696"/>
      <w:bookmarkStart w:id="735" w:name="_Toc24660"/>
      <w:r>
        <w:rPr>
          <w:rFonts w:ascii="Arial" w:hAnsi="Arial" w:eastAsia="宋体"/>
          <w:b/>
          <w:bCs/>
          <w:color w:val="auto"/>
          <w:kern w:val="2"/>
          <w:sz w:val="28"/>
          <w:szCs w:val="32"/>
          <w:lang w:eastAsia="zh-CN" w:bidi="ar-SA"/>
        </w:rPr>
        <w:t>11. 违约</w:t>
      </w:r>
      <w:bookmarkEnd w:id="732"/>
      <w:bookmarkEnd w:id="733"/>
      <w:bookmarkEnd w:id="734"/>
      <w:bookmarkEnd w:id="735"/>
    </w:p>
    <w:p w14:paraId="10E54D47">
      <w:pPr>
        <w:keepNext/>
        <w:keepLines/>
        <w:spacing w:line="360" w:lineRule="auto"/>
        <w:jc w:val="both"/>
        <w:outlineLvl w:val="2"/>
        <w:rPr>
          <w:rFonts w:eastAsia="宋体"/>
          <w:b/>
          <w:bCs/>
          <w:color w:val="auto"/>
          <w:kern w:val="2"/>
          <w:szCs w:val="32"/>
          <w:lang w:eastAsia="zh-CN" w:bidi="ar-SA"/>
        </w:rPr>
      </w:pPr>
      <w:bookmarkStart w:id="736" w:name="_Toc492300697"/>
      <w:bookmarkStart w:id="737" w:name="_Toc16655"/>
      <w:bookmarkStart w:id="738" w:name="_Toc482188628"/>
      <w:r>
        <w:rPr>
          <w:rFonts w:eastAsia="宋体"/>
          <w:b/>
          <w:bCs/>
          <w:color w:val="auto"/>
          <w:kern w:val="2"/>
          <w:szCs w:val="32"/>
          <w:lang w:eastAsia="zh-CN" w:bidi="ar-SA"/>
        </w:rPr>
        <w:t xml:space="preserve">11.1 </w:t>
      </w:r>
      <w:r>
        <w:rPr>
          <w:rFonts w:hint="eastAsia" w:eastAsia="宋体"/>
          <w:b/>
          <w:bCs/>
          <w:color w:val="auto"/>
          <w:kern w:val="2"/>
          <w:szCs w:val="32"/>
          <w:lang w:eastAsia="zh-CN" w:bidi="ar-SA"/>
        </w:rPr>
        <w:t>监理人违约</w:t>
      </w:r>
      <w:bookmarkEnd w:id="736"/>
      <w:bookmarkEnd w:id="737"/>
      <w:bookmarkEnd w:id="738"/>
    </w:p>
    <w:p w14:paraId="47D24C86">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2"/>
          <w:lang w:eastAsia="zh-CN" w:bidi="ar-SA"/>
        </w:rPr>
        <w:t>11.1.1</w:t>
      </w:r>
      <w:r>
        <w:rPr>
          <w:rFonts w:eastAsia="宋体"/>
          <w:color w:val="auto"/>
          <w:kern w:val="2"/>
          <w:sz w:val="21"/>
          <w:szCs w:val="21"/>
          <w:lang w:eastAsia="zh-CN" w:bidi="ar-SA"/>
        </w:rPr>
        <w:t>合同履行中发生下列情况之一的，属监理人违约：</w:t>
      </w:r>
    </w:p>
    <w:p w14:paraId="69CE7F34">
      <w:pPr>
        <w:spacing w:line="360" w:lineRule="auto"/>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（1）监理文件不符合规范标准以及合同约定；</w:t>
      </w:r>
    </w:p>
    <w:p w14:paraId="31F2D585">
      <w:pPr>
        <w:spacing w:line="360" w:lineRule="auto"/>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（2）监理人转让监理工作；</w:t>
      </w:r>
    </w:p>
    <w:p w14:paraId="4BF60ACF">
      <w:pPr>
        <w:spacing w:line="360" w:lineRule="auto"/>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（3）监理人未按合同约定实施监理并造成工程损失；</w:t>
      </w:r>
    </w:p>
    <w:p w14:paraId="39098995">
      <w:pPr>
        <w:spacing w:line="360" w:lineRule="auto"/>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（4）监理人无法履行或停止履行合同；</w:t>
      </w:r>
    </w:p>
    <w:p w14:paraId="3DEFDF90">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2"/>
          <w:lang w:eastAsia="zh-CN" w:bidi="ar-SA"/>
        </w:rPr>
        <w:t>（5）监理人</w:t>
      </w:r>
      <w:r>
        <w:rPr>
          <w:rFonts w:eastAsia="宋体"/>
          <w:color w:val="auto"/>
          <w:kern w:val="2"/>
          <w:sz w:val="21"/>
          <w:szCs w:val="21"/>
          <w:lang w:eastAsia="zh-CN" w:bidi="ar-SA"/>
        </w:rPr>
        <w:t>不履行合同约定的其他义务。</w:t>
      </w:r>
    </w:p>
    <w:p w14:paraId="36606743">
      <w:pPr>
        <w:spacing w:line="360" w:lineRule="auto"/>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11.1.2</w:t>
      </w:r>
      <w:r>
        <w:rPr>
          <w:rFonts w:eastAsia="宋体"/>
          <w:color w:val="auto"/>
          <w:kern w:val="2"/>
          <w:sz w:val="21"/>
          <w:szCs w:val="21"/>
          <w:lang w:eastAsia="zh-CN" w:bidi="ar-SA"/>
        </w:rPr>
        <w:t xml:space="preserve"> </w:t>
      </w:r>
      <w:r>
        <w:rPr>
          <w:rFonts w:eastAsia="宋体"/>
          <w:color w:val="auto"/>
          <w:kern w:val="2"/>
          <w:sz w:val="21"/>
          <w:szCs w:val="22"/>
          <w:lang w:eastAsia="zh-CN" w:bidi="ar-SA"/>
        </w:rPr>
        <w:t>监理人发生违约情况时，委托人可向监理人发出整改通知，要求其在限定期限内纠正；逾期仍不纠正的，</w:t>
      </w:r>
      <w:r>
        <w:rPr>
          <w:rFonts w:eastAsia="宋体"/>
          <w:color w:val="auto"/>
          <w:kern w:val="2"/>
          <w:sz w:val="21"/>
          <w:szCs w:val="21"/>
          <w:lang w:eastAsia="zh-CN" w:bidi="ar-SA"/>
        </w:rPr>
        <w:t>委托人有权解除合同并向监理人发出解除合同通知。</w:t>
      </w:r>
      <w:r>
        <w:rPr>
          <w:rFonts w:eastAsia="宋体"/>
          <w:color w:val="auto"/>
          <w:kern w:val="2"/>
          <w:sz w:val="21"/>
          <w:szCs w:val="22"/>
          <w:lang w:eastAsia="zh-CN" w:bidi="ar-SA"/>
        </w:rPr>
        <w:t>监理人应当承担由于违约所造成的费用增加、周期延误和委托人损失等。</w:t>
      </w:r>
    </w:p>
    <w:p w14:paraId="2B6647EA">
      <w:pPr>
        <w:keepNext/>
        <w:keepLines/>
        <w:spacing w:line="360" w:lineRule="auto"/>
        <w:jc w:val="both"/>
        <w:outlineLvl w:val="2"/>
        <w:rPr>
          <w:rFonts w:eastAsia="宋体"/>
          <w:b/>
          <w:bCs/>
          <w:color w:val="auto"/>
          <w:kern w:val="2"/>
          <w:szCs w:val="32"/>
          <w:lang w:eastAsia="zh-CN" w:bidi="ar-SA"/>
        </w:rPr>
      </w:pPr>
      <w:bookmarkStart w:id="739" w:name="_Toc482188629"/>
      <w:bookmarkStart w:id="740" w:name="_Toc492300698"/>
      <w:bookmarkStart w:id="741" w:name="_Toc31300"/>
      <w:r>
        <w:rPr>
          <w:rFonts w:eastAsia="宋体"/>
          <w:b/>
          <w:bCs/>
          <w:color w:val="auto"/>
          <w:kern w:val="2"/>
          <w:szCs w:val="32"/>
          <w:lang w:eastAsia="zh-CN" w:bidi="ar-SA"/>
        </w:rPr>
        <w:t xml:space="preserve">11.2 </w:t>
      </w:r>
      <w:r>
        <w:rPr>
          <w:rFonts w:hint="eastAsia" w:eastAsia="宋体"/>
          <w:b/>
          <w:bCs/>
          <w:color w:val="auto"/>
          <w:kern w:val="2"/>
          <w:szCs w:val="32"/>
          <w:lang w:eastAsia="zh-CN" w:bidi="ar-SA"/>
        </w:rPr>
        <w:t>委托人违约</w:t>
      </w:r>
      <w:bookmarkEnd w:id="739"/>
      <w:bookmarkEnd w:id="740"/>
      <w:bookmarkEnd w:id="741"/>
    </w:p>
    <w:p w14:paraId="0DE195EE">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2"/>
          <w:lang w:eastAsia="zh-CN" w:bidi="ar-SA"/>
        </w:rPr>
        <w:t>11.2.1</w:t>
      </w:r>
      <w:r>
        <w:rPr>
          <w:rFonts w:eastAsia="宋体"/>
          <w:color w:val="auto"/>
          <w:kern w:val="2"/>
          <w:sz w:val="21"/>
          <w:szCs w:val="21"/>
          <w:lang w:eastAsia="zh-CN" w:bidi="ar-SA"/>
        </w:rPr>
        <w:t>合同履行中发生下列情况之一的，属委托人违约：</w:t>
      </w:r>
    </w:p>
    <w:p w14:paraId="22418E99">
      <w:pPr>
        <w:spacing w:line="360" w:lineRule="auto"/>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（1）</w:t>
      </w:r>
      <w:bookmarkStart w:id="742" w:name="_Toc247527787"/>
      <w:bookmarkStart w:id="743" w:name="_Toc247514186"/>
      <w:bookmarkStart w:id="744" w:name="_Toc300835188"/>
      <w:r>
        <w:rPr>
          <w:rFonts w:eastAsia="宋体"/>
          <w:color w:val="auto"/>
          <w:kern w:val="2"/>
          <w:sz w:val="21"/>
          <w:szCs w:val="22"/>
          <w:lang w:eastAsia="zh-CN" w:bidi="ar-SA"/>
        </w:rPr>
        <w:t>委托人未按合同约定支</w:t>
      </w:r>
      <w:bookmarkEnd w:id="742"/>
      <w:bookmarkEnd w:id="743"/>
      <w:bookmarkEnd w:id="744"/>
      <w:r>
        <w:rPr>
          <w:rFonts w:eastAsia="宋体"/>
          <w:color w:val="auto"/>
          <w:kern w:val="2"/>
          <w:sz w:val="21"/>
          <w:szCs w:val="22"/>
          <w:lang w:eastAsia="zh-CN" w:bidi="ar-SA"/>
        </w:rPr>
        <w:t>付监理报酬；</w:t>
      </w:r>
    </w:p>
    <w:p w14:paraId="480853D4">
      <w:pPr>
        <w:spacing w:line="360" w:lineRule="auto"/>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（2）委托人原因造成监理停止；</w:t>
      </w:r>
    </w:p>
    <w:p w14:paraId="0284DA77">
      <w:pPr>
        <w:spacing w:line="360" w:lineRule="auto"/>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（3）委托人无法履行或停止履行合同；</w:t>
      </w:r>
    </w:p>
    <w:p w14:paraId="3DBDB0AB">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2"/>
          <w:lang w:eastAsia="zh-CN" w:bidi="ar-SA"/>
        </w:rPr>
        <w:t>（4）委托人不履</w:t>
      </w:r>
      <w:r>
        <w:rPr>
          <w:rFonts w:eastAsia="宋体"/>
          <w:color w:val="auto"/>
          <w:kern w:val="2"/>
          <w:sz w:val="21"/>
          <w:szCs w:val="21"/>
          <w:lang w:eastAsia="zh-CN" w:bidi="ar-SA"/>
        </w:rPr>
        <w:t>行合同约定的其他义务。</w:t>
      </w:r>
    </w:p>
    <w:p w14:paraId="312F54C2">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2"/>
          <w:lang w:eastAsia="zh-CN" w:bidi="ar-SA"/>
        </w:rPr>
        <w:t>11.2.2委托人发生违约情况时，监理人可向委托人发出暂停监理通知，要求其在限定期限内纠正；逾期仍不纠正的，</w:t>
      </w:r>
      <w:r>
        <w:rPr>
          <w:rFonts w:eastAsia="宋体"/>
          <w:color w:val="auto"/>
          <w:kern w:val="2"/>
          <w:sz w:val="21"/>
          <w:szCs w:val="21"/>
          <w:lang w:eastAsia="zh-CN" w:bidi="ar-SA"/>
        </w:rPr>
        <w:t>监理人有权解除合同并向委托人发出解除合同通知。</w:t>
      </w:r>
      <w:r>
        <w:rPr>
          <w:rFonts w:eastAsia="宋体"/>
          <w:color w:val="auto"/>
          <w:kern w:val="2"/>
          <w:sz w:val="21"/>
          <w:szCs w:val="22"/>
          <w:lang w:eastAsia="zh-CN" w:bidi="ar-SA"/>
        </w:rPr>
        <w:t>委托人应当承担由于违约所造成的费用增加、周期延误和监理人损失等。</w:t>
      </w:r>
    </w:p>
    <w:p w14:paraId="7FD36FA3">
      <w:pPr>
        <w:keepNext/>
        <w:keepLines/>
        <w:spacing w:line="360" w:lineRule="auto"/>
        <w:jc w:val="both"/>
        <w:outlineLvl w:val="2"/>
        <w:rPr>
          <w:rFonts w:eastAsia="宋体"/>
          <w:b/>
          <w:bCs/>
          <w:color w:val="auto"/>
          <w:kern w:val="2"/>
          <w:szCs w:val="32"/>
          <w:lang w:eastAsia="zh-CN" w:bidi="ar-SA"/>
        </w:rPr>
      </w:pPr>
      <w:bookmarkStart w:id="745" w:name="_Toc492300699"/>
      <w:bookmarkStart w:id="746" w:name="_Toc21606"/>
      <w:bookmarkStart w:id="747" w:name="_Toc482188630"/>
      <w:r>
        <w:rPr>
          <w:rFonts w:eastAsia="宋体"/>
          <w:b/>
          <w:bCs/>
          <w:color w:val="auto"/>
          <w:kern w:val="2"/>
          <w:szCs w:val="32"/>
          <w:lang w:eastAsia="zh-CN" w:bidi="ar-SA"/>
        </w:rPr>
        <w:t xml:space="preserve">11.3 </w:t>
      </w:r>
      <w:r>
        <w:rPr>
          <w:rFonts w:hint="eastAsia" w:eastAsia="宋体"/>
          <w:b/>
          <w:bCs/>
          <w:color w:val="auto"/>
          <w:kern w:val="2"/>
          <w:szCs w:val="32"/>
          <w:lang w:eastAsia="zh-CN" w:bidi="ar-SA"/>
        </w:rPr>
        <w:t>第三人造成的违约</w:t>
      </w:r>
      <w:bookmarkEnd w:id="745"/>
      <w:bookmarkEnd w:id="746"/>
      <w:bookmarkEnd w:id="747"/>
    </w:p>
    <w:p w14:paraId="6D6EC642">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在履行合同过程中，一方当事人因第三人的原因造成违约的，应当向对方当事人承担违约责任。一</w:t>
      </w:r>
      <w:bookmarkStart w:id="748" w:name="_Toc247514187"/>
      <w:bookmarkStart w:id="749" w:name="_Toc247527788"/>
      <w:bookmarkStart w:id="750" w:name="_Toc300835189"/>
      <w:r>
        <w:rPr>
          <w:rFonts w:eastAsia="宋体"/>
          <w:color w:val="auto"/>
          <w:kern w:val="2"/>
          <w:sz w:val="21"/>
          <w:szCs w:val="21"/>
          <w:lang w:eastAsia="zh-CN" w:bidi="ar-SA"/>
        </w:rPr>
        <w:t>方当事人和第三人之间的纠纷</w:t>
      </w:r>
      <w:bookmarkEnd w:id="748"/>
      <w:bookmarkEnd w:id="749"/>
      <w:bookmarkEnd w:id="750"/>
      <w:r>
        <w:rPr>
          <w:rFonts w:eastAsia="宋体"/>
          <w:color w:val="auto"/>
          <w:kern w:val="2"/>
          <w:sz w:val="21"/>
          <w:szCs w:val="21"/>
          <w:lang w:eastAsia="zh-CN" w:bidi="ar-SA"/>
        </w:rPr>
        <w:t>，依照法律规定或者按照约定解决。</w:t>
      </w:r>
    </w:p>
    <w:p w14:paraId="4DB8D088">
      <w:pPr>
        <w:keepNext/>
        <w:keepLines/>
        <w:spacing w:line="360" w:lineRule="auto"/>
        <w:outlineLvl w:val="1"/>
        <w:rPr>
          <w:rFonts w:ascii="Arial" w:hAnsi="Arial" w:eastAsia="宋体"/>
          <w:b/>
          <w:bCs/>
          <w:color w:val="auto"/>
          <w:kern w:val="2"/>
          <w:sz w:val="28"/>
          <w:szCs w:val="32"/>
          <w:lang w:eastAsia="zh-CN" w:bidi="ar-SA"/>
        </w:rPr>
      </w:pPr>
      <w:bookmarkStart w:id="751" w:name="_Toc482188631"/>
      <w:bookmarkStart w:id="752" w:name="_Toc11505"/>
      <w:bookmarkStart w:id="753" w:name="_Toc504633917"/>
      <w:bookmarkStart w:id="754" w:name="_Toc492300700"/>
      <w:r>
        <w:rPr>
          <w:rFonts w:ascii="Arial" w:hAnsi="Arial" w:eastAsia="宋体"/>
          <w:b/>
          <w:bCs/>
          <w:color w:val="auto"/>
          <w:kern w:val="2"/>
          <w:sz w:val="28"/>
          <w:szCs w:val="32"/>
          <w:lang w:eastAsia="zh-CN" w:bidi="ar-SA"/>
        </w:rPr>
        <w:t>12. 争议的解决</w:t>
      </w:r>
      <w:bookmarkEnd w:id="751"/>
      <w:bookmarkEnd w:id="752"/>
      <w:bookmarkEnd w:id="753"/>
      <w:bookmarkEnd w:id="754"/>
    </w:p>
    <w:p w14:paraId="4624C34E">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委托人和监理人在履行合同中发生争议的，可以友好协商解决</w:t>
      </w:r>
      <w:bookmarkStart w:id="755" w:name="_Toc184635121"/>
      <w:bookmarkStart w:id="756" w:name="_Toc247527794"/>
      <w:bookmarkStart w:id="757" w:name="_Toc300835195"/>
      <w:bookmarkStart w:id="758" w:name="_Toc247514193"/>
      <w:r>
        <w:rPr>
          <w:rFonts w:eastAsia="宋体"/>
          <w:color w:val="auto"/>
          <w:kern w:val="2"/>
          <w:sz w:val="21"/>
          <w:szCs w:val="21"/>
          <w:lang w:eastAsia="zh-CN" w:bidi="ar-SA"/>
        </w:rPr>
        <w:t>。合同当事</w:t>
      </w:r>
      <w:bookmarkEnd w:id="755"/>
      <w:bookmarkEnd w:id="756"/>
      <w:bookmarkEnd w:id="757"/>
      <w:bookmarkEnd w:id="758"/>
      <w:r>
        <w:rPr>
          <w:rFonts w:eastAsia="宋体"/>
          <w:color w:val="auto"/>
          <w:kern w:val="2"/>
          <w:sz w:val="21"/>
          <w:szCs w:val="21"/>
          <w:lang w:eastAsia="zh-CN" w:bidi="ar-SA"/>
        </w:rPr>
        <w:t>人</w:t>
      </w:r>
      <w:bookmarkStart w:id="759" w:name="_Toc247527795"/>
      <w:bookmarkStart w:id="760" w:name="_Toc300835196"/>
      <w:bookmarkStart w:id="761" w:name="_Toc247514194"/>
      <w:r>
        <w:rPr>
          <w:rFonts w:eastAsia="宋体"/>
          <w:color w:val="auto"/>
          <w:kern w:val="2"/>
          <w:sz w:val="21"/>
          <w:szCs w:val="21"/>
          <w:lang w:eastAsia="zh-CN" w:bidi="ar-SA"/>
        </w:rPr>
        <w:t>友好协商解决不成</w:t>
      </w:r>
      <w:bookmarkEnd w:id="759"/>
      <w:bookmarkEnd w:id="760"/>
      <w:bookmarkEnd w:id="761"/>
      <w:r>
        <w:rPr>
          <w:rFonts w:eastAsia="宋体"/>
          <w:color w:val="auto"/>
          <w:kern w:val="2"/>
          <w:sz w:val="21"/>
          <w:szCs w:val="21"/>
          <w:lang w:eastAsia="zh-CN" w:bidi="ar-SA"/>
        </w:rPr>
        <w:t>的，可在专用合同条款中约定下列一种方式解决：</w:t>
      </w:r>
    </w:p>
    <w:p w14:paraId="0B654F45">
      <w:pPr>
        <w:spacing w:line="360" w:lineRule="auto"/>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（1）向约定的仲裁委员会申请仲裁；</w:t>
      </w:r>
    </w:p>
    <w:p w14:paraId="489ECBEE">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2"/>
          <w:lang w:eastAsia="zh-CN" w:bidi="ar-SA"/>
        </w:rPr>
        <w:t>（2）向有管</w:t>
      </w:r>
      <w:r>
        <w:rPr>
          <w:rFonts w:eastAsia="宋体"/>
          <w:color w:val="auto"/>
          <w:kern w:val="2"/>
          <w:sz w:val="21"/>
          <w:szCs w:val="21"/>
          <w:lang w:eastAsia="zh-CN" w:bidi="ar-SA"/>
        </w:rPr>
        <w:t>辖权的人民法院提起诉讼。</w:t>
      </w:r>
    </w:p>
    <w:p w14:paraId="79E23C1F">
      <w:pPr>
        <w:widowControl/>
        <w:rPr>
          <w:rFonts w:eastAsia="宋体"/>
          <w:color w:val="auto"/>
          <w:kern w:val="2"/>
          <w:sz w:val="21"/>
          <w:szCs w:val="21"/>
          <w:lang w:eastAsia="zh-CN" w:bidi="ar-SA"/>
        </w:rPr>
        <w:sectPr>
          <w:pgSz w:w="11906" w:h="16838"/>
          <w:pgMar w:top="1418" w:right="1588" w:bottom="1418" w:left="1588" w:header="680" w:footer="992" w:gutter="0"/>
          <w:cols w:space="720" w:num="1"/>
          <w:docGrid w:linePitch="312" w:charSpace="0"/>
        </w:sectPr>
      </w:pPr>
      <w:r>
        <w:rPr>
          <w:rFonts w:eastAsia="宋体"/>
          <w:color w:val="auto"/>
          <w:kern w:val="2"/>
          <w:sz w:val="21"/>
          <w:szCs w:val="21"/>
          <w:lang w:eastAsia="zh-CN" w:bidi="ar-SA"/>
        </w:rPr>
        <w:br w:type="page"/>
      </w:r>
    </w:p>
    <w:p w14:paraId="7C28AE3E">
      <w:pPr>
        <w:widowControl/>
        <w:rPr>
          <w:rFonts w:eastAsia="宋体"/>
          <w:color w:val="auto"/>
          <w:kern w:val="2"/>
          <w:sz w:val="21"/>
          <w:szCs w:val="21"/>
          <w:lang w:eastAsia="zh-CN" w:bidi="ar-SA"/>
        </w:rPr>
      </w:pPr>
    </w:p>
    <w:p w14:paraId="3FB18107">
      <w:pPr>
        <w:pStyle w:val="5"/>
        <w:outlineLvl w:val="1"/>
        <w:rPr>
          <w:rFonts w:eastAsia="宋体" w:cs="宋体"/>
          <w:bCs/>
          <w:color w:val="auto"/>
          <w:spacing w:val="-10"/>
          <w:kern w:val="28"/>
          <w:szCs w:val="32"/>
          <w:lang w:eastAsia="zh-CN" w:bidi="ar-SA"/>
        </w:rPr>
      </w:pPr>
      <w:bookmarkStart w:id="762" w:name="_Toc504633918"/>
      <w:bookmarkStart w:id="763" w:name="_Toc17906"/>
      <w:r>
        <w:rPr>
          <w:rFonts w:hint="eastAsia" w:eastAsia="宋体" w:cs="宋体"/>
          <w:bCs/>
          <w:color w:val="auto"/>
          <w:spacing w:val="-10"/>
          <w:kern w:val="28"/>
          <w:szCs w:val="32"/>
          <w:lang w:eastAsia="zh-CN" w:bidi="ar-SA"/>
        </w:rPr>
        <w:t xml:space="preserve">第二节 </w:t>
      </w:r>
      <w:r>
        <w:rPr>
          <w:rFonts w:eastAsia="宋体" w:cs="宋体"/>
          <w:bCs/>
          <w:color w:val="auto"/>
          <w:spacing w:val="-10"/>
          <w:kern w:val="28"/>
          <w:szCs w:val="32"/>
          <w:lang w:eastAsia="zh-CN" w:bidi="ar-SA"/>
        </w:rPr>
        <w:t xml:space="preserve">  </w:t>
      </w:r>
      <w:r>
        <w:rPr>
          <w:rFonts w:hint="eastAsia" w:eastAsia="宋体" w:cs="宋体"/>
          <w:bCs/>
          <w:color w:val="auto"/>
          <w:spacing w:val="-10"/>
          <w:kern w:val="28"/>
          <w:szCs w:val="32"/>
          <w:lang w:eastAsia="zh-CN" w:bidi="ar-SA"/>
        </w:rPr>
        <w:t>专用合同条款</w:t>
      </w:r>
      <w:bookmarkEnd w:id="762"/>
      <w:bookmarkEnd w:id="763"/>
    </w:p>
    <w:p w14:paraId="0A7C93C5">
      <w:pPr>
        <w:widowControl/>
        <w:rPr>
          <w:rFonts w:ascii="Arial" w:hAnsi="Arial" w:eastAsia="宋体"/>
          <w:b/>
          <w:bCs/>
          <w:color w:val="auto"/>
          <w:kern w:val="2"/>
          <w:sz w:val="28"/>
          <w:szCs w:val="32"/>
          <w:lang w:eastAsia="zh-CN" w:bidi="ar-SA"/>
        </w:rPr>
        <w:sectPr>
          <w:pgSz w:w="11906" w:h="16838"/>
          <w:pgMar w:top="1418" w:right="1588" w:bottom="1418" w:left="1588" w:header="680" w:footer="992" w:gutter="0"/>
          <w:cols w:space="720" w:num="1"/>
          <w:vAlign w:val="center"/>
          <w:docGrid w:linePitch="312" w:charSpace="0"/>
        </w:sectPr>
      </w:pPr>
      <w:r>
        <w:rPr>
          <w:rFonts w:eastAsia="宋体"/>
          <w:color w:val="auto"/>
          <w:kern w:val="2"/>
          <w:sz w:val="21"/>
          <w:lang w:eastAsia="zh-CN" w:bidi="ar-SA"/>
        </w:rPr>
        <w:br w:type="page"/>
      </w:r>
    </w:p>
    <w:p w14:paraId="0DFBB9F0">
      <w:pPr>
        <w:spacing w:line="360" w:lineRule="auto"/>
        <w:ind w:firstLine="420" w:firstLineChars="200"/>
        <w:jc w:val="both"/>
        <w:rPr>
          <w:rFonts w:eastAsia="宋体"/>
          <w:color w:val="auto"/>
          <w:kern w:val="2"/>
          <w:sz w:val="21"/>
          <w:szCs w:val="22"/>
          <w:lang w:eastAsia="zh-CN" w:bidi="ar-SA"/>
        </w:rPr>
      </w:pPr>
      <w:r>
        <w:rPr>
          <w:rFonts w:hint="eastAsia" w:eastAsia="宋体"/>
          <w:color w:val="auto"/>
          <w:kern w:val="2"/>
          <w:sz w:val="21"/>
          <w:szCs w:val="22"/>
          <w:lang w:eastAsia="zh-CN" w:bidi="ar-SA"/>
        </w:rPr>
        <w:t>专用合同条款是根据本项目情况对合同通用条款的修改、完善和补充。投标人应对照合同通用条款中同一编号的条款一起阅读和理解。</w:t>
      </w:r>
    </w:p>
    <w:p w14:paraId="0D18EA3B">
      <w:pPr>
        <w:spacing w:line="360" w:lineRule="auto"/>
        <w:ind w:firstLine="420" w:firstLineChars="200"/>
        <w:jc w:val="both"/>
        <w:rPr>
          <w:rFonts w:eastAsia="宋体"/>
          <w:color w:val="auto"/>
          <w:kern w:val="2"/>
          <w:sz w:val="21"/>
          <w:szCs w:val="22"/>
          <w:lang w:eastAsia="zh-CN" w:bidi="ar-SA"/>
        </w:rPr>
      </w:pPr>
      <w:r>
        <w:rPr>
          <w:rFonts w:hint="eastAsia" w:eastAsia="宋体"/>
          <w:color w:val="auto"/>
          <w:kern w:val="2"/>
          <w:sz w:val="21"/>
          <w:szCs w:val="22"/>
          <w:lang w:eastAsia="zh-CN" w:bidi="ar-SA"/>
        </w:rPr>
        <w:t>专用合同条款与合同通用条款如有不一致的地方，以专用合同条款为准。</w:t>
      </w:r>
    </w:p>
    <w:p w14:paraId="0FDE9C33">
      <w:pPr>
        <w:keepNext/>
        <w:keepLines/>
        <w:spacing w:line="360" w:lineRule="auto"/>
        <w:outlineLvl w:val="1"/>
        <w:rPr>
          <w:rFonts w:ascii="Arial" w:hAnsi="Arial" w:eastAsia="宋体"/>
          <w:b/>
          <w:bCs/>
          <w:color w:val="auto"/>
          <w:kern w:val="2"/>
          <w:sz w:val="28"/>
          <w:szCs w:val="32"/>
          <w:lang w:eastAsia="zh-CN" w:bidi="ar-SA"/>
        </w:rPr>
      </w:pPr>
      <w:bookmarkStart w:id="764" w:name="_Toc19638"/>
      <w:bookmarkStart w:id="765" w:name="_Toc504633919"/>
      <w:r>
        <w:rPr>
          <w:rFonts w:ascii="Arial" w:hAnsi="Arial" w:eastAsia="宋体"/>
          <w:b/>
          <w:bCs/>
          <w:color w:val="auto"/>
          <w:kern w:val="2"/>
          <w:sz w:val="28"/>
          <w:szCs w:val="32"/>
          <w:lang w:eastAsia="zh-CN" w:bidi="ar-SA"/>
        </w:rPr>
        <w:t>1. 一般约定</w:t>
      </w:r>
      <w:bookmarkEnd w:id="764"/>
      <w:bookmarkEnd w:id="765"/>
    </w:p>
    <w:p w14:paraId="6A1AFDEF">
      <w:pPr>
        <w:keepNext/>
        <w:keepLines/>
        <w:spacing w:line="360" w:lineRule="auto"/>
        <w:jc w:val="both"/>
        <w:outlineLvl w:val="2"/>
        <w:rPr>
          <w:rFonts w:eastAsia="宋体"/>
          <w:b/>
          <w:bCs/>
          <w:color w:val="auto"/>
          <w:kern w:val="2"/>
          <w:szCs w:val="32"/>
          <w:lang w:eastAsia="zh-CN" w:bidi="ar-SA"/>
        </w:rPr>
      </w:pPr>
      <w:bookmarkStart w:id="766" w:name="_Toc22019"/>
      <w:r>
        <w:rPr>
          <w:rFonts w:eastAsia="宋体"/>
          <w:b/>
          <w:bCs/>
          <w:color w:val="auto"/>
          <w:kern w:val="2"/>
          <w:szCs w:val="32"/>
          <w:lang w:eastAsia="zh-CN" w:bidi="ar-SA"/>
        </w:rPr>
        <w:t xml:space="preserve">1.1 </w:t>
      </w:r>
      <w:r>
        <w:rPr>
          <w:rFonts w:hint="eastAsia" w:eastAsia="宋体"/>
          <w:b/>
          <w:bCs/>
          <w:color w:val="auto"/>
          <w:kern w:val="2"/>
          <w:szCs w:val="32"/>
          <w:lang w:eastAsia="zh-CN" w:bidi="ar-SA"/>
        </w:rPr>
        <w:t>词语定义</w:t>
      </w:r>
      <w:bookmarkEnd w:id="766"/>
    </w:p>
    <w:p w14:paraId="288C9683">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通用合同条款、专用合同条款中的下列词语应具有本款所赋予的含义。</w:t>
      </w:r>
    </w:p>
    <w:p w14:paraId="3476ED84">
      <w:pPr>
        <w:spacing w:line="360" w:lineRule="auto"/>
        <w:ind w:firstLine="413" w:firstLineChars="196"/>
        <w:jc w:val="both"/>
        <w:rPr>
          <w:rFonts w:eastAsia="宋体"/>
          <w:b/>
          <w:color w:val="auto"/>
          <w:kern w:val="2"/>
          <w:sz w:val="21"/>
          <w:szCs w:val="22"/>
          <w:lang w:eastAsia="zh-CN" w:bidi="ar-SA"/>
        </w:rPr>
      </w:pPr>
      <w:r>
        <w:rPr>
          <w:rFonts w:eastAsia="宋体"/>
          <w:b/>
          <w:color w:val="auto"/>
          <w:kern w:val="2"/>
          <w:sz w:val="21"/>
          <w:szCs w:val="22"/>
          <w:lang w:eastAsia="zh-CN" w:bidi="ar-SA"/>
        </w:rPr>
        <w:t>1.1.2 合同</w:t>
      </w:r>
      <w:r>
        <w:rPr>
          <w:rFonts w:hint="eastAsia" w:eastAsia="宋体"/>
          <w:b/>
          <w:color w:val="auto"/>
          <w:kern w:val="2"/>
          <w:sz w:val="21"/>
          <w:szCs w:val="22"/>
          <w:lang w:eastAsia="zh-CN" w:bidi="ar-SA"/>
        </w:rPr>
        <w:t>当事人和人员</w:t>
      </w:r>
    </w:p>
    <w:p w14:paraId="5182B732">
      <w:pPr>
        <w:spacing w:line="360" w:lineRule="auto"/>
        <w:ind w:firstLine="420" w:firstLineChars="200"/>
        <w:jc w:val="both"/>
        <w:rPr>
          <w:rFonts w:eastAsia="宋体"/>
          <w:color w:val="auto"/>
          <w:kern w:val="2"/>
          <w:sz w:val="21"/>
          <w:szCs w:val="21"/>
          <w:lang w:eastAsia="zh-CN" w:bidi="ar-SA"/>
        </w:rPr>
      </w:pPr>
      <w:r>
        <w:rPr>
          <w:rFonts w:hint="eastAsia" w:eastAsia="宋体"/>
          <w:color w:val="auto"/>
          <w:kern w:val="2"/>
          <w:sz w:val="21"/>
          <w:szCs w:val="21"/>
          <w:lang w:eastAsia="zh-CN" w:bidi="ar-SA"/>
        </w:rPr>
        <w:t>1.1.2.2细化为：</w:t>
      </w:r>
    </w:p>
    <w:p w14:paraId="1EBAD5A1">
      <w:pPr>
        <w:spacing w:line="360" w:lineRule="auto"/>
        <w:ind w:firstLine="420" w:firstLineChars="200"/>
        <w:jc w:val="both"/>
        <w:rPr>
          <w:rFonts w:eastAsia="宋体"/>
          <w:color w:val="auto"/>
          <w:kern w:val="2"/>
          <w:sz w:val="21"/>
          <w:szCs w:val="21"/>
          <w:lang w:eastAsia="zh-CN" w:bidi="ar-SA"/>
        </w:rPr>
      </w:pPr>
      <w:r>
        <w:rPr>
          <w:rFonts w:hint="eastAsia" w:eastAsia="宋体"/>
          <w:color w:val="auto"/>
          <w:kern w:val="2"/>
          <w:sz w:val="21"/>
          <w:szCs w:val="21"/>
          <w:lang w:eastAsia="zh-CN" w:bidi="ar-SA"/>
        </w:rPr>
        <w:t>委托人：新余市投资控股集团有限公司。监理人和委托人签订合同协议书。</w:t>
      </w:r>
    </w:p>
    <w:p w14:paraId="00A23A83">
      <w:pPr>
        <w:spacing w:line="360" w:lineRule="auto"/>
        <w:ind w:firstLine="413" w:firstLineChars="196"/>
        <w:jc w:val="both"/>
        <w:rPr>
          <w:rFonts w:eastAsia="宋体"/>
          <w:b/>
          <w:color w:val="auto"/>
          <w:kern w:val="2"/>
          <w:sz w:val="21"/>
          <w:szCs w:val="22"/>
          <w:lang w:eastAsia="zh-CN" w:bidi="ar-SA"/>
        </w:rPr>
      </w:pPr>
      <w:r>
        <w:rPr>
          <w:rFonts w:hint="eastAsia" w:eastAsia="宋体"/>
          <w:b/>
          <w:color w:val="auto"/>
          <w:kern w:val="2"/>
          <w:sz w:val="21"/>
          <w:szCs w:val="22"/>
          <w:lang w:eastAsia="zh-CN" w:bidi="ar-SA"/>
        </w:rPr>
        <w:t>1.1.3 工程和监理</w:t>
      </w:r>
    </w:p>
    <w:p w14:paraId="6AAB6FD4">
      <w:pPr>
        <w:spacing w:line="360" w:lineRule="auto"/>
        <w:ind w:firstLine="420" w:firstLineChars="200"/>
        <w:jc w:val="both"/>
        <w:rPr>
          <w:rFonts w:eastAsia="宋体"/>
          <w:color w:val="auto"/>
          <w:kern w:val="2"/>
          <w:sz w:val="21"/>
          <w:szCs w:val="21"/>
          <w:lang w:eastAsia="zh-CN" w:bidi="ar-SA"/>
        </w:rPr>
      </w:pPr>
      <w:r>
        <w:rPr>
          <w:rFonts w:hint="eastAsia" w:eastAsia="宋体"/>
          <w:color w:val="auto"/>
          <w:kern w:val="2"/>
          <w:sz w:val="21"/>
          <w:szCs w:val="21"/>
          <w:lang w:eastAsia="zh-CN" w:bidi="ar-SA"/>
        </w:rPr>
        <w:t>1.1.3.1细化为：</w:t>
      </w:r>
    </w:p>
    <w:p w14:paraId="4DEE19B8">
      <w:pPr>
        <w:spacing w:line="360" w:lineRule="auto"/>
        <w:ind w:firstLine="420" w:firstLineChars="200"/>
        <w:jc w:val="both"/>
        <w:rPr>
          <w:rFonts w:eastAsia="宋体"/>
          <w:color w:val="auto"/>
          <w:kern w:val="2"/>
          <w:sz w:val="21"/>
          <w:szCs w:val="21"/>
          <w:lang w:eastAsia="zh-CN" w:bidi="ar-SA"/>
        </w:rPr>
      </w:pPr>
      <w:r>
        <w:rPr>
          <w:rFonts w:hint="eastAsia" w:eastAsia="宋体"/>
          <w:color w:val="auto"/>
          <w:kern w:val="2"/>
          <w:sz w:val="21"/>
          <w:szCs w:val="21"/>
          <w:lang w:eastAsia="zh-CN" w:bidi="ar-SA"/>
        </w:rPr>
        <w:t>工程：新余市港口水运基础设施建设项目-袁河航道提升工程新余段库区工程第二标段监理监理</w:t>
      </w:r>
    </w:p>
    <w:p w14:paraId="425D76E5">
      <w:pPr>
        <w:spacing w:line="360" w:lineRule="auto"/>
        <w:ind w:firstLine="422" w:firstLineChars="200"/>
        <w:jc w:val="both"/>
        <w:rPr>
          <w:rFonts w:eastAsia="宋体"/>
          <w:b/>
          <w:color w:val="auto"/>
          <w:kern w:val="2"/>
          <w:sz w:val="21"/>
          <w:szCs w:val="22"/>
          <w:lang w:eastAsia="zh-CN" w:bidi="ar-SA"/>
        </w:rPr>
      </w:pPr>
      <w:r>
        <w:rPr>
          <w:rFonts w:hint="eastAsia" w:eastAsia="宋体"/>
          <w:b/>
          <w:color w:val="auto"/>
          <w:kern w:val="2"/>
          <w:sz w:val="21"/>
          <w:szCs w:val="22"/>
          <w:lang w:eastAsia="zh-CN" w:bidi="ar-SA"/>
        </w:rPr>
        <w:t>1.1.</w:t>
      </w:r>
      <w:r>
        <w:rPr>
          <w:rFonts w:eastAsia="宋体"/>
          <w:b/>
          <w:color w:val="auto"/>
          <w:kern w:val="2"/>
          <w:sz w:val="21"/>
          <w:szCs w:val="22"/>
          <w:lang w:eastAsia="zh-CN" w:bidi="ar-SA"/>
        </w:rPr>
        <w:t>4</w:t>
      </w:r>
      <w:r>
        <w:rPr>
          <w:rFonts w:hint="eastAsia" w:eastAsia="宋体"/>
          <w:b/>
          <w:color w:val="auto"/>
          <w:kern w:val="2"/>
          <w:sz w:val="21"/>
          <w:szCs w:val="22"/>
          <w:lang w:eastAsia="zh-CN" w:bidi="ar-SA"/>
        </w:rPr>
        <w:t xml:space="preserve"> 日期</w:t>
      </w:r>
    </w:p>
    <w:p w14:paraId="16A6FADF">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 xml:space="preserve">1.1.4.3 </w:t>
      </w:r>
      <w:r>
        <w:rPr>
          <w:rFonts w:hint="eastAsia" w:eastAsia="宋体"/>
          <w:color w:val="auto"/>
          <w:kern w:val="2"/>
          <w:sz w:val="21"/>
          <w:szCs w:val="21"/>
          <w:lang w:eastAsia="zh-CN" w:bidi="ar-SA"/>
        </w:rPr>
        <w:t>细化为：</w:t>
      </w:r>
    </w:p>
    <w:p w14:paraId="1EF30206">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监理服务期限：</w:t>
      </w:r>
    </w:p>
    <w:p w14:paraId="6BA15ED1">
      <w:pPr>
        <w:spacing w:line="360" w:lineRule="auto"/>
        <w:ind w:firstLine="420" w:firstLineChars="200"/>
        <w:jc w:val="both"/>
        <w:rPr>
          <w:rFonts w:eastAsia="宋体"/>
          <w:color w:val="auto"/>
          <w:kern w:val="2"/>
          <w:sz w:val="21"/>
          <w:szCs w:val="21"/>
          <w:lang w:eastAsia="zh-CN" w:bidi="ar-SA"/>
        </w:rPr>
      </w:pPr>
      <w:r>
        <w:rPr>
          <w:rFonts w:hint="eastAsia" w:eastAsia="宋体"/>
          <w:color w:val="auto"/>
          <w:kern w:val="2"/>
          <w:sz w:val="21"/>
          <w:szCs w:val="21"/>
          <w:lang w:eastAsia="zh-CN" w:bidi="ar-SA"/>
        </w:rPr>
        <w:t>项目监理服务期</w:t>
      </w:r>
      <w:r>
        <w:rPr>
          <w:rFonts w:eastAsia="宋体"/>
          <w:color w:val="auto"/>
          <w:kern w:val="2"/>
          <w:sz w:val="21"/>
          <w:szCs w:val="21"/>
          <w:lang w:eastAsia="zh-CN" w:bidi="ar-SA"/>
        </w:rPr>
        <w:t>42</w:t>
      </w:r>
      <w:r>
        <w:rPr>
          <w:rFonts w:hint="eastAsia" w:eastAsia="宋体"/>
          <w:color w:val="auto"/>
          <w:kern w:val="2"/>
          <w:sz w:val="21"/>
          <w:szCs w:val="21"/>
          <w:lang w:eastAsia="zh-CN" w:bidi="ar-SA"/>
        </w:rPr>
        <w:t>个月，其中施工期</w:t>
      </w:r>
      <w:r>
        <w:rPr>
          <w:rFonts w:eastAsia="宋体"/>
          <w:color w:val="auto"/>
          <w:kern w:val="2"/>
          <w:sz w:val="21"/>
          <w:szCs w:val="21"/>
          <w:lang w:eastAsia="zh-CN" w:bidi="ar-SA"/>
        </w:rPr>
        <w:t>1</w:t>
      </w:r>
      <w:r>
        <w:rPr>
          <w:rFonts w:hint="eastAsia" w:eastAsia="宋体"/>
          <w:color w:val="auto"/>
          <w:kern w:val="2"/>
          <w:sz w:val="21"/>
          <w:szCs w:val="21"/>
          <w:lang w:eastAsia="zh-CN" w:bidi="ar-SA"/>
        </w:rPr>
        <w:t>8个月，缺陷责任期</w:t>
      </w:r>
      <w:r>
        <w:rPr>
          <w:rFonts w:eastAsia="宋体"/>
          <w:color w:val="auto"/>
          <w:kern w:val="2"/>
          <w:sz w:val="21"/>
          <w:szCs w:val="21"/>
          <w:lang w:eastAsia="zh-CN" w:bidi="ar-SA"/>
        </w:rPr>
        <w:t>24</w:t>
      </w:r>
      <w:r>
        <w:rPr>
          <w:rFonts w:hint="eastAsia" w:eastAsia="宋体"/>
          <w:color w:val="auto"/>
          <w:kern w:val="2"/>
          <w:sz w:val="21"/>
          <w:szCs w:val="21"/>
          <w:lang w:eastAsia="zh-CN" w:bidi="ar-SA"/>
        </w:rPr>
        <w:t>个月。</w:t>
      </w:r>
    </w:p>
    <w:p w14:paraId="28BF726F">
      <w:pPr>
        <w:spacing w:line="360" w:lineRule="auto"/>
        <w:ind w:firstLine="420" w:firstLineChars="200"/>
        <w:jc w:val="both"/>
        <w:rPr>
          <w:rFonts w:eastAsia="宋体"/>
          <w:color w:val="auto"/>
          <w:kern w:val="2"/>
          <w:sz w:val="21"/>
          <w:szCs w:val="21"/>
          <w:lang w:eastAsia="zh-CN" w:bidi="ar-SA"/>
        </w:rPr>
      </w:pPr>
      <w:r>
        <w:rPr>
          <w:rFonts w:hint="eastAsia" w:eastAsia="宋体"/>
          <w:color w:val="auto"/>
          <w:kern w:val="2"/>
          <w:sz w:val="21"/>
          <w:szCs w:val="21"/>
          <w:lang w:eastAsia="zh-CN" w:bidi="ar-SA"/>
        </w:rPr>
        <w:t>委托人可能根据项目进展情况或上级主管部门的要求调整施工工期，则施工阶段监理服务期限相应调整，监理人应理解并接受。</w:t>
      </w:r>
    </w:p>
    <w:p w14:paraId="5395E590">
      <w:pPr>
        <w:keepNext/>
        <w:keepLines/>
        <w:spacing w:line="360" w:lineRule="auto"/>
        <w:jc w:val="both"/>
        <w:outlineLvl w:val="2"/>
        <w:rPr>
          <w:rFonts w:eastAsia="宋体"/>
          <w:b/>
          <w:bCs/>
          <w:color w:val="auto"/>
          <w:kern w:val="2"/>
          <w:szCs w:val="32"/>
          <w:lang w:eastAsia="zh-CN" w:bidi="ar-SA"/>
        </w:rPr>
      </w:pPr>
      <w:bookmarkStart w:id="767" w:name="_Toc26755"/>
      <w:r>
        <w:rPr>
          <w:rFonts w:eastAsia="宋体"/>
          <w:b/>
          <w:bCs/>
          <w:color w:val="auto"/>
          <w:kern w:val="2"/>
          <w:szCs w:val="32"/>
          <w:lang w:eastAsia="zh-CN" w:bidi="ar-SA"/>
        </w:rPr>
        <w:t xml:space="preserve">1.4 </w:t>
      </w:r>
      <w:r>
        <w:rPr>
          <w:rFonts w:hint="eastAsia" w:eastAsia="宋体"/>
          <w:b/>
          <w:bCs/>
          <w:color w:val="auto"/>
          <w:kern w:val="2"/>
          <w:szCs w:val="32"/>
          <w:lang w:eastAsia="zh-CN" w:bidi="ar-SA"/>
        </w:rPr>
        <w:t>合同文件的优先顺序</w:t>
      </w:r>
      <w:bookmarkEnd w:id="767"/>
    </w:p>
    <w:p w14:paraId="3894ABF7">
      <w:pPr>
        <w:spacing w:line="360" w:lineRule="auto"/>
        <w:ind w:firstLine="420" w:firstLineChars="200"/>
        <w:jc w:val="both"/>
        <w:rPr>
          <w:rFonts w:eastAsia="宋体"/>
          <w:color w:val="auto"/>
          <w:kern w:val="2"/>
          <w:sz w:val="21"/>
          <w:szCs w:val="21"/>
          <w:lang w:eastAsia="zh-CN" w:bidi="ar-SA"/>
        </w:rPr>
      </w:pPr>
      <w:r>
        <w:rPr>
          <w:rFonts w:hint="eastAsia" w:eastAsia="宋体"/>
          <w:color w:val="auto"/>
          <w:kern w:val="2"/>
          <w:sz w:val="21"/>
          <w:szCs w:val="21"/>
          <w:lang w:eastAsia="zh-CN" w:bidi="ar-SA"/>
        </w:rPr>
        <w:t>细化为：</w:t>
      </w:r>
    </w:p>
    <w:p w14:paraId="3A95F6BA">
      <w:pPr>
        <w:spacing w:line="360" w:lineRule="auto"/>
        <w:ind w:firstLine="420" w:firstLineChars="200"/>
        <w:jc w:val="both"/>
        <w:rPr>
          <w:rFonts w:eastAsia="宋体"/>
          <w:color w:val="auto"/>
          <w:kern w:val="2"/>
          <w:sz w:val="21"/>
          <w:szCs w:val="21"/>
          <w:lang w:eastAsia="zh-CN" w:bidi="ar-SA"/>
        </w:rPr>
      </w:pPr>
      <w:bookmarkStart w:id="768" w:name="_Hlk504547534"/>
      <w:r>
        <w:rPr>
          <w:rFonts w:eastAsia="宋体"/>
          <w:color w:val="auto"/>
          <w:kern w:val="2"/>
          <w:sz w:val="21"/>
          <w:szCs w:val="21"/>
          <w:lang w:eastAsia="zh-CN" w:bidi="ar-SA"/>
        </w:rPr>
        <w:t>组成合同的各</w:t>
      </w:r>
      <w:r>
        <w:rPr>
          <w:rFonts w:hint="eastAsia" w:eastAsia="宋体"/>
          <w:color w:val="auto"/>
          <w:kern w:val="2"/>
          <w:sz w:val="21"/>
          <w:szCs w:val="21"/>
          <w:lang w:eastAsia="zh-CN" w:bidi="ar-SA"/>
        </w:rPr>
        <w:t>项</w:t>
      </w:r>
      <w:r>
        <w:rPr>
          <w:rFonts w:eastAsia="宋体"/>
          <w:color w:val="auto"/>
          <w:kern w:val="2"/>
          <w:sz w:val="21"/>
          <w:szCs w:val="21"/>
          <w:lang w:eastAsia="zh-CN" w:bidi="ar-SA"/>
        </w:rPr>
        <w:t>文件应</w:t>
      </w:r>
      <w:r>
        <w:rPr>
          <w:rFonts w:hint="eastAsia" w:eastAsia="宋体"/>
          <w:color w:val="auto"/>
          <w:kern w:val="2"/>
          <w:sz w:val="21"/>
          <w:szCs w:val="21"/>
          <w:lang w:eastAsia="zh-CN" w:bidi="ar-SA"/>
        </w:rPr>
        <w:t>互相</w:t>
      </w:r>
      <w:r>
        <w:rPr>
          <w:rFonts w:eastAsia="宋体"/>
          <w:color w:val="auto"/>
          <w:kern w:val="2"/>
          <w:sz w:val="21"/>
          <w:szCs w:val="21"/>
          <w:lang w:eastAsia="zh-CN" w:bidi="ar-SA"/>
        </w:rPr>
        <w:t>解释，</w:t>
      </w:r>
      <w:r>
        <w:rPr>
          <w:rFonts w:hint="eastAsia" w:eastAsia="宋体"/>
          <w:color w:val="auto"/>
          <w:kern w:val="2"/>
          <w:sz w:val="21"/>
          <w:szCs w:val="21"/>
          <w:lang w:eastAsia="zh-CN" w:bidi="ar-SA"/>
        </w:rPr>
        <w:t>互为说明。解释合同文件的优先顺序如下：</w:t>
      </w:r>
    </w:p>
    <w:p w14:paraId="262708CD">
      <w:pPr>
        <w:spacing w:line="360" w:lineRule="auto"/>
        <w:ind w:firstLine="420" w:firstLineChars="200"/>
        <w:jc w:val="both"/>
        <w:rPr>
          <w:rFonts w:eastAsia="宋体"/>
          <w:color w:val="auto"/>
          <w:kern w:val="2"/>
          <w:sz w:val="21"/>
          <w:szCs w:val="21"/>
          <w:lang w:eastAsia="zh-CN" w:bidi="ar-SA"/>
        </w:rPr>
      </w:pPr>
      <w:r>
        <w:rPr>
          <w:rFonts w:hint="eastAsia" w:eastAsia="宋体"/>
          <w:color w:val="auto"/>
          <w:kern w:val="2"/>
          <w:sz w:val="21"/>
          <w:szCs w:val="21"/>
          <w:lang w:eastAsia="zh-CN" w:bidi="ar-SA"/>
        </w:rPr>
        <w:t>⑴ 合同协议书及附件</w:t>
      </w:r>
      <w:r>
        <w:rPr>
          <w:rFonts w:eastAsia="宋体"/>
          <w:color w:val="auto"/>
          <w:kern w:val="2"/>
          <w:sz w:val="21"/>
          <w:szCs w:val="21"/>
          <w:lang w:eastAsia="zh-CN" w:bidi="ar-SA"/>
        </w:rPr>
        <w:t>(含评标期间和合同谈判过程中的澄清文件和补充资料，</w:t>
      </w:r>
      <w:r>
        <w:rPr>
          <w:rFonts w:hint="eastAsia" w:eastAsia="宋体"/>
          <w:color w:val="auto"/>
          <w:kern w:val="2"/>
          <w:sz w:val="21"/>
          <w:szCs w:val="21"/>
          <w:lang w:eastAsia="zh-CN" w:bidi="ar-SA"/>
        </w:rPr>
        <w:t>包括</w:t>
      </w:r>
      <w:r>
        <w:rPr>
          <w:rFonts w:eastAsia="宋体"/>
          <w:color w:val="auto"/>
          <w:kern w:val="2"/>
          <w:sz w:val="21"/>
          <w:szCs w:val="21"/>
          <w:lang w:eastAsia="zh-CN" w:bidi="ar-SA"/>
        </w:rPr>
        <w:t>廉政合同、安全监理责任合同等)；</w:t>
      </w:r>
    </w:p>
    <w:p w14:paraId="42896209">
      <w:pPr>
        <w:spacing w:line="360" w:lineRule="auto"/>
        <w:ind w:firstLine="420" w:firstLineChars="200"/>
        <w:jc w:val="both"/>
        <w:rPr>
          <w:rFonts w:eastAsia="宋体"/>
          <w:color w:val="auto"/>
          <w:kern w:val="2"/>
          <w:sz w:val="21"/>
          <w:szCs w:val="21"/>
          <w:lang w:eastAsia="zh-CN" w:bidi="ar-SA"/>
        </w:rPr>
      </w:pPr>
      <w:r>
        <w:rPr>
          <w:rFonts w:hint="eastAsia" w:eastAsia="宋体"/>
          <w:color w:val="auto"/>
          <w:kern w:val="2"/>
          <w:sz w:val="21"/>
          <w:szCs w:val="21"/>
          <w:lang w:eastAsia="zh-CN" w:bidi="ar-SA"/>
        </w:rPr>
        <w:t xml:space="preserve">⑵ </w:t>
      </w:r>
      <w:r>
        <w:rPr>
          <w:rFonts w:eastAsia="宋体"/>
          <w:color w:val="auto"/>
          <w:kern w:val="2"/>
          <w:sz w:val="21"/>
          <w:szCs w:val="21"/>
          <w:lang w:eastAsia="zh-CN" w:bidi="ar-SA"/>
        </w:rPr>
        <w:t>中标通知书；</w:t>
      </w:r>
    </w:p>
    <w:p w14:paraId="2B82CAA3">
      <w:pPr>
        <w:spacing w:line="360" w:lineRule="auto"/>
        <w:ind w:firstLine="420" w:firstLineChars="200"/>
        <w:jc w:val="both"/>
        <w:rPr>
          <w:rFonts w:eastAsia="宋体"/>
          <w:color w:val="auto"/>
          <w:kern w:val="2"/>
          <w:sz w:val="21"/>
          <w:szCs w:val="21"/>
          <w:lang w:eastAsia="zh-CN" w:bidi="ar-SA"/>
        </w:rPr>
      </w:pPr>
      <w:r>
        <w:rPr>
          <w:rFonts w:hint="eastAsia" w:eastAsia="宋体"/>
          <w:color w:val="auto"/>
          <w:kern w:val="2"/>
          <w:sz w:val="21"/>
          <w:szCs w:val="21"/>
          <w:lang w:eastAsia="zh-CN" w:bidi="ar-SA"/>
        </w:rPr>
        <w:t>⑶ 投标函及投标函附录</w:t>
      </w:r>
      <w:r>
        <w:rPr>
          <w:rFonts w:eastAsia="宋体"/>
          <w:color w:val="auto"/>
          <w:kern w:val="2"/>
          <w:sz w:val="21"/>
          <w:szCs w:val="21"/>
          <w:lang w:eastAsia="zh-CN" w:bidi="ar-SA"/>
        </w:rPr>
        <w:t>；</w:t>
      </w:r>
    </w:p>
    <w:p w14:paraId="53A4A11C">
      <w:pPr>
        <w:spacing w:line="360" w:lineRule="auto"/>
        <w:ind w:firstLine="420" w:firstLineChars="200"/>
        <w:jc w:val="both"/>
        <w:rPr>
          <w:rFonts w:eastAsia="宋体"/>
          <w:color w:val="auto"/>
          <w:kern w:val="2"/>
          <w:sz w:val="21"/>
          <w:szCs w:val="21"/>
          <w:lang w:eastAsia="zh-CN" w:bidi="ar-SA"/>
        </w:rPr>
      </w:pPr>
      <w:r>
        <w:rPr>
          <w:rFonts w:hint="eastAsia" w:eastAsia="宋体"/>
          <w:color w:val="auto"/>
          <w:kern w:val="2"/>
          <w:sz w:val="21"/>
          <w:szCs w:val="21"/>
          <w:lang w:eastAsia="zh-CN" w:bidi="ar-SA"/>
        </w:rPr>
        <w:t xml:space="preserve">⑷ </w:t>
      </w:r>
      <w:r>
        <w:rPr>
          <w:rFonts w:eastAsia="宋体"/>
          <w:color w:val="auto"/>
          <w:kern w:val="2"/>
          <w:sz w:val="21"/>
          <w:szCs w:val="21"/>
          <w:lang w:eastAsia="zh-CN" w:bidi="ar-SA"/>
        </w:rPr>
        <w:t>专用合同条款</w:t>
      </w:r>
      <w:r>
        <w:rPr>
          <w:rFonts w:hint="eastAsia" w:eastAsia="宋体"/>
          <w:color w:val="auto"/>
          <w:kern w:val="2"/>
          <w:sz w:val="21"/>
          <w:szCs w:val="21"/>
          <w:lang w:eastAsia="zh-CN" w:bidi="ar-SA"/>
        </w:rPr>
        <w:t>及其附件</w:t>
      </w:r>
      <w:r>
        <w:rPr>
          <w:rFonts w:eastAsia="宋体"/>
          <w:color w:val="auto"/>
          <w:kern w:val="2"/>
          <w:sz w:val="21"/>
          <w:szCs w:val="21"/>
          <w:lang w:eastAsia="zh-CN" w:bidi="ar-SA"/>
        </w:rPr>
        <w:t>（含招标文件补遗书中与此有关的部分）；</w:t>
      </w:r>
    </w:p>
    <w:p w14:paraId="6DC59D77">
      <w:pPr>
        <w:spacing w:line="360" w:lineRule="auto"/>
        <w:ind w:firstLine="420" w:firstLineChars="200"/>
        <w:jc w:val="both"/>
        <w:rPr>
          <w:rFonts w:eastAsia="宋体"/>
          <w:color w:val="auto"/>
          <w:kern w:val="2"/>
          <w:sz w:val="21"/>
          <w:szCs w:val="21"/>
          <w:lang w:eastAsia="zh-CN" w:bidi="ar-SA"/>
        </w:rPr>
      </w:pPr>
      <w:r>
        <w:rPr>
          <w:rFonts w:hint="eastAsia" w:eastAsia="宋体"/>
          <w:color w:val="auto"/>
          <w:kern w:val="2"/>
          <w:sz w:val="21"/>
          <w:szCs w:val="21"/>
          <w:lang w:eastAsia="zh-CN" w:bidi="ar-SA"/>
        </w:rPr>
        <w:t xml:space="preserve">⑸ </w:t>
      </w:r>
      <w:r>
        <w:rPr>
          <w:rFonts w:eastAsia="宋体"/>
          <w:color w:val="auto"/>
          <w:kern w:val="2"/>
          <w:sz w:val="21"/>
          <w:szCs w:val="21"/>
          <w:lang w:eastAsia="zh-CN" w:bidi="ar-SA"/>
        </w:rPr>
        <w:t>通用合同条款；</w:t>
      </w:r>
    </w:p>
    <w:p w14:paraId="5136C674">
      <w:pPr>
        <w:spacing w:line="360" w:lineRule="auto"/>
        <w:ind w:firstLine="420" w:firstLineChars="200"/>
        <w:jc w:val="both"/>
        <w:rPr>
          <w:rFonts w:eastAsia="宋体"/>
          <w:color w:val="auto"/>
          <w:kern w:val="2"/>
          <w:sz w:val="21"/>
          <w:szCs w:val="21"/>
          <w:lang w:eastAsia="zh-CN" w:bidi="ar-SA"/>
        </w:rPr>
      </w:pPr>
      <w:r>
        <w:rPr>
          <w:rFonts w:hint="eastAsia" w:eastAsia="宋体"/>
          <w:color w:val="auto"/>
          <w:kern w:val="2"/>
          <w:sz w:val="21"/>
          <w:szCs w:val="21"/>
          <w:lang w:eastAsia="zh-CN" w:bidi="ar-SA"/>
        </w:rPr>
        <w:t>⑹</w:t>
      </w:r>
      <w:r>
        <w:rPr>
          <w:rFonts w:eastAsia="宋体"/>
          <w:color w:val="auto"/>
          <w:kern w:val="2"/>
          <w:sz w:val="21"/>
          <w:szCs w:val="21"/>
          <w:lang w:eastAsia="zh-CN" w:bidi="ar-SA"/>
        </w:rPr>
        <w:t xml:space="preserve"> </w:t>
      </w:r>
      <w:r>
        <w:rPr>
          <w:rFonts w:hint="eastAsia" w:eastAsia="宋体"/>
          <w:color w:val="auto"/>
          <w:kern w:val="2"/>
          <w:sz w:val="21"/>
          <w:szCs w:val="21"/>
          <w:lang w:eastAsia="zh-CN" w:bidi="ar-SA"/>
        </w:rPr>
        <w:t>委托人要求；</w:t>
      </w:r>
    </w:p>
    <w:p w14:paraId="3D684375">
      <w:pPr>
        <w:spacing w:line="360" w:lineRule="auto"/>
        <w:ind w:firstLine="420" w:firstLineChars="200"/>
        <w:jc w:val="both"/>
        <w:rPr>
          <w:rFonts w:eastAsia="宋体"/>
          <w:color w:val="auto"/>
          <w:kern w:val="2"/>
          <w:sz w:val="21"/>
          <w:szCs w:val="21"/>
          <w:lang w:eastAsia="zh-CN" w:bidi="ar-SA"/>
        </w:rPr>
      </w:pPr>
      <w:r>
        <w:rPr>
          <w:rFonts w:hint="eastAsia" w:eastAsia="宋体"/>
          <w:color w:val="auto"/>
          <w:kern w:val="2"/>
          <w:sz w:val="21"/>
          <w:szCs w:val="21"/>
          <w:lang w:eastAsia="zh-CN" w:bidi="ar-SA"/>
        </w:rPr>
        <w:t>⑺ 施工监理规范（包括《水运工程施工监理规范</w:t>
      </w:r>
      <w:r>
        <w:rPr>
          <w:rFonts w:eastAsia="宋体"/>
          <w:color w:val="auto"/>
          <w:kern w:val="2"/>
          <w:sz w:val="21"/>
          <w:szCs w:val="21"/>
          <w:lang w:eastAsia="zh-CN" w:bidi="ar-SA"/>
        </w:rPr>
        <w:t>JTS 252-2015</w:t>
      </w:r>
      <w:r>
        <w:rPr>
          <w:rFonts w:hint="eastAsia" w:eastAsia="宋体"/>
          <w:color w:val="auto"/>
          <w:kern w:val="2"/>
          <w:sz w:val="21"/>
          <w:szCs w:val="21"/>
          <w:lang w:eastAsia="zh-CN" w:bidi="ar-SA"/>
        </w:rPr>
        <w:t>》）</w:t>
      </w:r>
    </w:p>
    <w:p w14:paraId="63F0A7E2">
      <w:pPr>
        <w:spacing w:line="360" w:lineRule="auto"/>
        <w:ind w:firstLine="420" w:firstLineChars="200"/>
        <w:jc w:val="both"/>
        <w:rPr>
          <w:rFonts w:eastAsia="宋体"/>
          <w:color w:val="auto"/>
          <w:kern w:val="2"/>
          <w:sz w:val="21"/>
          <w:szCs w:val="21"/>
          <w:lang w:eastAsia="zh-CN" w:bidi="ar-SA"/>
        </w:rPr>
      </w:pPr>
      <w:r>
        <w:rPr>
          <w:rFonts w:hint="eastAsia" w:eastAsia="宋体"/>
          <w:color w:val="auto"/>
          <w:kern w:val="2"/>
          <w:sz w:val="21"/>
          <w:szCs w:val="21"/>
          <w:lang w:eastAsia="zh-CN" w:bidi="ar-SA"/>
        </w:rPr>
        <w:t xml:space="preserve">⑻ </w:t>
      </w:r>
      <w:r>
        <w:rPr>
          <w:rFonts w:eastAsia="宋体"/>
          <w:color w:val="auto"/>
          <w:kern w:val="2"/>
          <w:sz w:val="21"/>
          <w:szCs w:val="21"/>
          <w:lang w:eastAsia="zh-CN" w:bidi="ar-SA"/>
        </w:rPr>
        <w:t>监理</w:t>
      </w:r>
      <w:r>
        <w:rPr>
          <w:rFonts w:hint="eastAsia" w:eastAsia="宋体"/>
          <w:color w:val="auto"/>
          <w:kern w:val="2"/>
          <w:sz w:val="21"/>
          <w:szCs w:val="21"/>
          <w:lang w:eastAsia="zh-CN" w:bidi="ar-SA"/>
        </w:rPr>
        <w:t>报酬清单</w:t>
      </w:r>
      <w:r>
        <w:rPr>
          <w:rFonts w:eastAsia="宋体"/>
          <w:color w:val="auto"/>
          <w:kern w:val="2"/>
          <w:sz w:val="21"/>
          <w:szCs w:val="21"/>
          <w:lang w:eastAsia="zh-CN" w:bidi="ar-SA"/>
        </w:rPr>
        <w:t>；</w:t>
      </w:r>
    </w:p>
    <w:p w14:paraId="226574C7">
      <w:pPr>
        <w:spacing w:line="360" w:lineRule="auto"/>
        <w:ind w:firstLine="420" w:firstLineChars="200"/>
        <w:jc w:val="both"/>
        <w:rPr>
          <w:rFonts w:eastAsia="宋体"/>
          <w:color w:val="auto"/>
          <w:kern w:val="2"/>
          <w:sz w:val="21"/>
          <w:szCs w:val="21"/>
          <w:lang w:eastAsia="zh-CN" w:bidi="ar-SA"/>
        </w:rPr>
      </w:pPr>
      <w:r>
        <w:rPr>
          <w:rFonts w:hint="eastAsia" w:eastAsia="宋体"/>
          <w:color w:val="auto"/>
          <w:kern w:val="2"/>
          <w:sz w:val="21"/>
          <w:szCs w:val="21"/>
          <w:lang w:eastAsia="zh-CN" w:bidi="ar-SA"/>
        </w:rPr>
        <w:t>⑼ 监理大纲</w:t>
      </w:r>
      <w:r>
        <w:rPr>
          <w:rFonts w:eastAsia="宋体"/>
          <w:color w:val="auto"/>
          <w:kern w:val="2"/>
          <w:sz w:val="21"/>
          <w:szCs w:val="21"/>
          <w:lang w:eastAsia="zh-CN" w:bidi="ar-SA"/>
        </w:rPr>
        <w:t>；</w:t>
      </w:r>
    </w:p>
    <w:p w14:paraId="293DAA72">
      <w:pPr>
        <w:spacing w:line="360" w:lineRule="auto"/>
        <w:ind w:firstLine="420" w:firstLineChars="200"/>
        <w:jc w:val="both"/>
        <w:rPr>
          <w:rFonts w:eastAsia="宋体"/>
          <w:color w:val="auto"/>
          <w:kern w:val="2"/>
          <w:sz w:val="21"/>
          <w:szCs w:val="21"/>
          <w:lang w:eastAsia="zh-CN" w:bidi="ar-SA"/>
        </w:rPr>
      </w:pPr>
      <w:bookmarkStart w:id="769" w:name="_Hlk504547605"/>
      <w:r>
        <w:rPr>
          <w:rFonts w:hint="eastAsia" w:eastAsia="宋体"/>
          <w:color w:val="auto"/>
          <w:kern w:val="2"/>
          <w:sz w:val="21"/>
          <w:szCs w:val="21"/>
          <w:lang w:eastAsia="zh-CN" w:bidi="ar-SA"/>
        </w:rPr>
        <w:t xml:space="preserve">⑽ </w:t>
      </w:r>
      <w:r>
        <w:rPr>
          <w:rFonts w:hint="eastAsia" w:eastAsia="宋体"/>
          <w:color w:val="auto"/>
          <w:kern w:val="2"/>
          <w:sz w:val="21"/>
          <w:lang w:eastAsia="zh-CN" w:bidi="ar-SA"/>
        </w:rPr>
        <w:t>上级主管部门印发的标准化管理、平安工地建设、品质工程创建等相关要求文件；</w:t>
      </w:r>
    </w:p>
    <w:bookmarkEnd w:id="769"/>
    <w:p w14:paraId="3DC09B13">
      <w:pPr>
        <w:spacing w:line="360" w:lineRule="auto"/>
        <w:ind w:firstLine="420" w:firstLineChars="200"/>
        <w:jc w:val="both"/>
        <w:rPr>
          <w:rFonts w:eastAsia="宋体"/>
          <w:color w:val="auto"/>
          <w:kern w:val="2"/>
          <w:sz w:val="21"/>
          <w:szCs w:val="21"/>
          <w:lang w:eastAsia="zh-CN" w:bidi="ar-SA"/>
        </w:rPr>
      </w:pPr>
      <w:r>
        <w:rPr>
          <w:rFonts w:hint="eastAsia" w:eastAsia="宋体"/>
          <w:color w:val="auto"/>
          <w:kern w:val="2"/>
          <w:sz w:val="21"/>
          <w:szCs w:val="21"/>
          <w:lang w:eastAsia="zh-CN" w:bidi="ar-SA"/>
        </w:rPr>
        <w:t xml:space="preserve">⑾ </w:t>
      </w:r>
      <w:r>
        <w:rPr>
          <w:rFonts w:eastAsia="宋体"/>
          <w:color w:val="auto"/>
          <w:kern w:val="2"/>
          <w:sz w:val="21"/>
          <w:szCs w:val="21"/>
          <w:lang w:eastAsia="zh-CN" w:bidi="ar-SA"/>
        </w:rPr>
        <w:t>委托人根据相关规定及合同条款后续制定的相关管理制度、办法、文件等</w:t>
      </w:r>
      <w:r>
        <w:rPr>
          <w:rFonts w:hint="eastAsia" w:eastAsia="宋体"/>
          <w:color w:val="auto"/>
          <w:kern w:val="2"/>
          <w:sz w:val="21"/>
          <w:szCs w:val="21"/>
          <w:lang w:eastAsia="zh-CN" w:bidi="ar-SA"/>
        </w:rPr>
        <w:t>；</w:t>
      </w:r>
    </w:p>
    <w:p w14:paraId="210A0291">
      <w:pPr>
        <w:spacing w:line="360" w:lineRule="auto"/>
        <w:ind w:firstLine="420" w:firstLineChars="200"/>
        <w:jc w:val="both"/>
        <w:rPr>
          <w:rFonts w:eastAsia="宋体"/>
          <w:color w:val="auto"/>
          <w:kern w:val="2"/>
          <w:sz w:val="21"/>
          <w:szCs w:val="21"/>
          <w:lang w:eastAsia="zh-CN" w:bidi="ar-SA"/>
        </w:rPr>
      </w:pPr>
      <w:r>
        <w:rPr>
          <w:rFonts w:hint="eastAsia" w:eastAsia="宋体"/>
          <w:color w:val="auto"/>
          <w:kern w:val="2"/>
          <w:sz w:val="21"/>
          <w:szCs w:val="21"/>
          <w:lang w:eastAsia="zh-CN" w:bidi="ar-SA"/>
        </w:rPr>
        <w:t xml:space="preserve">⑿ </w:t>
      </w:r>
      <w:r>
        <w:rPr>
          <w:rFonts w:eastAsia="宋体"/>
          <w:color w:val="auto"/>
          <w:kern w:val="2"/>
          <w:sz w:val="21"/>
          <w:szCs w:val="21"/>
          <w:lang w:eastAsia="zh-CN" w:bidi="ar-SA"/>
        </w:rPr>
        <w:t>构成本合同组成部分的其他文件。</w:t>
      </w:r>
    </w:p>
    <w:bookmarkEnd w:id="768"/>
    <w:p w14:paraId="18114647">
      <w:pPr>
        <w:keepNext/>
        <w:keepLines/>
        <w:spacing w:line="360" w:lineRule="auto"/>
        <w:jc w:val="both"/>
        <w:outlineLvl w:val="2"/>
        <w:rPr>
          <w:rFonts w:eastAsia="宋体"/>
          <w:b/>
          <w:bCs/>
          <w:color w:val="auto"/>
          <w:kern w:val="2"/>
          <w:szCs w:val="32"/>
          <w:lang w:eastAsia="zh-CN" w:bidi="ar-SA"/>
        </w:rPr>
      </w:pPr>
      <w:bookmarkStart w:id="770" w:name="_Toc20540"/>
      <w:r>
        <w:rPr>
          <w:rFonts w:eastAsia="宋体"/>
          <w:b/>
          <w:bCs/>
          <w:color w:val="auto"/>
          <w:kern w:val="2"/>
          <w:szCs w:val="32"/>
          <w:lang w:eastAsia="zh-CN" w:bidi="ar-SA"/>
        </w:rPr>
        <w:t xml:space="preserve">1.5 </w:t>
      </w:r>
      <w:r>
        <w:rPr>
          <w:rFonts w:hint="eastAsia" w:eastAsia="宋体"/>
          <w:b/>
          <w:bCs/>
          <w:color w:val="auto"/>
          <w:kern w:val="2"/>
          <w:szCs w:val="32"/>
          <w:lang w:eastAsia="zh-CN" w:bidi="ar-SA"/>
        </w:rPr>
        <w:t>合同协议书</w:t>
      </w:r>
      <w:bookmarkEnd w:id="770"/>
    </w:p>
    <w:p w14:paraId="69C1BDD9">
      <w:pPr>
        <w:spacing w:line="360" w:lineRule="auto"/>
        <w:ind w:firstLine="420" w:firstLineChars="200"/>
        <w:jc w:val="both"/>
        <w:rPr>
          <w:rFonts w:eastAsia="宋体"/>
          <w:color w:val="auto"/>
          <w:kern w:val="2"/>
          <w:sz w:val="21"/>
          <w:szCs w:val="21"/>
          <w:lang w:eastAsia="zh-CN" w:bidi="ar-SA"/>
        </w:rPr>
      </w:pPr>
      <w:r>
        <w:rPr>
          <w:rFonts w:hint="eastAsia" w:eastAsia="宋体"/>
          <w:color w:val="auto"/>
          <w:kern w:val="2"/>
          <w:sz w:val="21"/>
          <w:szCs w:val="21"/>
          <w:lang w:eastAsia="zh-CN" w:bidi="ar-SA"/>
        </w:rPr>
        <w:t>细化为：</w:t>
      </w:r>
    </w:p>
    <w:p w14:paraId="489D268B">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监理人按中标通知书规定的时间与委托人签订合同协议书</w:t>
      </w:r>
      <w:r>
        <w:rPr>
          <w:rFonts w:hint="eastAsia" w:eastAsia="宋体"/>
          <w:color w:val="auto"/>
          <w:kern w:val="2"/>
          <w:sz w:val="21"/>
          <w:szCs w:val="21"/>
          <w:lang w:eastAsia="zh-CN" w:bidi="ar-SA"/>
        </w:rPr>
        <w:t>，</w:t>
      </w:r>
      <w:r>
        <w:rPr>
          <w:rFonts w:eastAsia="宋体"/>
          <w:color w:val="auto"/>
          <w:kern w:val="2"/>
          <w:sz w:val="21"/>
          <w:szCs w:val="21"/>
          <w:lang w:eastAsia="zh-CN" w:bidi="ar-SA"/>
        </w:rPr>
        <w:t>同时包括廉政合同、安全监理责任合同。除法律另有规定或合同另有约定外，委托人和监理人的法定代表人或其委托代理人在合同协议书上签字并盖单位章后，合同生效。</w:t>
      </w:r>
    </w:p>
    <w:p w14:paraId="4FDC6DE0">
      <w:pPr>
        <w:spacing w:line="360" w:lineRule="auto"/>
        <w:rPr>
          <w:rFonts w:eastAsia="宋体"/>
          <w:color w:val="auto"/>
          <w:kern w:val="2"/>
          <w:sz w:val="21"/>
          <w:szCs w:val="21"/>
          <w:lang w:eastAsia="zh-CN" w:bidi="ar-SA"/>
        </w:rPr>
      </w:pPr>
      <w:r>
        <w:rPr>
          <w:rFonts w:hint="eastAsia" w:eastAsia="宋体"/>
          <w:color w:val="auto"/>
          <w:kern w:val="2"/>
          <w:sz w:val="21"/>
          <w:szCs w:val="21"/>
          <w:lang w:eastAsia="zh-CN" w:bidi="ar-SA"/>
        </w:rPr>
        <w:t>增加：</w:t>
      </w:r>
    </w:p>
    <w:p w14:paraId="566FF9DF">
      <w:pPr>
        <w:keepNext/>
        <w:keepLines/>
        <w:spacing w:line="360" w:lineRule="auto"/>
        <w:jc w:val="both"/>
        <w:outlineLvl w:val="2"/>
        <w:rPr>
          <w:rFonts w:eastAsia="宋体"/>
          <w:b/>
          <w:bCs/>
          <w:color w:val="auto"/>
          <w:kern w:val="2"/>
          <w:szCs w:val="32"/>
          <w:lang w:eastAsia="zh-CN" w:bidi="ar-SA"/>
        </w:rPr>
      </w:pPr>
      <w:bookmarkStart w:id="771" w:name="_Toc31767"/>
      <w:r>
        <w:rPr>
          <w:rFonts w:eastAsia="宋体"/>
          <w:b/>
          <w:bCs/>
          <w:color w:val="auto"/>
          <w:kern w:val="2"/>
          <w:szCs w:val="32"/>
          <w:lang w:eastAsia="zh-CN" w:bidi="ar-SA"/>
        </w:rPr>
        <w:t>1.13 委托人权利</w:t>
      </w:r>
      <w:bookmarkEnd w:id="771"/>
    </w:p>
    <w:p w14:paraId="20D1D580">
      <w:pPr>
        <w:spacing w:line="360" w:lineRule="auto"/>
        <w:ind w:firstLine="420" w:firstLineChars="200"/>
        <w:jc w:val="both"/>
        <w:rPr>
          <w:rFonts w:eastAsia="宋体"/>
          <w:color w:val="auto"/>
          <w:kern w:val="2"/>
          <w:sz w:val="21"/>
          <w:szCs w:val="21"/>
          <w:lang w:eastAsia="zh-CN" w:bidi="ar-SA"/>
        </w:rPr>
      </w:pPr>
      <w:r>
        <w:rPr>
          <w:rFonts w:hint="eastAsia" w:eastAsia="宋体"/>
          <w:color w:val="auto"/>
          <w:kern w:val="2"/>
          <w:sz w:val="21"/>
          <w:szCs w:val="21"/>
          <w:lang w:eastAsia="zh-CN" w:bidi="ar-SA"/>
        </w:rPr>
        <w:t xml:space="preserve">⑴ </w:t>
      </w:r>
      <w:r>
        <w:rPr>
          <w:rFonts w:eastAsia="宋体"/>
          <w:color w:val="auto"/>
          <w:kern w:val="2"/>
          <w:sz w:val="21"/>
          <w:szCs w:val="21"/>
          <w:lang w:eastAsia="zh-CN" w:bidi="ar-SA"/>
        </w:rPr>
        <w:t>对监理工作进行监督、检查，并提出撤换不能胜任监理工作人员的建议或要求</w:t>
      </w:r>
      <w:r>
        <w:rPr>
          <w:rFonts w:hint="eastAsia" w:eastAsia="宋体"/>
          <w:color w:val="auto"/>
          <w:kern w:val="2"/>
          <w:sz w:val="21"/>
          <w:szCs w:val="21"/>
          <w:lang w:eastAsia="zh-CN" w:bidi="ar-SA"/>
        </w:rPr>
        <w:t>，对监理人的违约行为进行处罚</w:t>
      </w:r>
      <w:r>
        <w:rPr>
          <w:rFonts w:eastAsia="宋体"/>
          <w:color w:val="auto"/>
          <w:kern w:val="2"/>
          <w:sz w:val="21"/>
          <w:szCs w:val="21"/>
          <w:lang w:eastAsia="zh-CN" w:bidi="ar-SA"/>
        </w:rPr>
        <w:t>；</w:t>
      </w:r>
    </w:p>
    <w:p w14:paraId="2CF86226">
      <w:pPr>
        <w:spacing w:line="360" w:lineRule="auto"/>
        <w:ind w:firstLine="420" w:firstLineChars="200"/>
        <w:jc w:val="both"/>
        <w:rPr>
          <w:rFonts w:eastAsia="宋体"/>
          <w:color w:val="auto"/>
          <w:kern w:val="2"/>
          <w:sz w:val="21"/>
          <w:szCs w:val="21"/>
          <w:lang w:eastAsia="zh-CN" w:bidi="ar-SA"/>
        </w:rPr>
      </w:pPr>
      <w:r>
        <w:rPr>
          <w:rFonts w:hint="eastAsia" w:eastAsia="宋体"/>
          <w:color w:val="auto"/>
          <w:kern w:val="2"/>
          <w:sz w:val="21"/>
          <w:szCs w:val="21"/>
          <w:lang w:eastAsia="zh-CN" w:bidi="ar-SA"/>
        </w:rPr>
        <w:t xml:space="preserve">⑵ </w:t>
      </w:r>
      <w:r>
        <w:rPr>
          <w:rFonts w:eastAsia="宋体"/>
          <w:color w:val="auto"/>
          <w:kern w:val="2"/>
          <w:sz w:val="21"/>
          <w:szCs w:val="21"/>
          <w:lang w:eastAsia="zh-CN" w:bidi="ar-SA"/>
        </w:rPr>
        <w:t>对工程建设中质量、安全、投资、进度方面的重大问题的决策权；</w:t>
      </w:r>
    </w:p>
    <w:p w14:paraId="4FDA0CB1">
      <w:pPr>
        <w:spacing w:line="360" w:lineRule="auto"/>
        <w:ind w:firstLine="420" w:firstLineChars="200"/>
        <w:jc w:val="both"/>
        <w:rPr>
          <w:rFonts w:eastAsia="宋体"/>
          <w:color w:val="auto"/>
          <w:kern w:val="2"/>
          <w:sz w:val="21"/>
          <w:szCs w:val="21"/>
          <w:lang w:eastAsia="zh-CN" w:bidi="ar-SA"/>
        </w:rPr>
      </w:pPr>
      <w:r>
        <w:rPr>
          <w:rFonts w:hint="eastAsia" w:eastAsia="宋体"/>
          <w:color w:val="auto"/>
          <w:kern w:val="2"/>
          <w:sz w:val="21"/>
          <w:szCs w:val="21"/>
          <w:lang w:eastAsia="zh-CN" w:bidi="ar-SA"/>
        </w:rPr>
        <w:t xml:space="preserve">⑶ </w:t>
      </w:r>
      <w:r>
        <w:rPr>
          <w:rFonts w:eastAsia="宋体"/>
          <w:color w:val="auto"/>
          <w:kern w:val="2"/>
          <w:sz w:val="21"/>
          <w:szCs w:val="21"/>
          <w:lang w:eastAsia="zh-CN" w:bidi="ar-SA"/>
        </w:rPr>
        <w:t>核定监理人签发的工程计量、付款凭证；</w:t>
      </w:r>
    </w:p>
    <w:p w14:paraId="7B25C7AD">
      <w:pPr>
        <w:spacing w:line="360" w:lineRule="auto"/>
        <w:ind w:firstLine="420" w:firstLineChars="200"/>
        <w:jc w:val="both"/>
        <w:rPr>
          <w:rFonts w:eastAsia="宋体"/>
          <w:color w:val="auto"/>
          <w:kern w:val="2"/>
          <w:sz w:val="21"/>
          <w:szCs w:val="21"/>
          <w:lang w:eastAsia="zh-CN" w:bidi="ar-SA"/>
        </w:rPr>
      </w:pPr>
      <w:r>
        <w:rPr>
          <w:rFonts w:hint="eastAsia" w:eastAsia="宋体"/>
          <w:color w:val="auto"/>
          <w:kern w:val="2"/>
          <w:sz w:val="21"/>
          <w:szCs w:val="21"/>
          <w:lang w:eastAsia="zh-CN" w:bidi="ar-SA"/>
        </w:rPr>
        <w:t xml:space="preserve">⑷ </w:t>
      </w:r>
      <w:r>
        <w:rPr>
          <w:rFonts w:eastAsia="宋体"/>
          <w:color w:val="auto"/>
          <w:kern w:val="2"/>
          <w:sz w:val="21"/>
          <w:szCs w:val="21"/>
          <w:lang w:eastAsia="zh-CN" w:bidi="ar-SA"/>
        </w:rPr>
        <w:t>要求监理人提交监理月报、监理专题报告、监理工作报告和监理工作总结报告</w:t>
      </w:r>
      <w:r>
        <w:rPr>
          <w:rFonts w:hint="eastAsia" w:eastAsia="宋体"/>
          <w:color w:val="auto"/>
          <w:kern w:val="2"/>
          <w:sz w:val="21"/>
          <w:szCs w:val="21"/>
          <w:lang w:eastAsia="zh-CN" w:bidi="ar-SA"/>
        </w:rPr>
        <w:t>。</w:t>
      </w:r>
    </w:p>
    <w:p w14:paraId="736A2ED5">
      <w:pPr>
        <w:keepNext/>
        <w:keepLines/>
        <w:spacing w:line="360" w:lineRule="auto"/>
        <w:jc w:val="both"/>
        <w:outlineLvl w:val="2"/>
        <w:rPr>
          <w:rFonts w:eastAsia="宋体"/>
          <w:b/>
          <w:bCs/>
          <w:color w:val="auto"/>
          <w:kern w:val="2"/>
          <w:szCs w:val="32"/>
          <w:lang w:eastAsia="zh-CN" w:bidi="ar-SA"/>
        </w:rPr>
      </w:pPr>
      <w:bookmarkStart w:id="772" w:name="_Toc19810"/>
      <w:r>
        <w:rPr>
          <w:rFonts w:eastAsia="宋体"/>
          <w:b/>
          <w:bCs/>
          <w:color w:val="auto"/>
          <w:kern w:val="2"/>
          <w:szCs w:val="32"/>
          <w:lang w:eastAsia="zh-CN" w:bidi="ar-SA"/>
        </w:rPr>
        <w:t>1.14 监理人权利</w:t>
      </w:r>
      <w:bookmarkEnd w:id="772"/>
    </w:p>
    <w:p w14:paraId="4B938C4D">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委托人赋予监理人如下权利：</w:t>
      </w:r>
    </w:p>
    <w:p w14:paraId="767A479A">
      <w:pPr>
        <w:spacing w:line="360" w:lineRule="auto"/>
        <w:ind w:firstLine="420" w:firstLineChars="200"/>
        <w:jc w:val="both"/>
        <w:rPr>
          <w:rFonts w:eastAsia="宋体"/>
          <w:color w:val="auto"/>
          <w:kern w:val="2"/>
          <w:sz w:val="21"/>
          <w:szCs w:val="21"/>
          <w:lang w:eastAsia="zh-CN" w:bidi="ar-SA"/>
        </w:rPr>
      </w:pPr>
      <w:r>
        <w:rPr>
          <w:rFonts w:hint="eastAsia" w:eastAsia="宋体"/>
          <w:color w:val="auto"/>
          <w:kern w:val="2"/>
          <w:sz w:val="21"/>
          <w:szCs w:val="21"/>
          <w:lang w:eastAsia="zh-CN" w:bidi="ar-SA"/>
        </w:rPr>
        <w:t xml:space="preserve">⑴ </w:t>
      </w:r>
      <w:r>
        <w:rPr>
          <w:rFonts w:eastAsia="宋体"/>
          <w:color w:val="auto"/>
          <w:kern w:val="2"/>
          <w:sz w:val="21"/>
          <w:szCs w:val="21"/>
          <w:lang w:eastAsia="zh-CN" w:bidi="ar-SA"/>
        </w:rPr>
        <w:t>审查承包人拟选择的分包项目和分包人，报委托人批准；</w:t>
      </w:r>
    </w:p>
    <w:p w14:paraId="4C19D2C9">
      <w:pPr>
        <w:spacing w:line="360" w:lineRule="auto"/>
        <w:ind w:firstLine="420" w:firstLineChars="200"/>
        <w:jc w:val="both"/>
        <w:rPr>
          <w:rFonts w:eastAsia="宋体"/>
          <w:color w:val="auto"/>
          <w:kern w:val="2"/>
          <w:sz w:val="21"/>
          <w:szCs w:val="21"/>
          <w:lang w:eastAsia="zh-CN" w:bidi="ar-SA"/>
        </w:rPr>
      </w:pPr>
      <w:r>
        <w:rPr>
          <w:rFonts w:hint="eastAsia" w:eastAsia="宋体"/>
          <w:color w:val="auto"/>
          <w:kern w:val="2"/>
          <w:sz w:val="21"/>
          <w:szCs w:val="21"/>
          <w:lang w:eastAsia="zh-CN" w:bidi="ar-SA"/>
        </w:rPr>
        <w:t xml:space="preserve">⑵ </w:t>
      </w:r>
      <w:r>
        <w:rPr>
          <w:rFonts w:eastAsia="宋体"/>
          <w:color w:val="auto"/>
          <w:kern w:val="2"/>
          <w:sz w:val="21"/>
          <w:szCs w:val="21"/>
          <w:lang w:eastAsia="zh-CN" w:bidi="ar-SA"/>
        </w:rPr>
        <w:t>审查承包人提交的施工组织设计、安全技术措施及专项施工方案等各类文件；</w:t>
      </w:r>
    </w:p>
    <w:p w14:paraId="15B83BF8">
      <w:pPr>
        <w:spacing w:line="360" w:lineRule="auto"/>
        <w:ind w:firstLine="420" w:firstLineChars="200"/>
        <w:jc w:val="both"/>
        <w:rPr>
          <w:rFonts w:eastAsia="宋体"/>
          <w:color w:val="auto"/>
          <w:kern w:val="2"/>
          <w:sz w:val="21"/>
          <w:szCs w:val="21"/>
          <w:lang w:eastAsia="zh-CN" w:bidi="ar-SA"/>
        </w:rPr>
      </w:pPr>
      <w:r>
        <w:rPr>
          <w:rFonts w:hint="eastAsia" w:eastAsia="宋体"/>
          <w:color w:val="auto"/>
          <w:kern w:val="2"/>
          <w:sz w:val="21"/>
          <w:szCs w:val="21"/>
          <w:lang w:eastAsia="zh-CN" w:bidi="ar-SA"/>
        </w:rPr>
        <w:t xml:space="preserve">⑶ </w:t>
      </w:r>
      <w:r>
        <w:rPr>
          <w:rFonts w:eastAsia="宋体"/>
          <w:color w:val="auto"/>
          <w:kern w:val="2"/>
          <w:sz w:val="21"/>
          <w:szCs w:val="21"/>
          <w:lang w:eastAsia="zh-CN" w:bidi="ar-SA"/>
        </w:rPr>
        <w:t>核查并签发施工图纸；</w:t>
      </w:r>
    </w:p>
    <w:p w14:paraId="57E14F7E">
      <w:pPr>
        <w:spacing w:line="360" w:lineRule="auto"/>
        <w:ind w:firstLine="420" w:firstLineChars="200"/>
        <w:jc w:val="both"/>
        <w:rPr>
          <w:rFonts w:eastAsia="宋体"/>
          <w:color w:val="auto"/>
          <w:kern w:val="2"/>
          <w:sz w:val="21"/>
          <w:szCs w:val="21"/>
          <w:lang w:eastAsia="zh-CN" w:bidi="ar-SA"/>
        </w:rPr>
      </w:pPr>
      <w:r>
        <w:rPr>
          <w:rFonts w:hint="eastAsia" w:eastAsia="宋体"/>
          <w:color w:val="auto"/>
          <w:kern w:val="2"/>
          <w:sz w:val="21"/>
          <w:szCs w:val="21"/>
          <w:lang w:eastAsia="zh-CN" w:bidi="ar-SA"/>
        </w:rPr>
        <w:t xml:space="preserve">⑷ </w:t>
      </w:r>
      <w:r>
        <w:rPr>
          <w:rFonts w:eastAsia="宋体"/>
          <w:color w:val="auto"/>
          <w:kern w:val="2"/>
          <w:sz w:val="21"/>
          <w:szCs w:val="21"/>
          <w:lang w:eastAsia="zh-CN" w:bidi="ar-SA"/>
        </w:rPr>
        <w:t>签发合同项目开工令、暂停施工指示，但应事先征得委托人同意；并签发通知、指示、批复、签认等各种文件；</w:t>
      </w:r>
    </w:p>
    <w:p w14:paraId="79B369AA">
      <w:pPr>
        <w:spacing w:line="360" w:lineRule="auto"/>
        <w:ind w:firstLine="420" w:firstLineChars="200"/>
        <w:jc w:val="both"/>
        <w:rPr>
          <w:rFonts w:eastAsia="宋体"/>
          <w:color w:val="auto"/>
          <w:kern w:val="2"/>
          <w:sz w:val="21"/>
          <w:szCs w:val="21"/>
          <w:lang w:eastAsia="zh-CN" w:bidi="ar-SA"/>
        </w:rPr>
      </w:pPr>
      <w:r>
        <w:rPr>
          <w:rFonts w:hint="eastAsia" w:eastAsia="宋体"/>
          <w:color w:val="auto"/>
          <w:kern w:val="2"/>
          <w:sz w:val="21"/>
          <w:szCs w:val="21"/>
          <w:lang w:eastAsia="zh-CN" w:bidi="ar-SA"/>
        </w:rPr>
        <w:t xml:space="preserve">⑸ </w:t>
      </w:r>
      <w:r>
        <w:rPr>
          <w:rFonts w:eastAsia="宋体"/>
          <w:color w:val="auto"/>
          <w:kern w:val="2"/>
          <w:sz w:val="21"/>
          <w:szCs w:val="21"/>
          <w:lang w:eastAsia="zh-CN" w:bidi="ar-SA"/>
        </w:rPr>
        <w:t>审核和签发工程计量、付款凭证；</w:t>
      </w:r>
    </w:p>
    <w:p w14:paraId="72E9973D">
      <w:pPr>
        <w:spacing w:line="360" w:lineRule="auto"/>
        <w:ind w:firstLine="420" w:firstLineChars="200"/>
        <w:jc w:val="both"/>
        <w:rPr>
          <w:rFonts w:eastAsia="宋体"/>
          <w:color w:val="auto"/>
          <w:kern w:val="2"/>
          <w:sz w:val="21"/>
          <w:szCs w:val="21"/>
          <w:lang w:eastAsia="zh-CN" w:bidi="ar-SA"/>
        </w:rPr>
      </w:pPr>
      <w:r>
        <w:rPr>
          <w:rFonts w:hint="eastAsia" w:eastAsia="宋体"/>
          <w:color w:val="auto"/>
          <w:kern w:val="2"/>
          <w:sz w:val="21"/>
          <w:szCs w:val="21"/>
          <w:lang w:eastAsia="zh-CN" w:bidi="ar-SA"/>
        </w:rPr>
        <w:t xml:space="preserve">⑹ </w:t>
      </w:r>
      <w:r>
        <w:rPr>
          <w:rFonts w:eastAsia="宋体"/>
          <w:color w:val="auto"/>
          <w:kern w:val="2"/>
          <w:sz w:val="21"/>
          <w:szCs w:val="21"/>
          <w:lang w:eastAsia="zh-CN" w:bidi="ar-SA"/>
        </w:rPr>
        <w:t>核查承包人现场工作人员数量及相应岗位资格，有权要求承包人撤换不称职的现场工作人员；</w:t>
      </w:r>
    </w:p>
    <w:p w14:paraId="065C025D">
      <w:pPr>
        <w:spacing w:line="360" w:lineRule="auto"/>
        <w:ind w:firstLine="420" w:firstLineChars="200"/>
        <w:jc w:val="both"/>
        <w:rPr>
          <w:rFonts w:eastAsia="宋体"/>
          <w:color w:val="auto"/>
          <w:kern w:val="2"/>
          <w:sz w:val="21"/>
          <w:szCs w:val="21"/>
          <w:lang w:eastAsia="zh-CN" w:bidi="ar-SA"/>
        </w:rPr>
      </w:pPr>
      <w:r>
        <w:rPr>
          <w:rFonts w:hint="eastAsia" w:eastAsia="宋体"/>
          <w:color w:val="auto"/>
          <w:kern w:val="2"/>
          <w:sz w:val="21"/>
          <w:szCs w:val="21"/>
          <w:lang w:eastAsia="zh-CN" w:bidi="ar-SA"/>
        </w:rPr>
        <w:t xml:space="preserve">⑺ </w:t>
      </w:r>
      <w:r>
        <w:rPr>
          <w:rFonts w:eastAsia="宋体"/>
          <w:color w:val="auto"/>
          <w:kern w:val="2"/>
          <w:sz w:val="21"/>
          <w:szCs w:val="21"/>
          <w:lang w:eastAsia="zh-CN" w:bidi="ar-SA"/>
        </w:rPr>
        <w:t>发现承包人使用的</w:t>
      </w:r>
      <w:r>
        <w:rPr>
          <w:rFonts w:hint="eastAsia" w:eastAsia="宋体"/>
          <w:color w:val="auto"/>
          <w:kern w:val="2"/>
          <w:sz w:val="21"/>
          <w:szCs w:val="21"/>
          <w:lang w:eastAsia="zh-CN" w:bidi="ar-SA"/>
        </w:rPr>
        <w:t>施工材料、</w:t>
      </w:r>
      <w:r>
        <w:rPr>
          <w:rFonts w:eastAsia="宋体"/>
          <w:color w:val="auto"/>
          <w:kern w:val="2"/>
          <w:sz w:val="21"/>
          <w:szCs w:val="21"/>
          <w:lang w:eastAsia="zh-CN" w:bidi="ar-SA"/>
        </w:rPr>
        <w:t>施工设备影响工程质量或进度时，有权要求承包人更换或增加</w:t>
      </w:r>
      <w:r>
        <w:rPr>
          <w:rFonts w:hint="eastAsia" w:eastAsia="宋体"/>
          <w:color w:val="auto"/>
          <w:kern w:val="2"/>
          <w:sz w:val="21"/>
          <w:szCs w:val="21"/>
          <w:lang w:eastAsia="zh-CN" w:bidi="ar-SA"/>
        </w:rPr>
        <w:t>。</w:t>
      </w:r>
    </w:p>
    <w:p w14:paraId="12D35F5D">
      <w:pPr>
        <w:keepNext/>
        <w:keepLines/>
        <w:spacing w:line="360" w:lineRule="auto"/>
        <w:outlineLvl w:val="1"/>
        <w:rPr>
          <w:rFonts w:ascii="Arial" w:hAnsi="Arial" w:eastAsia="宋体"/>
          <w:b/>
          <w:bCs/>
          <w:color w:val="auto"/>
          <w:kern w:val="2"/>
          <w:sz w:val="28"/>
          <w:szCs w:val="32"/>
          <w:lang w:eastAsia="zh-CN" w:bidi="ar-SA"/>
        </w:rPr>
      </w:pPr>
      <w:bookmarkStart w:id="773" w:name="_Toc8478"/>
      <w:bookmarkStart w:id="774" w:name="_Toc504633920"/>
      <w:r>
        <w:rPr>
          <w:rFonts w:ascii="Arial" w:hAnsi="Arial" w:eastAsia="宋体"/>
          <w:b/>
          <w:bCs/>
          <w:color w:val="auto"/>
          <w:kern w:val="2"/>
          <w:sz w:val="28"/>
          <w:szCs w:val="32"/>
          <w:lang w:eastAsia="zh-CN" w:bidi="ar-SA"/>
        </w:rPr>
        <w:t xml:space="preserve">2. </w:t>
      </w:r>
      <w:r>
        <w:rPr>
          <w:rFonts w:hint="eastAsia" w:ascii="Arial" w:hAnsi="Arial" w:eastAsia="宋体"/>
          <w:b/>
          <w:bCs/>
          <w:color w:val="auto"/>
          <w:kern w:val="2"/>
          <w:sz w:val="28"/>
          <w:szCs w:val="32"/>
          <w:lang w:eastAsia="zh-CN" w:bidi="ar-SA"/>
        </w:rPr>
        <w:t>委托人义务</w:t>
      </w:r>
      <w:bookmarkEnd w:id="773"/>
      <w:bookmarkEnd w:id="774"/>
    </w:p>
    <w:p w14:paraId="51FE2164">
      <w:pPr>
        <w:keepNext/>
        <w:keepLines/>
        <w:spacing w:line="360" w:lineRule="auto"/>
        <w:jc w:val="both"/>
        <w:outlineLvl w:val="2"/>
        <w:rPr>
          <w:rFonts w:eastAsia="宋体"/>
          <w:b/>
          <w:bCs/>
          <w:color w:val="auto"/>
          <w:kern w:val="2"/>
          <w:szCs w:val="32"/>
          <w:lang w:eastAsia="zh-CN" w:bidi="ar-SA"/>
        </w:rPr>
      </w:pPr>
      <w:bookmarkStart w:id="775" w:name="_Toc15491"/>
      <w:r>
        <w:rPr>
          <w:rFonts w:eastAsia="宋体"/>
          <w:b/>
          <w:bCs/>
          <w:color w:val="auto"/>
          <w:kern w:val="2"/>
          <w:szCs w:val="32"/>
          <w:lang w:eastAsia="zh-CN" w:bidi="ar-SA"/>
        </w:rPr>
        <w:t xml:space="preserve">2.2 </w:t>
      </w:r>
      <w:r>
        <w:rPr>
          <w:rFonts w:hint="eastAsia" w:eastAsia="宋体"/>
          <w:b/>
          <w:bCs/>
          <w:color w:val="auto"/>
          <w:kern w:val="2"/>
          <w:szCs w:val="32"/>
          <w:lang w:eastAsia="zh-CN" w:bidi="ar-SA"/>
        </w:rPr>
        <w:t>发出开始监理通知</w:t>
      </w:r>
      <w:bookmarkEnd w:id="775"/>
    </w:p>
    <w:p w14:paraId="1D53D26C">
      <w:pPr>
        <w:spacing w:line="360" w:lineRule="auto"/>
        <w:ind w:firstLine="420" w:firstLineChars="200"/>
        <w:jc w:val="both"/>
        <w:rPr>
          <w:rFonts w:eastAsia="宋体"/>
          <w:color w:val="auto"/>
          <w:kern w:val="2"/>
          <w:sz w:val="21"/>
          <w:szCs w:val="21"/>
          <w:lang w:eastAsia="zh-CN" w:bidi="ar-SA"/>
        </w:rPr>
      </w:pPr>
      <w:r>
        <w:rPr>
          <w:rFonts w:hint="eastAsia" w:eastAsia="宋体"/>
          <w:color w:val="auto"/>
          <w:kern w:val="2"/>
          <w:sz w:val="21"/>
          <w:szCs w:val="21"/>
          <w:lang w:eastAsia="zh-CN" w:bidi="ar-SA"/>
        </w:rPr>
        <w:t>细化为：</w:t>
      </w:r>
    </w:p>
    <w:p w14:paraId="33BC2B96">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委托人应按第6.1款的约定向监理人发出开始监理通知。</w:t>
      </w:r>
    </w:p>
    <w:p w14:paraId="54E0F5BA">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监理人的现场人员，在施工期间</w:t>
      </w:r>
      <w:r>
        <w:rPr>
          <w:rFonts w:hint="eastAsia" w:eastAsia="宋体"/>
          <w:color w:val="auto"/>
          <w:kern w:val="2"/>
          <w:sz w:val="21"/>
          <w:szCs w:val="21"/>
          <w:lang w:eastAsia="zh-CN" w:bidi="ar-SA"/>
        </w:rPr>
        <w:t>所需的</w:t>
      </w:r>
      <w:r>
        <w:rPr>
          <w:rFonts w:eastAsia="宋体"/>
          <w:color w:val="auto"/>
          <w:kern w:val="2"/>
          <w:sz w:val="21"/>
          <w:szCs w:val="21"/>
          <w:lang w:eastAsia="zh-CN" w:bidi="ar-SA"/>
        </w:rPr>
        <w:t>办公房间、办公桌椅、互联网接口、冷暖设施、生活设施、进出现场交通服务和其他条件</w:t>
      </w:r>
      <w:r>
        <w:rPr>
          <w:rFonts w:hint="eastAsia" w:eastAsia="宋体"/>
          <w:color w:val="auto"/>
          <w:kern w:val="2"/>
          <w:sz w:val="21"/>
          <w:szCs w:val="21"/>
          <w:lang w:eastAsia="zh-CN" w:bidi="ar-SA"/>
        </w:rPr>
        <w:t>，由监理人</w:t>
      </w:r>
      <w:r>
        <w:rPr>
          <w:rFonts w:eastAsia="宋体"/>
          <w:color w:val="auto"/>
          <w:kern w:val="2"/>
          <w:sz w:val="21"/>
          <w:szCs w:val="21"/>
          <w:lang w:eastAsia="zh-CN" w:bidi="ar-SA"/>
        </w:rPr>
        <w:t>自行配备，其费用包含在监理服务费报价中。</w:t>
      </w:r>
    </w:p>
    <w:p w14:paraId="553FD169">
      <w:pPr>
        <w:keepNext/>
        <w:keepLines/>
        <w:spacing w:line="360" w:lineRule="auto"/>
        <w:outlineLvl w:val="1"/>
        <w:rPr>
          <w:rFonts w:ascii="Arial" w:hAnsi="Arial" w:eastAsia="宋体"/>
          <w:b/>
          <w:bCs/>
          <w:color w:val="auto"/>
          <w:kern w:val="2"/>
          <w:sz w:val="28"/>
          <w:szCs w:val="32"/>
          <w:lang w:eastAsia="zh-CN" w:bidi="ar-SA"/>
        </w:rPr>
      </w:pPr>
      <w:bookmarkStart w:id="776" w:name="_Toc7735"/>
      <w:bookmarkStart w:id="777" w:name="_Toc504633921"/>
      <w:r>
        <w:rPr>
          <w:rFonts w:ascii="Arial" w:hAnsi="Arial" w:eastAsia="宋体"/>
          <w:b/>
          <w:bCs/>
          <w:color w:val="auto"/>
          <w:kern w:val="2"/>
          <w:sz w:val="28"/>
          <w:szCs w:val="32"/>
          <w:lang w:eastAsia="zh-CN" w:bidi="ar-SA"/>
        </w:rPr>
        <w:t xml:space="preserve">4. </w:t>
      </w:r>
      <w:r>
        <w:rPr>
          <w:rFonts w:hint="eastAsia" w:ascii="Arial" w:hAnsi="Arial" w:eastAsia="宋体"/>
          <w:b/>
          <w:bCs/>
          <w:color w:val="auto"/>
          <w:kern w:val="2"/>
          <w:sz w:val="28"/>
          <w:szCs w:val="32"/>
          <w:lang w:eastAsia="zh-CN" w:bidi="ar-SA"/>
        </w:rPr>
        <w:t>监理人义务</w:t>
      </w:r>
      <w:bookmarkEnd w:id="776"/>
      <w:bookmarkEnd w:id="777"/>
    </w:p>
    <w:p w14:paraId="0C51981E">
      <w:pPr>
        <w:keepNext/>
        <w:keepLines/>
        <w:spacing w:line="360" w:lineRule="auto"/>
        <w:jc w:val="both"/>
        <w:outlineLvl w:val="2"/>
        <w:rPr>
          <w:rFonts w:eastAsia="宋体"/>
          <w:b/>
          <w:bCs/>
          <w:color w:val="auto"/>
          <w:kern w:val="2"/>
          <w:szCs w:val="32"/>
          <w:lang w:eastAsia="zh-CN" w:bidi="ar-SA"/>
        </w:rPr>
      </w:pPr>
      <w:bookmarkStart w:id="778" w:name="_Toc13924"/>
      <w:r>
        <w:rPr>
          <w:rFonts w:hint="eastAsia" w:eastAsia="宋体"/>
          <w:b/>
          <w:bCs/>
          <w:color w:val="auto"/>
          <w:kern w:val="2"/>
          <w:szCs w:val="32"/>
          <w:lang w:eastAsia="zh-CN" w:bidi="ar-SA"/>
        </w:rPr>
        <w:t>4</w:t>
      </w:r>
      <w:r>
        <w:rPr>
          <w:rFonts w:eastAsia="宋体"/>
          <w:b/>
          <w:bCs/>
          <w:color w:val="auto"/>
          <w:kern w:val="2"/>
          <w:szCs w:val="32"/>
          <w:lang w:eastAsia="zh-CN" w:bidi="ar-SA"/>
        </w:rPr>
        <w:t xml:space="preserve">.2 </w:t>
      </w:r>
      <w:r>
        <w:rPr>
          <w:rFonts w:hint="eastAsia" w:eastAsia="宋体"/>
          <w:b/>
          <w:bCs/>
          <w:color w:val="auto"/>
          <w:kern w:val="2"/>
          <w:szCs w:val="32"/>
          <w:lang w:eastAsia="zh-CN" w:bidi="ar-SA"/>
        </w:rPr>
        <w:t>履约保证金</w:t>
      </w:r>
      <w:bookmarkEnd w:id="778"/>
    </w:p>
    <w:p w14:paraId="31456AC0">
      <w:pPr>
        <w:spacing w:line="360" w:lineRule="auto"/>
        <w:ind w:firstLine="420" w:firstLineChars="200"/>
        <w:jc w:val="both"/>
        <w:rPr>
          <w:rFonts w:eastAsia="宋体"/>
          <w:color w:val="auto"/>
          <w:kern w:val="2"/>
          <w:sz w:val="21"/>
          <w:szCs w:val="21"/>
          <w:lang w:eastAsia="zh-CN" w:bidi="ar-SA"/>
        </w:rPr>
      </w:pPr>
      <w:r>
        <w:rPr>
          <w:rFonts w:hint="eastAsia" w:eastAsia="宋体"/>
          <w:color w:val="auto"/>
          <w:kern w:val="2"/>
          <w:sz w:val="21"/>
          <w:szCs w:val="21"/>
          <w:lang w:eastAsia="zh-CN" w:bidi="ar-SA"/>
        </w:rPr>
        <w:t>细化为：</w:t>
      </w:r>
    </w:p>
    <w:p w14:paraId="4F1D15E6">
      <w:pPr>
        <w:spacing w:line="360" w:lineRule="auto"/>
        <w:ind w:firstLine="420" w:firstLineChars="200"/>
        <w:jc w:val="both"/>
        <w:rPr>
          <w:rFonts w:eastAsia="宋体"/>
          <w:color w:val="auto"/>
          <w:kern w:val="2"/>
          <w:sz w:val="21"/>
          <w:szCs w:val="21"/>
          <w:lang w:eastAsia="zh-CN" w:bidi="ar-SA"/>
        </w:rPr>
      </w:pPr>
      <w:r>
        <w:rPr>
          <w:rFonts w:hint="eastAsia" w:eastAsia="宋体"/>
          <w:color w:val="auto"/>
          <w:kern w:val="2"/>
          <w:sz w:val="21"/>
          <w:szCs w:val="21"/>
          <w:lang w:eastAsia="zh-CN" w:bidi="ar-SA"/>
        </w:rPr>
        <w:t>监理人在收到中标通知书后30天内并在签订合同协议书之前，应向委托人提交履约担保，担保金额详见第二章投标人须知前附表第7</w:t>
      </w:r>
      <w:r>
        <w:rPr>
          <w:rFonts w:eastAsia="宋体"/>
          <w:color w:val="auto"/>
          <w:kern w:val="2"/>
          <w:sz w:val="21"/>
          <w:szCs w:val="21"/>
          <w:lang w:eastAsia="zh-CN" w:bidi="ar-SA"/>
        </w:rPr>
        <w:t>.6.1</w:t>
      </w:r>
      <w:r>
        <w:rPr>
          <w:rFonts w:hint="eastAsia" w:eastAsia="宋体"/>
          <w:color w:val="auto"/>
          <w:kern w:val="2"/>
          <w:sz w:val="21"/>
          <w:szCs w:val="21"/>
          <w:lang w:eastAsia="zh-CN" w:bidi="ar-SA"/>
        </w:rPr>
        <w:t>款，履约担保应采用现金担保或银行保函形式。采用现金保证金时，监理人应从其基本账户以转账或电汇形式转入委托人指定的银行账户内；采用银行保函时，出具履约担保的银行必须为监理人所在地的国有商业银行或股份制商业银行的支行及以上级别的银行。监理人应确保此保函一直有效并可执行，</w:t>
      </w:r>
      <w:r>
        <w:rPr>
          <w:rFonts w:eastAsia="宋体"/>
          <w:color w:val="auto"/>
          <w:kern w:val="2"/>
          <w:sz w:val="21"/>
          <w:szCs w:val="21"/>
          <w:lang w:eastAsia="zh-CN" w:bidi="ar-SA"/>
        </w:rPr>
        <w:t>如果监理人不履行合同约定的义务或其履行不符合合同的约定，委托人有权扣划相应金额的履约保证金。</w:t>
      </w:r>
      <w:r>
        <w:rPr>
          <w:rFonts w:hint="eastAsia" w:ascii="宋体" w:hAnsi="宋体" w:eastAsia="宋体"/>
          <w:color w:val="auto"/>
          <w:kern w:val="2"/>
          <w:sz w:val="21"/>
          <w:szCs w:val="21"/>
          <w:lang w:eastAsia="zh-CN" w:bidi="ar-SA"/>
        </w:rPr>
        <w:t>在签发工程缺陷责任终止证书后28日内，委托人向监理人退还履约保证金或保函自动失效</w:t>
      </w:r>
      <w:r>
        <w:rPr>
          <w:rFonts w:hint="eastAsia" w:eastAsia="宋体"/>
          <w:color w:val="auto"/>
          <w:kern w:val="2"/>
          <w:sz w:val="21"/>
          <w:szCs w:val="21"/>
          <w:lang w:eastAsia="zh-CN" w:bidi="ar-SA"/>
        </w:rPr>
        <w:t>。</w:t>
      </w:r>
    </w:p>
    <w:p w14:paraId="29DE03B4">
      <w:pPr>
        <w:spacing w:line="360" w:lineRule="auto"/>
        <w:ind w:firstLine="420" w:firstLineChars="200"/>
        <w:jc w:val="both"/>
        <w:rPr>
          <w:rFonts w:eastAsia="宋体"/>
          <w:color w:val="auto"/>
          <w:kern w:val="2"/>
          <w:sz w:val="21"/>
          <w:szCs w:val="21"/>
          <w:lang w:eastAsia="zh-CN" w:bidi="ar-SA"/>
        </w:rPr>
      </w:pPr>
      <w:r>
        <w:rPr>
          <w:rFonts w:hint="eastAsia" w:eastAsia="宋体"/>
          <w:color w:val="auto"/>
          <w:kern w:val="2"/>
          <w:sz w:val="21"/>
          <w:szCs w:val="21"/>
          <w:lang w:eastAsia="zh-CN" w:bidi="ar-SA"/>
        </w:rPr>
        <w:t>保函的正本由委托人保存。执行本条各项要求所需的费用由监理人承担。</w:t>
      </w:r>
    </w:p>
    <w:p w14:paraId="4540E07D">
      <w:pPr>
        <w:keepNext/>
        <w:keepLines/>
        <w:spacing w:line="360" w:lineRule="auto"/>
        <w:ind w:firstLine="137"/>
        <w:jc w:val="both"/>
        <w:outlineLvl w:val="2"/>
        <w:rPr>
          <w:rFonts w:eastAsia="宋体"/>
          <w:b/>
          <w:bCs/>
          <w:color w:val="auto"/>
          <w:kern w:val="2"/>
          <w:szCs w:val="32"/>
          <w:lang w:eastAsia="zh-CN" w:bidi="ar-SA"/>
        </w:rPr>
      </w:pPr>
      <w:bookmarkStart w:id="779" w:name="_Toc27435"/>
      <w:bookmarkStart w:id="780" w:name="_Hlk45107649"/>
      <w:r>
        <w:rPr>
          <w:rFonts w:hint="eastAsia" w:eastAsia="宋体"/>
          <w:b/>
          <w:bCs/>
          <w:color w:val="auto"/>
          <w:kern w:val="2"/>
          <w:szCs w:val="32"/>
          <w:lang w:eastAsia="zh-CN" w:bidi="ar-SA"/>
        </w:rPr>
        <w:t>4</w:t>
      </w:r>
      <w:r>
        <w:rPr>
          <w:rFonts w:eastAsia="宋体"/>
          <w:b/>
          <w:bCs/>
          <w:color w:val="auto"/>
          <w:kern w:val="2"/>
          <w:szCs w:val="32"/>
          <w:lang w:eastAsia="zh-CN" w:bidi="ar-SA"/>
        </w:rPr>
        <w:t xml:space="preserve">.5 </w:t>
      </w:r>
      <w:r>
        <w:rPr>
          <w:rFonts w:hint="eastAsia" w:eastAsia="宋体"/>
          <w:b/>
          <w:bCs/>
          <w:color w:val="auto"/>
          <w:kern w:val="2"/>
          <w:szCs w:val="32"/>
          <w:lang w:eastAsia="zh-CN" w:bidi="ar-SA"/>
        </w:rPr>
        <w:t>监理人员的管理</w:t>
      </w:r>
      <w:bookmarkEnd w:id="779"/>
    </w:p>
    <w:p w14:paraId="64F0FBEA">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4.5.2</w:t>
      </w:r>
      <w:r>
        <w:rPr>
          <w:rFonts w:hint="eastAsia" w:eastAsia="宋体"/>
          <w:color w:val="auto"/>
          <w:kern w:val="2"/>
          <w:sz w:val="21"/>
          <w:szCs w:val="21"/>
          <w:lang w:eastAsia="zh-CN" w:bidi="ar-SA"/>
        </w:rPr>
        <w:t>细化为：</w:t>
      </w:r>
    </w:p>
    <w:p w14:paraId="0BFD3E6A">
      <w:pPr>
        <w:spacing w:line="360" w:lineRule="auto"/>
        <w:ind w:firstLine="420" w:firstLineChars="200"/>
        <w:jc w:val="both"/>
        <w:rPr>
          <w:rFonts w:eastAsia="宋体"/>
          <w:color w:val="auto"/>
          <w:kern w:val="2"/>
          <w:sz w:val="21"/>
          <w:szCs w:val="21"/>
          <w:lang w:eastAsia="zh-CN" w:bidi="ar-SA"/>
        </w:rPr>
      </w:pPr>
      <w:r>
        <w:rPr>
          <w:rFonts w:hint="eastAsia" w:eastAsia="宋体"/>
          <w:color w:val="auto"/>
          <w:kern w:val="2"/>
          <w:sz w:val="21"/>
          <w:szCs w:val="21"/>
          <w:lang w:eastAsia="zh-CN" w:bidi="ar-SA"/>
        </w:rPr>
        <w:t>主要监理人员包括总监理工程师、专业监理工程师等；其他人员包括各专业的监理员、资料员等。监理人进场后应根据工程具体情况和实际需要配置相应的监理员，以满足本项目监理工作的需要。</w:t>
      </w:r>
    </w:p>
    <w:p w14:paraId="0D502C65">
      <w:pPr>
        <w:spacing w:line="360" w:lineRule="auto"/>
        <w:ind w:firstLine="420" w:firstLineChars="200"/>
        <w:jc w:val="both"/>
        <w:rPr>
          <w:rFonts w:eastAsia="宋体"/>
          <w:color w:val="auto"/>
          <w:kern w:val="2"/>
          <w:sz w:val="21"/>
          <w:szCs w:val="21"/>
          <w:lang w:eastAsia="zh-CN" w:bidi="ar-SA"/>
        </w:rPr>
      </w:pPr>
      <w:r>
        <w:rPr>
          <w:rFonts w:hint="eastAsia" w:eastAsia="宋体"/>
          <w:color w:val="auto"/>
          <w:kern w:val="2"/>
          <w:sz w:val="21"/>
          <w:szCs w:val="21"/>
          <w:lang w:eastAsia="zh-CN" w:bidi="ar-SA"/>
        </w:rPr>
        <w:t>增加4</w:t>
      </w:r>
      <w:r>
        <w:rPr>
          <w:rFonts w:eastAsia="宋体"/>
          <w:color w:val="auto"/>
          <w:kern w:val="2"/>
          <w:sz w:val="21"/>
          <w:szCs w:val="21"/>
          <w:lang w:eastAsia="zh-CN" w:bidi="ar-SA"/>
        </w:rPr>
        <w:t>.5.5</w:t>
      </w:r>
    </w:p>
    <w:p w14:paraId="57C3E7E5">
      <w:pPr>
        <w:jc w:val="both"/>
        <w:rPr>
          <w:rFonts w:eastAsia="宋体"/>
          <w:color w:val="auto"/>
          <w:kern w:val="2"/>
          <w:sz w:val="21"/>
          <w:lang w:eastAsia="zh-CN" w:bidi="ar-SA"/>
        </w:rPr>
      </w:pPr>
      <w:r>
        <w:rPr>
          <w:rFonts w:hint="eastAsia" w:ascii="宋体" w:hAnsi="宋体" w:eastAsia="宋体"/>
          <w:color w:val="auto"/>
          <w:kern w:val="2"/>
          <w:sz w:val="21"/>
          <w:szCs w:val="21"/>
          <w:lang w:eastAsia="zh-CN" w:bidi="ar-SA"/>
        </w:rPr>
        <w:t>监理人应在签订合同协议书后14天内，按投标文件中承诺配置的监理人员及数量编制进场计划，并报委托人批准。所有专业监理工程师及以上人员数量应保持不变（因工程施工内容变化而引起的专业监理工程师进退场除外）。监理人可根据工程进展情况，合理调配监理员的人数及进出场时间，监理员人数的增减应取得委托人的同意。监理人须如实记录派驻到本项目的监理人员的出勤情况及工作内容，经委托人代表审核并签字确认（每月确认一次）后，在每季度末随监理服务费支付申请表一同提交给委托人。如监理人当月在岗人数实际上不能达到委托人同意的进场计划人数，委托人有权扣除当月缺少部分人月的监理服务费，并视为监理人违约，委托人还有权按《新余市港口水运基础设施建设项目-袁河航道提升工程新余段库区工程第二标段监理管理办法》对监理人课以违约金。</w:t>
      </w:r>
      <w:bookmarkStart w:id="781" w:name="_Hlk62224091"/>
    </w:p>
    <w:bookmarkEnd w:id="781"/>
    <w:p w14:paraId="11A427CB">
      <w:pPr>
        <w:spacing w:line="360" w:lineRule="auto"/>
        <w:ind w:firstLine="420" w:firstLineChars="200"/>
        <w:jc w:val="both"/>
        <w:rPr>
          <w:rFonts w:eastAsia="宋体"/>
          <w:color w:val="auto"/>
          <w:kern w:val="2"/>
          <w:sz w:val="21"/>
          <w:szCs w:val="21"/>
          <w:lang w:eastAsia="zh-CN" w:bidi="ar-SA"/>
        </w:rPr>
      </w:pPr>
      <w:r>
        <w:rPr>
          <w:rFonts w:hint="eastAsia" w:eastAsia="宋体"/>
          <w:color w:val="auto"/>
          <w:kern w:val="2"/>
          <w:sz w:val="21"/>
          <w:szCs w:val="21"/>
          <w:lang w:eastAsia="zh-CN" w:bidi="ar-SA"/>
        </w:rPr>
        <w:t>增加4.5.6</w:t>
      </w:r>
    </w:p>
    <w:p w14:paraId="619743ED">
      <w:pPr>
        <w:spacing w:line="360" w:lineRule="auto"/>
        <w:ind w:firstLine="420" w:firstLineChars="200"/>
        <w:jc w:val="both"/>
        <w:rPr>
          <w:rFonts w:hint="eastAsia" w:ascii="宋体" w:hAnsi="宋体" w:eastAsia="宋体"/>
          <w:color w:val="auto"/>
          <w:kern w:val="2"/>
          <w:sz w:val="21"/>
          <w:szCs w:val="21"/>
          <w:lang w:eastAsia="zh-CN" w:bidi="ar-SA"/>
        </w:rPr>
      </w:pPr>
      <w:r>
        <w:rPr>
          <w:rFonts w:hint="eastAsia" w:ascii="宋体" w:hAnsi="宋体" w:eastAsia="宋体"/>
          <w:color w:val="auto"/>
          <w:kern w:val="2"/>
          <w:sz w:val="21"/>
          <w:szCs w:val="21"/>
          <w:lang w:eastAsia="zh-CN" w:bidi="ar-SA"/>
        </w:rPr>
        <w:t>尽管监理人已按投标文件的人员进场计划派遣监理人员，但若委托人认为监理人员仍不足以满足施工监理服务的需要而影响了对正常监理服务范围的监管时，委托人有权要求监理人另行增派监理人员。监理人在接到通知后应立即执行委托人的指示，不得无故拖延。监理人因此增加的费用支出应视为已包括在其投标报价中，委托人将不另行支付。</w:t>
      </w:r>
    </w:p>
    <w:bookmarkEnd w:id="780"/>
    <w:p w14:paraId="0315C93F">
      <w:pPr>
        <w:keepNext/>
        <w:keepLines/>
        <w:spacing w:line="360" w:lineRule="auto"/>
        <w:outlineLvl w:val="1"/>
        <w:rPr>
          <w:rFonts w:ascii="Arial" w:hAnsi="Arial" w:eastAsia="宋体"/>
          <w:b/>
          <w:bCs/>
          <w:color w:val="auto"/>
          <w:kern w:val="2"/>
          <w:sz w:val="28"/>
          <w:szCs w:val="32"/>
          <w:lang w:eastAsia="zh-CN" w:bidi="ar-SA"/>
        </w:rPr>
      </w:pPr>
      <w:bookmarkStart w:id="782" w:name="_Toc30047"/>
      <w:bookmarkStart w:id="783" w:name="_Toc504633922"/>
      <w:r>
        <w:rPr>
          <w:rFonts w:ascii="Arial" w:hAnsi="Arial" w:eastAsia="宋体"/>
          <w:b/>
          <w:bCs/>
          <w:color w:val="auto"/>
          <w:kern w:val="2"/>
          <w:sz w:val="28"/>
          <w:szCs w:val="32"/>
          <w:lang w:eastAsia="zh-CN" w:bidi="ar-SA"/>
        </w:rPr>
        <w:t xml:space="preserve">5. </w:t>
      </w:r>
      <w:r>
        <w:rPr>
          <w:rFonts w:hint="eastAsia" w:ascii="Arial" w:hAnsi="Arial" w:eastAsia="宋体"/>
          <w:b/>
          <w:bCs/>
          <w:color w:val="auto"/>
          <w:kern w:val="2"/>
          <w:sz w:val="28"/>
          <w:szCs w:val="32"/>
          <w:lang w:eastAsia="zh-CN" w:bidi="ar-SA"/>
        </w:rPr>
        <w:t>监理要求</w:t>
      </w:r>
      <w:bookmarkEnd w:id="782"/>
      <w:bookmarkEnd w:id="783"/>
    </w:p>
    <w:p w14:paraId="75D629CF">
      <w:pPr>
        <w:keepNext/>
        <w:keepLines/>
        <w:spacing w:line="360" w:lineRule="auto"/>
        <w:jc w:val="both"/>
        <w:outlineLvl w:val="2"/>
        <w:rPr>
          <w:rFonts w:eastAsia="宋体"/>
          <w:b/>
          <w:bCs/>
          <w:color w:val="auto"/>
          <w:kern w:val="2"/>
          <w:szCs w:val="32"/>
          <w:lang w:eastAsia="zh-CN" w:bidi="ar-SA"/>
        </w:rPr>
      </w:pPr>
      <w:bookmarkStart w:id="784" w:name="_Toc15324"/>
      <w:r>
        <w:rPr>
          <w:rFonts w:eastAsia="宋体"/>
          <w:b/>
          <w:bCs/>
          <w:color w:val="auto"/>
          <w:kern w:val="2"/>
          <w:szCs w:val="32"/>
          <w:lang w:eastAsia="zh-CN" w:bidi="ar-SA"/>
        </w:rPr>
        <w:t xml:space="preserve">5.1 </w:t>
      </w:r>
      <w:r>
        <w:rPr>
          <w:rFonts w:hint="eastAsia" w:eastAsia="宋体"/>
          <w:b/>
          <w:bCs/>
          <w:color w:val="auto"/>
          <w:kern w:val="2"/>
          <w:szCs w:val="32"/>
          <w:lang w:eastAsia="zh-CN" w:bidi="ar-SA"/>
        </w:rPr>
        <w:t>监理范围</w:t>
      </w:r>
      <w:bookmarkEnd w:id="784"/>
    </w:p>
    <w:p w14:paraId="340EE5AF">
      <w:pPr>
        <w:spacing w:line="360" w:lineRule="auto"/>
        <w:ind w:firstLine="420" w:firstLineChars="200"/>
        <w:jc w:val="both"/>
        <w:rPr>
          <w:rFonts w:eastAsia="宋体"/>
          <w:color w:val="auto"/>
          <w:kern w:val="2"/>
          <w:sz w:val="21"/>
          <w:szCs w:val="21"/>
          <w:lang w:eastAsia="zh-CN" w:bidi="ar-SA"/>
        </w:rPr>
      </w:pPr>
      <w:r>
        <w:rPr>
          <w:rFonts w:hint="eastAsia" w:eastAsia="宋体"/>
          <w:color w:val="auto"/>
          <w:kern w:val="2"/>
          <w:sz w:val="21"/>
          <w:szCs w:val="21"/>
          <w:lang w:eastAsia="zh-CN" w:bidi="ar-SA"/>
        </w:rPr>
        <w:t>5.1.2细化为：</w:t>
      </w:r>
    </w:p>
    <w:p w14:paraId="3A8E4251">
      <w:pPr>
        <w:spacing w:line="360" w:lineRule="auto"/>
        <w:ind w:firstLine="420" w:firstLineChars="200"/>
        <w:jc w:val="both"/>
        <w:rPr>
          <w:rFonts w:eastAsia="宋体"/>
          <w:color w:val="auto"/>
          <w:kern w:val="2"/>
          <w:sz w:val="21"/>
          <w:szCs w:val="21"/>
          <w:lang w:eastAsia="zh-CN" w:bidi="ar-SA"/>
        </w:rPr>
      </w:pPr>
      <w:bookmarkStart w:id="785" w:name="_Hlk504548114"/>
      <w:r>
        <w:rPr>
          <w:rFonts w:eastAsia="宋体"/>
          <w:color w:val="auto"/>
          <w:kern w:val="2"/>
          <w:sz w:val="21"/>
          <w:szCs w:val="21"/>
          <w:lang w:eastAsia="zh-CN" w:bidi="ar-SA"/>
        </w:rPr>
        <w:t>监理服务的工程范围：</w:t>
      </w:r>
      <w:r>
        <w:rPr>
          <w:rFonts w:hint="eastAsia" w:eastAsia="宋体"/>
          <w:color w:val="auto"/>
          <w:kern w:val="2"/>
          <w:sz w:val="21"/>
          <w:szCs w:val="21"/>
          <w:lang w:eastAsia="zh-CN" w:bidi="ar-SA"/>
        </w:rPr>
        <w:t>在施工阶段（施工准备期、施工期及交工验收期）和缺陷责任期阶段对港池、航道疏浚，陆域形成及地基处理、水工建筑物、堆场道路、生产辅助建筑物、装卸设备采购及安装、配套工程等进行施工监理（不含实体试验检测）。</w:t>
      </w:r>
    </w:p>
    <w:bookmarkEnd w:id="785"/>
    <w:p w14:paraId="7E92EBCC">
      <w:pPr>
        <w:tabs>
          <w:tab w:val="left" w:pos="3912"/>
        </w:tabs>
        <w:spacing w:line="360" w:lineRule="auto"/>
        <w:ind w:firstLine="420" w:firstLineChars="200"/>
        <w:jc w:val="both"/>
        <w:rPr>
          <w:rFonts w:eastAsia="宋体"/>
          <w:color w:val="auto"/>
          <w:kern w:val="2"/>
          <w:sz w:val="21"/>
          <w:szCs w:val="21"/>
          <w:lang w:eastAsia="zh-CN" w:bidi="ar-SA"/>
        </w:rPr>
      </w:pPr>
      <w:r>
        <w:rPr>
          <w:rFonts w:hint="eastAsia" w:eastAsia="宋体"/>
          <w:color w:val="auto"/>
          <w:kern w:val="2"/>
          <w:sz w:val="21"/>
          <w:szCs w:val="21"/>
          <w:lang w:eastAsia="zh-CN" w:bidi="ar-SA"/>
        </w:rPr>
        <w:t>5</w:t>
      </w:r>
      <w:r>
        <w:rPr>
          <w:rFonts w:eastAsia="宋体"/>
          <w:color w:val="auto"/>
          <w:kern w:val="2"/>
          <w:sz w:val="21"/>
          <w:szCs w:val="21"/>
          <w:lang w:eastAsia="zh-CN" w:bidi="ar-SA"/>
        </w:rPr>
        <w:t>.1.3</w:t>
      </w:r>
      <w:r>
        <w:rPr>
          <w:rFonts w:hint="eastAsia" w:eastAsia="宋体"/>
          <w:color w:val="auto"/>
          <w:kern w:val="2"/>
          <w:sz w:val="21"/>
          <w:szCs w:val="21"/>
          <w:lang w:eastAsia="zh-CN" w:bidi="ar-SA"/>
        </w:rPr>
        <w:t>细化为：</w:t>
      </w:r>
    </w:p>
    <w:p w14:paraId="656CF129">
      <w:pPr>
        <w:spacing w:line="360" w:lineRule="auto"/>
        <w:ind w:firstLine="420" w:firstLineChars="200"/>
        <w:jc w:val="both"/>
        <w:rPr>
          <w:rFonts w:hint="eastAsia" w:ascii="宋体" w:hAnsi="宋体" w:eastAsia="宋体"/>
          <w:color w:val="auto"/>
          <w:kern w:val="2"/>
          <w:sz w:val="21"/>
          <w:szCs w:val="21"/>
          <w:lang w:eastAsia="zh-CN" w:bidi="ar-SA"/>
        </w:rPr>
      </w:pPr>
      <w:r>
        <w:rPr>
          <w:rFonts w:hint="eastAsia" w:ascii="宋体" w:hAnsi="宋体" w:eastAsia="宋体"/>
          <w:color w:val="auto"/>
          <w:kern w:val="2"/>
          <w:sz w:val="21"/>
          <w:szCs w:val="21"/>
          <w:lang w:eastAsia="zh-CN" w:bidi="ar-SA"/>
        </w:rPr>
        <w:t>本项目监理服务阶段范围包括在施工阶段（施工准备期、施工期及交工验收期）和缺陷责任期阶段。</w:t>
      </w:r>
    </w:p>
    <w:p w14:paraId="1F6C9C12">
      <w:pPr>
        <w:spacing w:line="360" w:lineRule="auto"/>
        <w:ind w:firstLine="420" w:firstLineChars="200"/>
        <w:jc w:val="both"/>
        <w:rPr>
          <w:rFonts w:hint="eastAsia" w:ascii="宋体" w:hAnsi="宋体" w:eastAsia="宋体"/>
          <w:color w:val="auto"/>
          <w:kern w:val="2"/>
          <w:sz w:val="21"/>
          <w:szCs w:val="21"/>
          <w:lang w:eastAsia="zh-CN" w:bidi="ar-SA"/>
        </w:rPr>
      </w:pPr>
      <w:r>
        <w:rPr>
          <w:rFonts w:ascii="宋体" w:hAnsi="宋体" w:eastAsia="宋体"/>
          <w:color w:val="auto"/>
          <w:kern w:val="2"/>
          <w:sz w:val="21"/>
          <w:szCs w:val="21"/>
          <w:lang w:eastAsia="zh-CN" w:bidi="ar-SA"/>
        </w:rPr>
        <w:t>施工</w:t>
      </w:r>
      <w:r>
        <w:rPr>
          <w:rFonts w:hint="eastAsia" w:ascii="宋体" w:hAnsi="宋体" w:eastAsia="宋体"/>
          <w:color w:val="auto"/>
          <w:kern w:val="2"/>
          <w:sz w:val="21"/>
          <w:szCs w:val="21"/>
          <w:lang w:eastAsia="zh-CN" w:bidi="ar-SA"/>
        </w:rPr>
        <w:t>阶段</w:t>
      </w:r>
      <w:r>
        <w:rPr>
          <w:rFonts w:ascii="宋体" w:hAnsi="宋体" w:eastAsia="宋体"/>
          <w:color w:val="auto"/>
          <w:kern w:val="2"/>
          <w:sz w:val="21"/>
          <w:szCs w:val="21"/>
          <w:lang w:eastAsia="zh-CN" w:bidi="ar-SA"/>
        </w:rPr>
        <w:t>监理服务时间：从监理合同签订之日起至合同工程交工验收</w:t>
      </w:r>
      <w:r>
        <w:rPr>
          <w:rFonts w:hint="eastAsia" w:ascii="宋体" w:hAnsi="宋体" w:eastAsia="宋体"/>
          <w:color w:val="auto"/>
          <w:kern w:val="2"/>
          <w:sz w:val="21"/>
          <w:szCs w:val="21"/>
          <w:lang w:eastAsia="zh-CN" w:bidi="ar-SA"/>
        </w:rPr>
        <w:t>通过</w:t>
      </w:r>
      <w:r>
        <w:rPr>
          <w:rFonts w:ascii="宋体" w:hAnsi="宋体" w:eastAsia="宋体"/>
          <w:color w:val="auto"/>
          <w:kern w:val="2"/>
          <w:sz w:val="21"/>
          <w:szCs w:val="21"/>
          <w:lang w:eastAsia="zh-CN" w:bidi="ar-SA"/>
        </w:rPr>
        <w:t xml:space="preserve">之日止。              </w:t>
      </w:r>
    </w:p>
    <w:p w14:paraId="24AC20C7">
      <w:pPr>
        <w:spacing w:line="360" w:lineRule="auto"/>
        <w:ind w:firstLine="420" w:firstLineChars="200"/>
        <w:jc w:val="both"/>
        <w:rPr>
          <w:rFonts w:hint="eastAsia" w:ascii="宋体" w:hAnsi="宋体" w:eastAsia="宋体"/>
          <w:color w:val="auto"/>
          <w:kern w:val="2"/>
          <w:sz w:val="21"/>
          <w:szCs w:val="21"/>
          <w:lang w:eastAsia="zh-CN" w:bidi="ar-SA"/>
        </w:rPr>
      </w:pPr>
      <w:r>
        <w:rPr>
          <w:rFonts w:ascii="宋体" w:hAnsi="宋体" w:eastAsia="宋体"/>
          <w:color w:val="auto"/>
          <w:kern w:val="2"/>
          <w:sz w:val="21"/>
          <w:szCs w:val="21"/>
          <w:lang w:eastAsia="zh-CN" w:bidi="ar-SA"/>
        </w:rPr>
        <w:t>缺陷责任期阶段监理服务时间：交工验收通过之日至缺陷责任期满。</w:t>
      </w:r>
    </w:p>
    <w:p w14:paraId="7A723BA5">
      <w:pPr>
        <w:spacing w:line="360" w:lineRule="auto"/>
        <w:ind w:firstLine="420" w:firstLineChars="200"/>
        <w:jc w:val="both"/>
        <w:rPr>
          <w:rFonts w:eastAsia="宋体"/>
          <w:color w:val="auto"/>
          <w:kern w:val="2"/>
          <w:sz w:val="21"/>
          <w:szCs w:val="21"/>
          <w:lang w:eastAsia="zh-CN" w:bidi="ar-SA"/>
        </w:rPr>
      </w:pPr>
      <w:r>
        <w:rPr>
          <w:rFonts w:hint="eastAsia" w:eastAsia="宋体"/>
          <w:color w:val="auto"/>
          <w:kern w:val="2"/>
          <w:sz w:val="21"/>
          <w:szCs w:val="21"/>
          <w:lang w:eastAsia="zh-CN" w:bidi="ar-SA"/>
        </w:rPr>
        <w:t>5.1.4细化为：</w:t>
      </w:r>
    </w:p>
    <w:p w14:paraId="0B67227B">
      <w:pPr>
        <w:autoSpaceDE w:val="0"/>
        <w:autoSpaceDN w:val="0"/>
        <w:adjustRightInd w:val="0"/>
        <w:spacing w:line="360" w:lineRule="auto"/>
        <w:ind w:firstLine="480"/>
        <w:jc w:val="both"/>
        <w:rPr>
          <w:rFonts w:eastAsia="宋体"/>
          <w:color w:val="auto"/>
          <w:kern w:val="2"/>
          <w:sz w:val="21"/>
          <w:szCs w:val="21"/>
          <w:lang w:eastAsia="zh-CN" w:bidi="ar-SA"/>
        </w:rPr>
      </w:pPr>
      <w:r>
        <w:rPr>
          <w:rFonts w:hint="eastAsia" w:eastAsia="宋体"/>
          <w:color w:val="auto"/>
          <w:kern w:val="2"/>
          <w:sz w:val="21"/>
          <w:szCs w:val="21"/>
          <w:lang w:eastAsia="zh-CN" w:bidi="ar-SA"/>
        </w:rPr>
        <w:t>本项目监理工作范围包括质量控制、进度控制、投资控制、合同管理、信息管理、组织协调和安全监理、环保水保监理的全过程监理服务。</w:t>
      </w:r>
    </w:p>
    <w:p w14:paraId="0EA26DC7">
      <w:pPr>
        <w:keepNext/>
        <w:keepLines/>
        <w:spacing w:line="360" w:lineRule="auto"/>
        <w:jc w:val="both"/>
        <w:outlineLvl w:val="2"/>
        <w:rPr>
          <w:rFonts w:eastAsia="宋体"/>
          <w:b/>
          <w:bCs/>
          <w:color w:val="auto"/>
          <w:kern w:val="2"/>
          <w:szCs w:val="32"/>
          <w:lang w:eastAsia="zh-CN" w:bidi="ar-SA"/>
        </w:rPr>
      </w:pPr>
      <w:bookmarkStart w:id="786" w:name="_Toc23819"/>
      <w:r>
        <w:rPr>
          <w:rFonts w:eastAsia="宋体"/>
          <w:b/>
          <w:bCs/>
          <w:color w:val="auto"/>
          <w:kern w:val="2"/>
          <w:szCs w:val="32"/>
          <w:lang w:eastAsia="zh-CN" w:bidi="ar-SA"/>
        </w:rPr>
        <w:t xml:space="preserve">5.3 </w:t>
      </w:r>
      <w:r>
        <w:rPr>
          <w:rFonts w:hint="eastAsia" w:eastAsia="宋体"/>
          <w:b/>
          <w:bCs/>
          <w:color w:val="auto"/>
          <w:kern w:val="2"/>
          <w:szCs w:val="32"/>
          <w:lang w:eastAsia="zh-CN" w:bidi="ar-SA"/>
        </w:rPr>
        <w:t>监理内容</w:t>
      </w:r>
      <w:bookmarkEnd w:id="786"/>
    </w:p>
    <w:p w14:paraId="085A1B67">
      <w:pPr>
        <w:spacing w:line="360" w:lineRule="auto"/>
        <w:ind w:firstLine="420" w:firstLineChars="200"/>
        <w:jc w:val="both"/>
        <w:rPr>
          <w:rFonts w:hint="eastAsia" w:ascii="宋体" w:hAnsi="宋体" w:eastAsia="宋体"/>
          <w:color w:val="auto"/>
          <w:kern w:val="2"/>
          <w:sz w:val="21"/>
          <w:szCs w:val="21"/>
          <w:lang w:eastAsia="zh-CN" w:bidi="ar-SA"/>
        </w:rPr>
      </w:pPr>
      <w:r>
        <w:rPr>
          <w:rFonts w:hint="eastAsia" w:ascii="宋体" w:hAnsi="宋体" w:eastAsia="宋体"/>
          <w:color w:val="auto"/>
          <w:kern w:val="2"/>
          <w:sz w:val="21"/>
          <w:szCs w:val="21"/>
          <w:lang w:eastAsia="zh-CN" w:bidi="ar-SA"/>
        </w:rPr>
        <w:t>文末增加：</w:t>
      </w:r>
    </w:p>
    <w:p w14:paraId="03D9E310">
      <w:pPr>
        <w:spacing w:line="360" w:lineRule="auto"/>
        <w:ind w:firstLine="420" w:firstLineChars="200"/>
        <w:jc w:val="both"/>
        <w:rPr>
          <w:rFonts w:eastAsia="宋体"/>
          <w:color w:val="auto"/>
          <w:kern w:val="2"/>
          <w:sz w:val="21"/>
          <w:szCs w:val="22"/>
          <w:lang w:eastAsia="zh-CN" w:bidi="ar-SA"/>
        </w:rPr>
      </w:pPr>
      <w:r>
        <w:rPr>
          <w:rFonts w:hint="eastAsia" w:eastAsia="宋体"/>
          <w:color w:val="auto"/>
          <w:kern w:val="2"/>
          <w:sz w:val="21"/>
          <w:szCs w:val="22"/>
          <w:lang w:eastAsia="zh-CN" w:bidi="ar-SA"/>
        </w:rPr>
        <w:t>（23）参加由委托人组织的工程量清单核查工作；</w:t>
      </w:r>
    </w:p>
    <w:p w14:paraId="58E88978">
      <w:pPr>
        <w:spacing w:line="360" w:lineRule="auto"/>
        <w:ind w:firstLine="420" w:firstLineChars="200"/>
        <w:jc w:val="both"/>
        <w:rPr>
          <w:rFonts w:hint="eastAsia" w:ascii="宋体" w:hAnsi="宋体" w:eastAsia="宋体"/>
          <w:color w:val="auto"/>
          <w:kern w:val="2"/>
          <w:sz w:val="21"/>
          <w:szCs w:val="21"/>
          <w:lang w:eastAsia="zh-CN" w:bidi="ar-SA"/>
        </w:rPr>
      </w:pPr>
      <w:r>
        <w:rPr>
          <w:rFonts w:eastAsia="宋体"/>
          <w:color w:val="auto"/>
          <w:kern w:val="2"/>
          <w:sz w:val="21"/>
          <w:szCs w:val="22"/>
          <w:lang w:eastAsia="zh-CN" w:bidi="ar-SA"/>
        </w:rPr>
        <w:t>（24）</w:t>
      </w:r>
      <w:r>
        <w:rPr>
          <w:rFonts w:ascii="宋体" w:hAnsi="宋体" w:eastAsia="宋体"/>
          <w:color w:val="auto"/>
          <w:kern w:val="2"/>
          <w:sz w:val="21"/>
          <w:szCs w:val="21"/>
          <w:lang w:eastAsia="zh-CN" w:bidi="ar-SA"/>
        </w:rPr>
        <w:t>参加</w:t>
      </w:r>
      <w:r>
        <w:rPr>
          <w:rFonts w:hint="eastAsia" w:ascii="宋体" w:hAnsi="宋体" w:eastAsia="宋体"/>
          <w:color w:val="auto"/>
          <w:kern w:val="2"/>
          <w:sz w:val="21"/>
          <w:szCs w:val="21"/>
          <w:lang w:eastAsia="zh-CN" w:bidi="ar-SA"/>
        </w:rPr>
        <w:t>（或主持）机电设备的设计联络会及技术联络会，</w:t>
      </w:r>
      <w:r>
        <w:rPr>
          <w:rFonts w:ascii="宋体" w:hAnsi="宋体" w:eastAsia="宋体"/>
          <w:color w:val="auto"/>
          <w:kern w:val="2"/>
          <w:sz w:val="21"/>
          <w:szCs w:val="21"/>
          <w:lang w:eastAsia="zh-CN" w:bidi="ar-SA"/>
        </w:rPr>
        <w:t>设备厂内试验及出厂验收</w:t>
      </w:r>
      <w:r>
        <w:rPr>
          <w:rFonts w:hint="eastAsia" w:ascii="宋体" w:hAnsi="宋体" w:eastAsia="宋体"/>
          <w:color w:val="auto"/>
          <w:kern w:val="2"/>
          <w:sz w:val="21"/>
          <w:szCs w:val="21"/>
          <w:lang w:eastAsia="zh-CN" w:bidi="ar-SA"/>
        </w:rPr>
        <w:t>；</w:t>
      </w:r>
    </w:p>
    <w:p w14:paraId="6BEEA452">
      <w:pPr>
        <w:spacing w:line="360" w:lineRule="auto"/>
        <w:ind w:firstLine="420" w:firstLineChars="200"/>
        <w:jc w:val="both"/>
        <w:rPr>
          <w:rFonts w:hint="eastAsia" w:ascii="宋体" w:hAnsi="宋体" w:eastAsia="宋体"/>
          <w:color w:val="auto"/>
          <w:kern w:val="2"/>
          <w:sz w:val="21"/>
          <w:szCs w:val="21"/>
          <w:lang w:eastAsia="zh-CN" w:bidi="ar-SA"/>
        </w:rPr>
      </w:pPr>
      <w:r>
        <w:rPr>
          <w:rFonts w:eastAsia="宋体"/>
          <w:color w:val="auto"/>
          <w:kern w:val="2"/>
          <w:sz w:val="21"/>
          <w:szCs w:val="22"/>
          <w:lang w:eastAsia="zh-CN" w:bidi="ar-SA"/>
        </w:rPr>
        <w:t>（25）</w:t>
      </w:r>
      <w:r>
        <w:rPr>
          <w:rFonts w:ascii="宋体" w:hAnsi="宋体" w:eastAsia="宋体"/>
          <w:color w:val="auto"/>
          <w:kern w:val="2"/>
          <w:sz w:val="21"/>
          <w:szCs w:val="21"/>
          <w:lang w:eastAsia="zh-CN" w:bidi="ar-SA"/>
        </w:rPr>
        <w:t>代表</w:t>
      </w:r>
      <w:r>
        <w:rPr>
          <w:rFonts w:hint="eastAsia" w:ascii="宋体" w:hAnsi="宋体" w:eastAsia="宋体"/>
          <w:color w:val="auto"/>
          <w:kern w:val="2"/>
          <w:sz w:val="21"/>
          <w:szCs w:val="21"/>
          <w:lang w:eastAsia="zh-CN" w:bidi="ar-SA"/>
        </w:rPr>
        <w:t>委托人组织对</w:t>
      </w:r>
      <w:r>
        <w:rPr>
          <w:rFonts w:ascii="宋体" w:hAnsi="宋体" w:eastAsia="宋体"/>
          <w:color w:val="auto"/>
          <w:kern w:val="2"/>
          <w:sz w:val="21"/>
          <w:szCs w:val="21"/>
          <w:lang w:eastAsia="zh-CN" w:bidi="ar-SA"/>
        </w:rPr>
        <w:t>到货设备</w:t>
      </w:r>
      <w:r>
        <w:rPr>
          <w:rFonts w:hint="eastAsia" w:ascii="宋体" w:hAnsi="宋体" w:eastAsia="宋体"/>
          <w:color w:val="auto"/>
          <w:kern w:val="2"/>
          <w:sz w:val="21"/>
          <w:szCs w:val="21"/>
          <w:lang w:eastAsia="zh-CN" w:bidi="ar-SA"/>
        </w:rPr>
        <w:t>进行</w:t>
      </w:r>
      <w:r>
        <w:rPr>
          <w:rFonts w:ascii="宋体" w:hAnsi="宋体" w:eastAsia="宋体"/>
          <w:color w:val="auto"/>
          <w:kern w:val="2"/>
          <w:sz w:val="21"/>
          <w:szCs w:val="21"/>
          <w:lang w:eastAsia="zh-CN" w:bidi="ar-SA"/>
        </w:rPr>
        <w:t>交接验收</w:t>
      </w:r>
      <w:r>
        <w:rPr>
          <w:rFonts w:hint="eastAsia" w:ascii="宋体" w:hAnsi="宋体" w:eastAsia="宋体"/>
          <w:color w:val="auto"/>
          <w:kern w:val="2"/>
          <w:sz w:val="21"/>
          <w:szCs w:val="21"/>
          <w:lang w:eastAsia="zh-CN" w:bidi="ar-SA"/>
        </w:rPr>
        <w:t>、安装调试、考核、验收等；</w:t>
      </w:r>
    </w:p>
    <w:p w14:paraId="3D22D4ED">
      <w:pPr>
        <w:spacing w:line="360" w:lineRule="auto"/>
        <w:ind w:firstLine="420" w:firstLineChars="200"/>
        <w:jc w:val="both"/>
        <w:rPr>
          <w:rFonts w:hint="eastAsia" w:ascii="宋体" w:hAnsi="宋体" w:eastAsia="宋体"/>
          <w:color w:val="auto"/>
          <w:kern w:val="2"/>
          <w:sz w:val="21"/>
          <w:szCs w:val="21"/>
          <w:lang w:eastAsia="zh-CN" w:bidi="ar-SA"/>
        </w:rPr>
      </w:pPr>
      <w:r>
        <w:rPr>
          <w:rFonts w:eastAsia="宋体"/>
          <w:color w:val="auto"/>
          <w:kern w:val="2"/>
          <w:sz w:val="21"/>
          <w:szCs w:val="22"/>
          <w:lang w:eastAsia="zh-CN" w:bidi="ar-SA"/>
        </w:rPr>
        <w:t>（26）</w:t>
      </w:r>
      <w:r>
        <w:rPr>
          <w:rFonts w:ascii="宋体" w:hAnsi="宋体" w:eastAsia="宋体"/>
          <w:color w:val="auto"/>
          <w:kern w:val="2"/>
          <w:sz w:val="21"/>
          <w:szCs w:val="21"/>
          <w:lang w:eastAsia="zh-CN" w:bidi="ar-SA"/>
        </w:rPr>
        <w:t>核查设备实际到货进度是否符合采购合同要求和工程进度要求，必要时，应向</w:t>
      </w:r>
      <w:r>
        <w:rPr>
          <w:rFonts w:hint="eastAsia" w:ascii="宋体" w:hAnsi="宋体" w:eastAsia="宋体"/>
          <w:color w:val="auto"/>
          <w:kern w:val="2"/>
          <w:sz w:val="21"/>
          <w:szCs w:val="21"/>
          <w:lang w:eastAsia="zh-CN" w:bidi="ar-SA"/>
        </w:rPr>
        <w:t>委托人</w:t>
      </w:r>
      <w:r>
        <w:rPr>
          <w:rFonts w:ascii="宋体" w:hAnsi="宋体" w:eastAsia="宋体"/>
          <w:color w:val="auto"/>
          <w:kern w:val="2"/>
          <w:sz w:val="21"/>
          <w:szCs w:val="21"/>
          <w:lang w:eastAsia="zh-CN" w:bidi="ar-SA"/>
        </w:rPr>
        <w:t>提出设备到货进度的调整意见</w:t>
      </w:r>
      <w:r>
        <w:rPr>
          <w:rFonts w:hint="eastAsia" w:ascii="宋体" w:hAnsi="宋体" w:eastAsia="宋体"/>
          <w:color w:val="auto"/>
          <w:kern w:val="2"/>
          <w:sz w:val="21"/>
          <w:szCs w:val="21"/>
          <w:lang w:eastAsia="zh-CN" w:bidi="ar-SA"/>
        </w:rPr>
        <w:t>；</w:t>
      </w:r>
    </w:p>
    <w:p w14:paraId="7C4F5ABD">
      <w:pPr>
        <w:spacing w:line="360" w:lineRule="auto"/>
        <w:ind w:firstLine="420" w:firstLineChars="200"/>
        <w:jc w:val="both"/>
        <w:rPr>
          <w:rFonts w:hint="eastAsia" w:ascii="宋体" w:hAnsi="宋体" w:eastAsia="宋体"/>
          <w:color w:val="auto"/>
          <w:kern w:val="2"/>
          <w:sz w:val="21"/>
          <w:szCs w:val="21"/>
          <w:lang w:eastAsia="zh-CN" w:bidi="ar-SA"/>
        </w:rPr>
      </w:pPr>
      <w:r>
        <w:rPr>
          <w:rFonts w:eastAsia="宋体"/>
          <w:color w:val="auto"/>
          <w:kern w:val="2"/>
          <w:sz w:val="21"/>
          <w:szCs w:val="22"/>
          <w:lang w:eastAsia="zh-CN" w:bidi="ar-SA"/>
        </w:rPr>
        <w:t>（27）</w:t>
      </w:r>
      <w:r>
        <w:rPr>
          <w:rFonts w:ascii="宋体" w:hAnsi="宋体" w:eastAsia="宋体"/>
          <w:color w:val="auto"/>
          <w:kern w:val="2"/>
          <w:sz w:val="21"/>
          <w:szCs w:val="21"/>
          <w:lang w:eastAsia="zh-CN" w:bidi="ar-SA"/>
        </w:rPr>
        <w:t>组织协调设备供货人现场代表与承包人之间的工作关系</w:t>
      </w:r>
      <w:r>
        <w:rPr>
          <w:rFonts w:hint="eastAsia" w:ascii="宋体" w:hAnsi="宋体" w:eastAsia="宋体"/>
          <w:color w:val="auto"/>
          <w:kern w:val="2"/>
          <w:sz w:val="21"/>
          <w:szCs w:val="21"/>
          <w:lang w:eastAsia="zh-CN" w:bidi="ar-SA"/>
        </w:rPr>
        <w:t>；</w:t>
      </w:r>
    </w:p>
    <w:p w14:paraId="0B591247">
      <w:pPr>
        <w:spacing w:line="360" w:lineRule="auto"/>
        <w:ind w:firstLine="420" w:firstLineChars="200"/>
        <w:jc w:val="both"/>
        <w:rPr>
          <w:rFonts w:hint="eastAsia" w:ascii="宋体" w:hAnsi="宋体" w:eastAsia="宋体"/>
          <w:color w:val="auto"/>
          <w:kern w:val="2"/>
          <w:sz w:val="21"/>
          <w:szCs w:val="21"/>
          <w:lang w:eastAsia="zh-CN" w:bidi="ar-SA"/>
        </w:rPr>
      </w:pPr>
      <w:r>
        <w:rPr>
          <w:rFonts w:eastAsia="宋体"/>
          <w:color w:val="auto"/>
          <w:kern w:val="2"/>
          <w:sz w:val="21"/>
          <w:szCs w:val="22"/>
          <w:lang w:eastAsia="zh-CN" w:bidi="ar-SA"/>
        </w:rPr>
        <w:t>（28）</w:t>
      </w:r>
      <w:r>
        <w:rPr>
          <w:rFonts w:hint="eastAsia" w:ascii="宋体" w:hAnsi="宋体" w:eastAsia="宋体"/>
          <w:color w:val="auto"/>
          <w:kern w:val="2"/>
          <w:sz w:val="21"/>
          <w:szCs w:val="21"/>
          <w:lang w:eastAsia="zh-CN" w:bidi="ar-SA"/>
        </w:rPr>
        <w:t>对</w:t>
      </w:r>
      <w:r>
        <w:rPr>
          <w:rFonts w:ascii="宋体" w:hAnsi="宋体" w:eastAsia="宋体"/>
          <w:color w:val="auto"/>
          <w:kern w:val="2"/>
          <w:sz w:val="21"/>
          <w:szCs w:val="21"/>
          <w:lang w:eastAsia="zh-CN" w:bidi="ar-SA"/>
        </w:rPr>
        <w:t>监造设备的工艺流程、制造质量</w:t>
      </w:r>
      <w:r>
        <w:rPr>
          <w:rFonts w:hint="eastAsia" w:ascii="宋体" w:hAnsi="宋体" w:eastAsia="宋体"/>
          <w:color w:val="auto"/>
          <w:kern w:val="2"/>
          <w:sz w:val="21"/>
          <w:szCs w:val="21"/>
          <w:lang w:eastAsia="zh-CN" w:bidi="ar-SA"/>
        </w:rPr>
        <w:t>、</w:t>
      </w:r>
      <w:r>
        <w:rPr>
          <w:rFonts w:ascii="宋体" w:hAnsi="宋体" w:eastAsia="宋体"/>
          <w:color w:val="auto"/>
          <w:kern w:val="2"/>
          <w:sz w:val="21"/>
          <w:szCs w:val="21"/>
          <w:lang w:eastAsia="zh-CN" w:bidi="ar-SA"/>
        </w:rPr>
        <w:t>制造进度</w:t>
      </w:r>
      <w:r>
        <w:rPr>
          <w:rFonts w:hint="eastAsia" w:ascii="宋体" w:hAnsi="宋体" w:eastAsia="宋体"/>
          <w:color w:val="auto"/>
          <w:kern w:val="2"/>
          <w:sz w:val="21"/>
          <w:szCs w:val="21"/>
          <w:lang w:eastAsia="zh-CN" w:bidi="ar-SA"/>
        </w:rPr>
        <w:t>等</w:t>
      </w:r>
      <w:r>
        <w:rPr>
          <w:rFonts w:ascii="宋体" w:hAnsi="宋体" w:eastAsia="宋体"/>
          <w:color w:val="auto"/>
          <w:kern w:val="2"/>
          <w:sz w:val="21"/>
          <w:szCs w:val="21"/>
          <w:lang w:eastAsia="zh-CN" w:bidi="ar-SA"/>
        </w:rPr>
        <w:t>进行监督</w:t>
      </w:r>
      <w:r>
        <w:rPr>
          <w:rFonts w:hint="eastAsia" w:ascii="宋体" w:hAnsi="宋体" w:eastAsia="宋体"/>
          <w:color w:val="auto"/>
          <w:kern w:val="2"/>
          <w:sz w:val="21"/>
          <w:szCs w:val="21"/>
          <w:lang w:eastAsia="zh-CN" w:bidi="ar-SA"/>
        </w:rPr>
        <w:t>；</w:t>
      </w:r>
      <w:r>
        <w:rPr>
          <w:rFonts w:ascii="宋体" w:hAnsi="宋体" w:eastAsia="宋体"/>
          <w:color w:val="auto"/>
          <w:kern w:val="2"/>
          <w:sz w:val="21"/>
          <w:szCs w:val="21"/>
          <w:lang w:eastAsia="zh-CN" w:bidi="ar-SA"/>
        </w:rPr>
        <w:t>对质量计划的控制点进行见证，并签字确认</w:t>
      </w:r>
      <w:r>
        <w:rPr>
          <w:rFonts w:hint="eastAsia" w:ascii="宋体" w:hAnsi="宋体" w:eastAsia="宋体"/>
          <w:color w:val="auto"/>
          <w:kern w:val="2"/>
          <w:sz w:val="21"/>
          <w:szCs w:val="21"/>
          <w:lang w:eastAsia="zh-CN" w:bidi="ar-SA"/>
        </w:rPr>
        <w:t>；</w:t>
      </w:r>
    </w:p>
    <w:p w14:paraId="731EECF4">
      <w:pPr>
        <w:spacing w:line="360" w:lineRule="auto"/>
        <w:ind w:firstLine="420" w:firstLineChars="200"/>
        <w:jc w:val="both"/>
        <w:rPr>
          <w:rFonts w:hint="eastAsia" w:ascii="宋体" w:hAnsi="宋体" w:eastAsia="宋体"/>
          <w:color w:val="auto"/>
          <w:kern w:val="2"/>
          <w:sz w:val="21"/>
          <w:szCs w:val="21"/>
          <w:lang w:eastAsia="zh-CN" w:bidi="ar-SA"/>
        </w:rPr>
      </w:pPr>
      <w:r>
        <w:rPr>
          <w:rFonts w:hint="eastAsia" w:ascii="宋体" w:hAnsi="宋体" w:eastAsia="宋体"/>
          <w:color w:val="auto"/>
          <w:kern w:val="2"/>
          <w:sz w:val="21"/>
          <w:szCs w:val="21"/>
          <w:lang w:eastAsia="zh-CN" w:bidi="ar-SA"/>
        </w:rPr>
        <w:t>（2</w:t>
      </w:r>
      <w:r>
        <w:rPr>
          <w:rFonts w:ascii="宋体" w:hAnsi="宋体" w:eastAsia="宋体"/>
          <w:color w:val="auto"/>
          <w:kern w:val="2"/>
          <w:sz w:val="21"/>
          <w:szCs w:val="21"/>
          <w:lang w:eastAsia="zh-CN" w:bidi="ar-SA"/>
        </w:rPr>
        <w:t>9</w:t>
      </w:r>
      <w:r>
        <w:rPr>
          <w:rFonts w:hint="eastAsia" w:ascii="宋体" w:hAnsi="宋体" w:eastAsia="宋体"/>
          <w:color w:val="auto"/>
          <w:kern w:val="2"/>
          <w:sz w:val="21"/>
          <w:szCs w:val="21"/>
          <w:lang w:eastAsia="zh-CN" w:bidi="ar-SA"/>
        </w:rPr>
        <w:t>）负责审核承包人的施工标准化实施方案并组织考评。</w:t>
      </w:r>
    </w:p>
    <w:p w14:paraId="04755191">
      <w:pPr>
        <w:spacing w:line="360" w:lineRule="auto"/>
        <w:ind w:firstLine="420" w:firstLineChars="200"/>
        <w:jc w:val="both"/>
        <w:rPr>
          <w:rFonts w:hint="eastAsia" w:ascii="宋体" w:hAnsi="宋体" w:eastAsia="宋体"/>
          <w:color w:val="auto"/>
          <w:kern w:val="2"/>
          <w:sz w:val="21"/>
          <w:szCs w:val="21"/>
          <w:lang w:eastAsia="zh-CN" w:bidi="ar-SA"/>
        </w:rPr>
      </w:pPr>
      <w:r>
        <w:rPr>
          <w:rFonts w:hint="eastAsia" w:ascii="宋体" w:hAnsi="宋体" w:eastAsia="宋体"/>
          <w:color w:val="auto"/>
          <w:kern w:val="2"/>
          <w:sz w:val="21"/>
          <w:szCs w:val="21"/>
          <w:lang w:eastAsia="zh-CN" w:bidi="ar-SA"/>
        </w:rPr>
        <w:t>（30）积极推行质量、健康、安全和环境管理体系。</w:t>
      </w:r>
    </w:p>
    <w:p w14:paraId="23C6E425">
      <w:pPr>
        <w:keepNext/>
        <w:keepLines/>
        <w:spacing w:line="360" w:lineRule="auto"/>
        <w:jc w:val="both"/>
        <w:outlineLvl w:val="2"/>
        <w:rPr>
          <w:rFonts w:eastAsia="宋体"/>
          <w:b/>
          <w:bCs/>
          <w:color w:val="auto"/>
          <w:kern w:val="2"/>
          <w:szCs w:val="32"/>
          <w:lang w:eastAsia="zh-CN" w:bidi="ar-SA"/>
        </w:rPr>
      </w:pPr>
      <w:bookmarkStart w:id="787" w:name="_Toc28601"/>
      <w:r>
        <w:rPr>
          <w:rFonts w:eastAsia="宋体"/>
          <w:b/>
          <w:bCs/>
          <w:color w:val="auto"/>
          <w:kern w:val="2"/>
          <w:szCs w:val="32"/>
          <w:lang w:eastAsia="zh-CN" w:bidi="ar-SA"/>
        </w:rPr>
        <w:t xml:space="preserve">5.4 </w:t>
      </w:r>
      <w:r>
        <w:rPr>
          <w:rFonts w:hint="eastAsia" w:eastAsia="宋体"/>
          <w:b/>
          <w:bCs/>
          <w:color w:val="auto"/>
          <w:kern w:val="2"/>
          <w:szCs w:val="32"/>
          <w:lang w:eastAsia="zh-CN" w:bidi="ar-SA"/>
        </w:rPr>
        <w:t>监理文件要求</w:t>
      </w:r>
      <w:bookmarkEnd w:id="787"/>
    </w:p>
    <w:p w14:paraId="202B2953">
      <w:pPr>
        <w:spacing w:line="360" w:lineRule="auto"/>
        <w:ind w:firstLine="420" w:firstLineChars="200"/>
        <w:jc w:val="both"/>
        <w:rPr>
          <w:rFonts w:eastAsia="宋体"/>
          <w:color w:val="auto"/>
          <w:kern w:val="2"/>
          <w:sz w:val="21"/>
          <w:szCs w:val="21"/>
          <w:lang w:eastAsia="zh-CN" w:bidi="ar-SA"/>
        </w:rPr>
      </w:pPr>
      <w:r>
        <w:rPr>
          <w:rFonts w:hint="eastAsia" w:eastAsia="宋体"/>
          <w:color w:val="auto"/>
          <w:kern w:val="2"/>
          <w:sz w:val="21"/>
          <w:szCs w:val="21"/>
          <w:lang w:eastAsia="zh-CN" w:bidi="ar-SA"/>
        </w:rPr>
        <w:t>5.4.3细化为：</w:t>
      </w:r>
    </w:p>
    <w:p w14:paraId="32DD0C60">
      <w:pPr>
        <w:spacing w:line="360" w:lineRule="auto"/>
        <w:ind w:firstLine="420" w:firstLineChars="200"/>
        <w:jc w:val="both"/>
        <w:rPr>
          <w:rFonts w:hint="eastAsia" w:ascii="宋体" w:hAnsi="宋体" w:eastAsia="宋体"/>
          <w:color w:val="auto"/>
          <w:kern w:val="2"/>
          <w:sz w:val="21"/>
          <w:szCs w:val="21"/>
          <w:lang w:eastAsia="zh-CN" w:bidi="ar-SA"/>
        </w:rPr>
      </w:pPr>
      <w:bookmarkStart w:id="788" w:name="_Toc13671709"/>
      <w:r>
        <w:rPr>
          <w:rFonts w:hint="eastAsia" w:ascii="宋体" w:hAnsi="宋体" w:eastAsia="宋体"/>
          <w:color w:val="auto"/>
          <w:kern w:val="2"/>
          <w:sz w:val="21"/>
          <w:szCs w:val="21"/>
          <w:lang w:eastAsia="zh-CN" w:bidi="ar-SA"/>
        </w:rPr>
        <w:t xml:space="preserve">⑴ </w:t>
      </w:r>
      <w:r>
        <w:rPr>
          <w:rFonts w:ascii="宋体" w:hAnsi="宋体" w:eastAsia="宋体"/>
          <w:color w:val="auto"/>
          <w:kern w:val="2"/>
          <w:sz w:val="21"/>
          <w:szCs w:val="21"/>
          <w:lang w:eastAsia="zh-CN" w:bidi="ar-SA"/>
        </w:rPr>
        <w:t>定期信息文件</w:t>
      </w:r>
      <w:bookmarkEnd w:id="788"/>
    </w:p>
    <w:p w14:paraId="653093B1">
      <w:pPr>
        <w:spacing w:line="360" w:lineRule="auto"/>
        <w:ind w:firstLine="420" w:firstLineChars="200"/>
        <w:jc w:val="both"/>
        <w:rPr>
          <w:rFonts w:hint="eastAsia" w:ascii="宋体" w:hAnsi="宋体" w:eastAsia="宋体"/>
          <w:color w:val="auto"/>
          <w:kern w:val="2"/>
          <w:sz w:val="21"/>
          <w:szCs w:val="21"/>
          <w:lang w:eastAsia="zh-CN" w:bidi="ar-SA"/>
        </w:rPr>
      </w:pPr>
      <w:r>
        <w:rPr>
          <w:rFonts w:ascii="宋体" w:hAnsi="宋体" w:eastAsia="宋体"/>
          <w:color w:val="auto"/>
          <w:kern w:val="2"/>
          <w:sz w:val="21"/>
          <w:szCs w:val="21"/>
          <w:lang w:eastAsia="zh-CN" w:bidi="ar-SA"/>
        </w:rPr>
        <w:t>按期编制监理周报、月报、季报、年报，并上报</w:t>
      </w:r>
      <w:r>
        <w:rPr>
          <w:rFonts w:hint="eastAsia" w:ascii="宋体" w:hAnsi="宋体" w:eastAsia="宋体"/>
          <w:color w:val="auto"/>
          <w:kern w:val="2"/>
          <w:sz w:val="21"/>
          <w:szCs w:val="21"/>
          <w:lang w:eastAsia="zh-CN" w:bidi="ar-SA"/>
        </w:rPr>
        <w:t>委托</w:t>
      </w:r>
      <w:r>
        <w:rPr>
          <w:rFonts w:ascii="宋体" w:hAnsi="宋体" w:eastAsia="宋体"/>
          <w:color w:val="auto"/>
          <w:kern w:val="2"/>
          <w:sz w:val="21"/>
          <w:szCs w:val="21"/>
          <w:lang w:eastAsia="zh-CN" w:bidi="ar-SA"/>
        </w:rPr>
        <w:t>人。周报在每周末(周日)上报，月报在每月2</w:t>
      </w:r>
      <w:r>
        <w:rPr>
          <w:rFonts w:hint="eastAsia" w:ascii="宋体" w:hAnsi="宋体" w:eastAsia="宋体"/>
          <w:color w:val="auto"/>
          <w:kern w:val="2"/>
          <w:sz w:val="21"/>
          <w:szCs w:val="21"/>
          <w:lang w:eastAsia="zh-CN" w:bidi="ar-SA"/>
        </w:rPr>
        <w:t>5</w:t>
      </w:r>
      <w:r>
        <w:rPr>
          <w:rFonts w:ascii="宋体" w:hAnsi="宋体" w:eastAsia="宋体"/>
          <w:color w:val="auto"/>
          <w:kern w:val="2"/>
          <w:sz w:val="21"/>
          <w:szCs w:val="21"/>
          <w:lang w:eastAsia="zh-CN" w:bidi="ar-SA"/>
        </w:rPr>
        <w:t>日前上报，季报在该季度最末一个月2</w:t>
      </w:r>
      <w:r>
        <w:rPr>
          <w:rFonts w:hint="eastAsia" w:ascii="宋体" w:hAnsi="宋体" w:eastAsia="宋体"/>
          <w:color w:val="auto"/>
          <w:kern w:val="2"/>
          <w:sz w:val="21"/>
          <w:szCs w:val="21"/>
          <w:lang w:eastAsia="zh-CN" w:bidi="ar-SA"/>
        </w:rPr>
        <w:t>5</w:t>
      </w:r>
      <w:r>
        <w:rPr>
          <w:rFonts w:ascii="宋体" w:hAnsi="宋体" w:eastAsia="宋体"/>
          <w:color w:val="auto"/>
          <w:kern w:val="2"/>
          <w:sz w:val="21"/>
          <w:szCs w:val="21"/>
          <w:lang w:eastAsia="zh-CN" w:bidi="ar-SA"/>
        </w:rPr>
        <w:t>日前上报。年报在每年12月25日前上报。(季报可与该季度最末一个月的月报合并上报，年报可与12月份的月报合并上报)</w:t>
      </w:r>
    </w:p>
    <w:p w14:paraId="139EDED2">
      <w:pPr>
        <w:spacing w:line="360" w:lineRule="auto"/>
        <w:ind w:firstLine="420" w:firstLineChars="200"/>
        <w:jc w:val="both"/>
        <w:rPr>
          <w:rFonts w:hint="eastAsia" w:ascii="宋体" w:hAnsi="宋体" w:eastAsia="宋体"/>
          <w:color w:val="auto"/>
          <w:kern w:val="2"/>
          <w:sz w:val="21"/>
          <w:szCs w:val="21"/>
          <w:lang w:eastAsia="zh-CN" w:bidi="ar-SA"/>
        </w:rPr>
      </w:pPr>
      <w:r>
        <w:rPr>
          <w:rFonts w:ascii="宋体" w:hAnsi="宋体" w:eastAsia="宋体"/>
          <w:color w:val="auto"/>
          <w:kern w:val="2"/>
          <w:sz w:val="21"/>
          <w:szCs w:val="21"/>
          <w:lang w:eastAsia="zh-CN" w:bidi="ar-SA"/>
        </w:rPr>
        <w:t>A、监理月报、季报、年报应包括以下主要内容：</w:t>
      </w:r>
    </w:p>
    <w:p w14:paraId="50D6D8E2">
      <w:pPr>
        <w:spacing w:line="360" w:lineRule="auto"/>
        <w:ind w:firstLine="420" w:firstLineChars="200"/>
        <w:jc w:val="both"/>
        <w:rPr>
          <w:rFonts w:hint="eastAsia" w:ascii="宋体" w:hAnsi="宋体" w:eastAsia="宋体"/>
          <w:color w:val="auto"/>
          <w:kern w:val="2"/>
          <w:sz w:val="21"/>
          <w:szCs w:val="21"/>
          <w:lang w:eastAsia="zh-CN" w:bidi="ar-SA"/>
        </w:rPr>
      </w:pPr>
      <w:r>
        <w:rPr>
          <w:rFonts w:ascii="宋体" w:hAnsi="宋体" w:eastAsia="宋体"/>
          <w:color w:val="auto"/>
          <w:kern w:val="2"/>
          <w:sz w:val="21"/>
          <w:szCs w:val="21"/>
          <w:lang w:eastAsia="zh-CN" w:bidi="ar-SA"/>
        </w:rPr>
        <w:t>1)项目概述：包括项目位置、项目主要特征及合同情况简介。</w:t>
      </w:r>
    </w:p>
    <w:p w14:paraId="5D4B3196">
      <w:pPr>
        <w:spacing w:line="360" w:lineRule="auto"/>
        <w:ind w:firstLine="420" w:firstLineChars="200"/>
        <w:jc w:val="both"/>
        <w:rPr>
          <w:rFonts w:hint="eastAsia" w:ascii="宋体" w:hAnsi="宋体" w:eastAsia="宋体"/>
          <w:color w:val="auto"/>
          <w:kern w:val="2"/>
          <w:sz w:val="21"/>
          <w:szCs w:val="21"/>
          <w:lang w:eastAsia="zh-CN" w:bidi="ar-SA"/>
        </w:rPr>
      </w:pPr>
      <w:r>
        <w:rPr>
          <w:rFonts w:ascii="宋体" w:hAnsi="宋体" w:eastAsia="宋体"/>
          <w:color w:val="auto"/>
          <w:kern w:val="2"/>
          <w:sz w:val="21"/>
          <w:szCs w:val="21"/>
          <w:lang w:eastAsia="zh-CN" w:bidi="ar-SA"/>
        </w:rPr>
        <w:t>2)大事记。</w:t>
      </w:r>
    </w:p>
    <w:p w14:paraId="28BA3F61">
      <w:pPr>
        <w:spacing w:line="360" w:lineRule="auto"/>
        <w:ind w:firstLine="420" w:firstLineChars="200"/>
        <w:jc w:val="both"/>
        <w:rPr>
          <w:rFonts w:hint="eastAsia" w:ascii="宋体" w:hAnsi="宋体" w:eastAsia="宋体"/>
          <w:color w:val="auto"/>
          <w:kern w:val="2"/>
          <w:sz w:val="21"/>
          <w:szCs w:val="21"/>
          <w:lang w:eastAsia="zh-CN" w:bidi="ar-SA"/>
        </w:rPr>
      </w:pPr>
      <w:r>
        <w:rPr>
          <w:rFonts w:ascii="宋体" w:hAnsi="宋体" w:eastAsia="宋体"/>
          <w:color w:val="auto"/>
          <w:kern w:val="2"/>
          <w:sz w:val="21"/>
          <w:szCs w:val="21"/>
          <w:lang w:eastAsia="zh-CN" w:bidi="ar-SA"/>
        </w:rPr>
        <w:t>3)工程进度与形象面貌：工程形象进度、已完工程量、进度计划执行情况及进度分析，应采取的进度措施。</w:t>
      </w:r>
    </w:p>
    <w:p w14:paraId="0C1E37B2">
      <w:pPr>
        <w:spacing w:line="360" w:lineRule="auto"/>
        <w:ind w:firstLine="420" w:firstLineChars="200"/>
        <w:jc w:val="both"/>
        <w:rPr>
          <w:rFonts w:hint="eastAsia" w:ascii="宋体" w:hAnsi="宋体" w:eastAsia="宋体"/>
          <w:color w:val="auto"/>
          <w:kern w:val="2"/>
          <w:sz w:val="21"/>
          <w:szCs w:val="21"/>
          <w:lang w:eastAsia="zh-CN" w:bidi="ar-SA"/>
        </w:rPr>
      </w:pPr>
      <w:r>
        <w:rPr>
          <w:rFonts w:ascii="宋体" w:hAnsi="宋体" w:eastAsia="宋体"/>
          <w:color w:val="auto"/>
          <w:kern w:val="2"/>
          <w:sz w:val="21"/>
          <w:szCs w:val="21"/>
          <w:lang w:eastAsia="zh-CN" w:bidi="ar-SA"/>
        </w:rPr>
        <w:t>4)质量控制：包括质量检测及试验成果汇总、质量评定、质量分析、质量事故处理等情况和改进措施。</w:t>
      </w:r>
    </w:p>
    <w:p w14:paraId="7E4B57C4">
      <w:pPr>
        <w:spacing w:line="360" w:lineRule="auto"/>
        <w:ind w:firstLine="420" w:firstLineChars="200"/>
        <w:jc w:val="both"/>
        <w:rPr>
          <w:rFonts w:hint="eastAsia" w:ascii="宋体" w:hAnsi="宋体" w:eastAsia="宋体"/>
          <w:color w:val="auto"/>
          <w:kern w:val="2"/>
          <w:sz w:val="21"/>
          <w:szCs w:val="21"/>
          <w:lang w:eastAsia="zh-CN" w:bidi="ar-SA"/>
        </w:rPr>
      </w:pPr>
      <w:r>
        <w:rPr>
          <w:rFonts w:ascii="宋体" w:hAnsi="宋体" w:eastAsia="宋体"/>
          <w:color w:val="auto"/>
          <w:kern w:val="2"/>
          <w:sz w:val="21"/>
          <w:szCs w:val="21"/>
          <w:lang w:eastAsia="zh-CN" w:bidi="ar-SA"/>
        </w:rPr>
        <w:t>5)合同执行情况：包括合同变更、工程设计施工变更、索赔和违约等。</w:t>
      </w:r>
    </w:p>
    <w:p w14:paraId="2B72EB92">
      <w:pPr>
        <w:spacing w:line="360" w:lineRule="auto"/>
        <w:ind w:firstLine="420" w:firstLineChars="200"/>
        <w:jc w:val="both"/>
        <w:rPr>
          <w:rFonts w:hint="eastAsia" w:ascii="宋体" w:hAnsi="宋体" w:eastAsia="宋体"/>
          <w:color w:val="auto"/>
          <w:kern w:val="2"/>
          <w:sz w:val="21"/>
          <w:szCs w:val="21"/>
          <w:lang w:eastAsia="zh-CN" w:bidi="ar-SA"/>
        </w:rPr>
      </w:pPr>
      <w:r>
        <w:rPr>
          <w:rFonts w:ascii="宋体" w:hAnsi="宋体" w:eastAsia="宋体"/>
          <w:color w:val="auto"/>
          <w:kern w:val="2"/>
          <w:sz w:val="21"/>
          <w:szCs w:val="21"/>
          <w:lang w:eastAsia="zh-CN" w:bidi="ar-SA"/>
        </w:rPr>
        <w:t>6)现场会议和往来信函清单：包括会议记录、往来信函。</w:t>
      </w:r>
    </w:p>
    <w:p w14:paraId="72C41322">
      <w:pPr>
        <w:spacing w:line="360" w:lineRule="auto"/>
        <w:ind w:firstLine="420" w:firstLineChars="200"/>
        <w:jc w:val="both"/>
        <w:rPr>
          <w:rFonts w:hint="eastAsia" w:ascii="宋体" w:hAnsi="宋体" w:eastAsia="宋体"/>
          <w:color w:val="auto"/>
          <w:kern w:val="2"/>
          <w:sz w:val="21"/>
          <w:szCs w:val="21"/>
          <w:lang w:eastAsia="zh-CN" w:bidi="ar-SA"/>
        </w:rPr>
      </w:pPr>
      <w:r>
        <w:rPr>
          <w:rFonts w:ascii="宋体" w:hAnsi="宋体" w:eastAsia="宋体"/>
          <w:color w:val="auto"/>
          <w:kern w:val="2"/>
          <w:sz w:val="21"/>
          <w:szCs w:val="21"/>
          <w:lang w:eastAsia="zh-CN" w:bidi="ar-SA"/>
        </w:rPr>
        <w:t>7)监理工作：包括监理组织框图、资源投入、重要监理活动、图纸审查、发放、技术方案审查、工程需要解决的问题和其他事项。</w:t>
      </w:r>
    </w:p>
    <w:p w14:paraId="671EEA0C">
      <w:pPr>
        <w:spacing w:line="360" w:lineRule="auto"/>
        <w:ind w:firstLine="420" w:firstLineChars="200"/>
        <w:jc w:val="both"/>
        <w:rPr>
          <w:rFonts w:hint="eastAsia" w:ascii="宋体" w:hAnsi="宋体" w:eastAsia="宋体"/>
          <w:color w:val="auto"/>
          <w:kern w:val="2"/>
          <w:sz w:val="21"/>
          <w:szCs w:val="21"/>
          <w:lang w:eastAsia="zh-CN" w:bidi="ar-SA"/>
        </w:rPr>
      </w:pPr>
      <w:r>
        <w:rPr>
          <w:rFonts w:ascii="宋体" w:hAnsi="宋体" w:eastAsia="宋体"/>
          <w:color w:val="auto"/>
          <w:kern w:val="2"/>
          <w:sz w:val="21"/>
          <w:szCs w:val="21"/>
          <w:lang w:eastAsia="zh-CN" w:bidi="ar-SA"/>
        </w:rPr>
        <w:t>8)承包人情况：包括劳动力的动态、投入的设备、组织管理和存在的问题。</w:t>
      </w:r>
    </w:p>
    <w:p w14:paraId="2805C160">
      <w:pPr>
        <w:spacing w:line="360" w:lineRule="auto"/>
        <w:ind w:firstLine="420" w:firstLineChars="200"/>
        <w:jc w:val="both"/>
        <w:rPr>
          <w:rFonts w:hint="eastAsia" w:ascii="宋体" w:hAnsi="宋体" w:eastAsia="宋体"/>
          <w:color w:val="auto"/>
          <w:kern w:val="2"/>
          <w:sz w:val="21"/>
          <w:szCs w:val="21"/>
          <w:lang w:eastAsia="zh-CN" w:bidi="ar-SA"/>
        </w:rPr>
      </w:pPr>
      <w:r>
        <w:rPr>
          <w:rFonts w:ascii="宋体" w:hAnsi="宋体" w:eastAsia="宋体"/>
          <w:color w:val="auto"/>
          <w:kern w:val="2"/>
          <w:sz w:val="21"/>
          <w:szCs w:val="21"/>
          <w:lang w:eastAsia="zh-CN" w:bidi="ar-SA"/>
        </w:rPr>
        <w:t>9)安全和环境保护：收集安全和环境保护图片及相关资料。</w:t>
      </w:r>
    </w:p>
    <w:p w14:paraId="7FD852BE">
      <w:pPr>
        <w:spacing w:line="360" w:lineRule="auto"/>
        <w:ind w:firstLine="420" w:firstLineChars="200"/>
        <w:jc w:val="both"/>
        <w:rPr>
          <w:rFonts w:hint="eastAsia" w:ascii="宋体" w:hAnsi="宋体" w:eastAsia="宋体"/>
          <w:color w:val="auto"/>
          <w:kern w:val="2"/>
          <w:sz w:val="21"/>
          <w:szCs w:val="21"/>
          <w:lang w:eastAsia="zh-CN" w:bidi="ar-SA"/>
        </w:rPr>
      </w:pPr>
      <w:r>
        <w:rPr>
          <w:rFonts w:ascii="宋体" w:hAnsi="宋体" w:eastAsia="宋体"/>
          <w:color w:val="auto"/>
          <w:kern w:val="2"/>
          <w:sz w:val="21"/>
          <w:szCs w:val="21"/>
          <w:lang w:eastAsia="zh-CN" w:bidi="ar-SA"/>
        </w:rPr>
        <w:t>10)进度款支付情况及其分析。</w:t>
      </w:r>
    </w:p>
    <w:p w14:paraId="28EB3F2E">
      <w:pPr>
        <w:spacing w:line="360" w:lineRule="auto"/>
        <w:ind w:firstLine="420" w:firstLineChars="200"/>
        <w:jc w:val="both"/>
        <w:rPr>
          <w:rFonts w:eastAsia="宋体"/>
          <w:color w:val="auto"/>
          <w:kern w:val="2"/>
          <w:sz w:val="21"/>
          <w:szCs w:val="21"/>
          <w:lang w:eastAsia="zh-CN" w:bidi="ar-SA"/>
        </w:rPr>
      </w:pPr>
      <w:r>
        <w:rPr>
          <w:rFonts w:ascii="宋体" w:hAnsi="宋体" w:eastAsia="宋体"/>
          <w:color w:val="auto"/>
          <w:kern w:val="2"/>
          <w:sz w:val="21"/>
          <w:szCs w:val="21"/>
          <w:lang w:eastAsia="zh-CN" w:bidi="ar-SA"/>
        </w:rPr>
        <w:t>11)</w:t>
      </w:r>
      <w:r>
        <w:rPr>
          <w:rFonts w:eastAsia="宋体"/>
          <w:color w:val="auto"/>
          <w:kern w:val="2"/>
          <w:sz w:val="21"/>
          <w:szCs w:val="21"/>
          <w:lang w:eastAsia="zh-CN" w:bidi="ar-SA"/>
        </w:rPr>
        <w:t>工程进展图片。</w:t>
      </w:r>
    </w:p>
    <w:p w14:paraId="63E3A0CC">
      <w:pPr>
        <w:spacing w:line="360" w:lineRule="auto"/>
        <w:ind w:firstLine="420" w:firstLineChars="200"/>
        <w:jc w:val="both"/>
        <w:rPr>
          <w:rFonts w:eastAsia="宋体"/>
          <w:color w:val="auto"/>
          <w:kern w:val="2"/>
          <w:sz w:val="21"/>
          <w:szCs w:val="21"/>
          <w:lang w:eastAsia="zh-CN" w:bidi="ar-SA"/>
        </w:rPr>
      </w:pPr>
      <w:r>
        <w:rPr>
          <w:rFonts w:ascii="宋体" w:hAnsi="宋体" w:eastAsia="宋体"/>
          <w:color w:val="auto"/>
          <w:kern w:val="2"/>
          <w:sz w:val="21"/>
          <w:szCs w:val="21"/>
          <w:lang w:eastAsia="zh-CN" w:bidi="ar-SA"/>
        </w:rPr>
        <w:t>12)</w:t>
      </w:r>
      <w:r>
        <w:rPr>
          <w:rFonts w:eastAsia="宋体"/>
          <w:color w:val="auto"/>
          <w:kern w:val="2"/>
          <w:sz w:val="21"/>
          <w:szCs w:val="21"/>
          <w:lang w:eastAsia="zh-CN" w:bidi="ar-SA"/>
        </w:rPr>
        <w:t>其它需要反映的问题：包括水文和气象等自然情况。</w:t>
      </w:r>
    </w:p>
    <w:p w14:paraId="2E9CB130">
      <w:pPr>
        <w:spacing w:line="360" w:lineRule="auto"/>
        <w:ind w:firstLine="420" w:firstLineChars="200"/>
        <w:jc w:val="both"/>
        <w:rPr>
          <w:rFonts w:hint="eastAsia" w:ascii="宋体" w:hAnsi="宋体" w:eastAsia="宋体"/>
          <w:color w:val="auto"/>
          <w:kern w:val="2"/>
          <w:sz w:val="21"/>
          <w:szCs w:val="21"/>
          <w:lang w:eastAsia="zh-CN" w:bidi="ar-SA"/>
        </w:rPr>
      </w:pPr>
      <w:r>
        <w:rPr>
          <w:rFonts w:ascii="宋体" w:hAnsi="宋体" w:eastAsia="宋体"/>
          <w:color w:val="auto"/>
          <w:kern w:val="2"/>
          <w:sz w:val="21"/>
          <w:szCs w:val="21"/>
          <w:lang w:eastAsia="zh-CN" w:bidi="ar-SA"/>
        </w:rPr>
        <w:t>B、工程量台帐报表</w:t>
      </w:r>
    </w:p>
    <w:p w14:paraId="4C465AAC">
      <w:pPr>
        <w:spacing w:line="360" w:lineRule="auto"/>
        <w:ind w:firstLine="420" w:firstLineChars="200"/>
        <w:jc w:val="both"/>
        <w:rPr>
          <w:rFonts w:hint="eastAsia" w:ascii="宋体" w:hAnsi="宋体" w:eastAsia="宋体"/>
          <w:color w:val="auto"/>
          <w:kern w:val="2"/>
          <w:sz w:val="21"/>
          <w:szCs w:val="21"/>
          <w:lang w:eastAsia="zh-CN" w:bidi="ar-SA"/>
        </w:rPr>
      </w:pPr>
      <w:r>
        <w:rPr>
          <w:rFonts w:ascii="宋体" w:hAnsi="宋体" w:eastAsia="宋体"/>
          <w:color w:val="auto"/>
          <w:kern w:val="2"/>
          <w:sz w:val="21"/>
          <w:szCs w:val="21"/>
          <w:lang w:eastAsia="zh-CN" w:bidi="ar-SA"/>
        </w:rPr>
        <w:t>工程量台帐报表根据委托人相关规定执行。</w:t>
      </w:r>
    </w:p>
    <w:p w14:paraId="42116954">
      <w:pPr>
        <w:spacing w:line="360" w:lineRule="auto"/>
        <w:ind w:firstLine="420" w:firstLineChars="200"/>
        <w:jc w:val="both"/>
        <w:rPr>
          <w:rFonts w:hint="eastAsia" w:ascii="宋体" w:hAnsi="宋体" w:eastAsia="宋体"/>
          <w:color w:val="auto"/>
          <w:kern w:val="2"/>
          <w:sz w:val="21"/>
          <w:szCs w:val="21"/>
          <w:lang w:eastAsia="zh-CN" w:bidi="ar-SA"/>
        </w:rPr>
      </w:pPr>
      <w:r>
        <w:rPr>
          <w:rFonts w:ascii="宋体" w:hAnsi="宋体" w:eastAsia="宋体"/>
          <w:color w:val="auto"/>
          <w:kern w:val="2"/>
          <w:sz w:val="21"/>
          <w:szCs w:val="21"/>
          <w:lang w:eastAsia="zh-CN" w:bidi="ar-SA"/>
        </w:rPr>
        <w:t>C、其它定期信息文件：</w:t>
      </w:r>
    </w:p>
    <w:p w14:paraId="3102841F">
      <w:pPr>
        <w:spacing w:line="360" w:lineRule="auto"/>
        <w:ind w:firstLine="420" w:firstLineChars="200"/>
        <w:jc w:val="both"/>
        <w:rPr>
          <w:rFonts w:hint="eastAsia" w:ascii="宋体" w:hAnsi="宋体" w:eastAsia="宋体"/>
          <w:color w:val="auto"/>
          <w:kern w:val="2"/>
          <w:sz w:val="21"/>
          <w:szCs w:val="21"/>
          <w:lang w:eastAsia="zh-CN" w:bidi="ar-SA"/>
        </w:rPr>
      </w:pPr>
      <w:r>
        <w:rPr>
          <w:rFonts w:ascii="宋体" w:hAnsi="宋体" w:eastAsia="宋体"/>
          <w:color w:val="auto"/>
          <w:kern w:val="2"/>
          <w:sz w:val="21"/>
          <w:szCs w:val="21"/>
          <w:lang w:eastAsia="zh-CN" w:bidi="ar-SA"/>
        </w:rPr>
        <w:t>1)工程质量分析专题报告(季、半年、年度)。</w:t>
      </w:r>
    </w:p>
    <w:p w14:paraId="4893737A">
      <w:pPr>
        <w:spacing w:line="360" w:lineRule="auto"/>
        <w:ind w:firstLine="420" w:firstLineChars="200"/>
        <w:jc w:val="both"/>
        <w:rPr>
          <w:rFonts w:hint="eastAsia" w:ascii="宋体" w:hAnsi="宋体" w:eastAsia="宋体"/>
          <w:color w:val="auto"/>
          <w:kern w:val="2"/>
          <w:sz w:val="21"/>
          <w:szCs w:val="21"/>
          <w:lang w:eastAsia="zh-CN" w:bidi="ar-SA"/>
        </w:rPr>
      </w:pPr>
      <w:r>
        <w:rPr>
          <w:rFonts w:ascii="宋体" w:hAnsi="宋体" w:eastAsia="宋体"/>
          <w:color w:val="auto"/>
          <w:kern w:val="2"/>
          <w:sz w:val="21"/>
          <w:szCs w:val="21"/>
          <w:lang w:eastAsia="zh-CN" w:bidi="ar-SA"/>
        </w:rPr>
        <w:t>2)工程进度分析专题报告(季、半年、年度)。</w:t>
      </w:r>
    </w:p>
    <w:p w14:paraId="5BC1DD78">
      <w:pPr>
        <w:spacing w:line="360" w:lineRule="auto"/>
        <w:ind w:firstLine="420" w:firstLineChars="200"/>
        <w:jc w:val="both"/>
        <w:rPr>
          <w:rFonts w:hint="eastAsia" w:ascii="宋体" w:hAnsi="宋体" w:eastAsia="宋体"/>
          <w:color w:val="auto"/>
          <w:kern w:val="2"/>
          <w:sz w:val="21"/>
          <w:szCs w:val="21"/>
          <w:lang w:eastAsia="zh-CN" w:bidi="ar-SA"/>
        </w:rPr>
      </w:pPr>
      <w:r>
        <w:rPr>
          <w:rFonts w:ascii="宋体" w:hAnsi="宋体" w:eastAsia="宋体"/>
          <w:color w:val="auto"/>
          <w:kern w:val="2"/>
          <w:sz w:val="21"/>
          <w:szCs w:val="21"/>
          <w:lang w:eastAsia="zh-CN" w:bidi="ar-SA"/>
        </w:rPr>
        <w:t>3)投资分析报告(季、半年、年度)。</w:t>
      </w:r>
    </w:p>
    <w:p w14:paraId="375A2FBE">
      <w:pPr>
        <w:spacing w:line="360" w:lineRule="auto"/>
        <w:ind w:firstLine="420" w:firstLineChars="200"/>
        <w:jc w:val="both"/>
        <w:rPr>
          <w:rFonts w:hint="eastAsia" w:ascii="宋体" w:hAnsi="宋体" w:eastAsia="宋体"/>
          <w:color w:val="auto"/>
          <w:kern w:val="2"/>
          <w:sz w:val="21"/>
          <w:szCs w:val="21"/>
          <w:lang w:eastAsia="zh-CN" w:bidi="ar-SA"/>
        </w:rPr>
      </w:pPr>
      <w:r>
        <w:rPr>
          <w:rFonts w:ascii="宋体" w:hAnsi="宋体" w:eastAsia="宋体"/>
          <w:color w:val="auto"/>
          <w:kern w:val="2"/>
          <w:sz w:val="21"/>
          <w:szCs w:val="21"/>
          <w:lang w:eastAsia="zh-CN" w:bidi="ar-SA"/>
        </w:rPr>
        <w:t>4)环保、水保专题报告(季、半年、年度)。</w:t>
      </w:r>
    </w:p>
    <w:p w14:paraId="19E65C20">
      <w:pPr>
        <w:spacing w:line="360" w:lineRule="auto"/>
        <w:ind w:firstLine="420" w:firstLineChars="200"/>
        <w:jc w:val="both"/>
        <w:rPr>
          <w:rFonts w:hint="eastAsia" w:ascii="宋体" w:hAnsi="宋体" w:eastAsia="宋体"/>
          <w:color w:val="auto"/>
          <w:kern w:val="2"/>
          <w:sz w:val="21"/>
          <w:szCs w:val="21"/>
          <w:lang w:eastAsia="zh-CN" w:bidi="ar-SA"/>
        </w:rPr>
      </w:pPr>
      <w:r>
        <w:rPr>
          <w:rFonts w:ascii="宋体" w:hAnsi="宋体" w:eastAsia="宋体"/>
          <w:color w:val="auto"/>
          <w:kern w:val="2"/>
          <w:sz w:val="21"/>
          <w:szCs w:val="21"/>
          <w:lang w:eastAsia="zh-CN" w:bidi="ar-SA"/>
        </w:rPr>
        <w:t>5)统供材料分析报告(月、季、年度)。</w:t>
      </w:r>
    </w:p>
    <w:p w14:paraId="3568F1C5">
      <w:pPr>
        <w:spacing w:line="360" w:lineRule="auto"/>
        <w:ind w:firstLine="420" w:firstLineChars="200"/>
        <w:jc w:val="both"/>
        <w:rPr>
          <w:rFonts w:hint="eastAsia" w:ascii="宋体" w:hAnsi="宋体" w:eastAsia="宋体"/>
          <w:color w:val="auto"/>
          <w:kern w:val="2"/>
          <w:sz w:val="21"/>
          <w:szCs w:val="21"/>
          <w:lang w:eastAsia="zh-CN" w:bidi="ar-SA"/>
        </w:rPr>
      </w:pPr>
      <w:r>
        <w:rPr>
          <w:rFonts w:ascii="宋体" w:hAnsi="宋体" w:eastAsia="宋体"/>
          <w:color w:val="auto"/>
          <w:kern w:val="2"/>
          <w:sz w:val="21"/>
          <w:szCs w:val="21"/>
          <w:lang w:eastAsia="zh-CN" w:bidi="ar-SA"/>
        </w:rPr>
        <w:t>6)工程质量统计报表(月、季、年度)。</w:t>
      </w:r>
    </w:p>
    <w:p w14:paraId="160FEA9C">
      <w:pPr>
        <w:spacing w:line="360" w:lineRule="auto"/>
        <w:ind w:firstLine="420" w:firstLineChars="200"/>
        <w:jc w:val="both"/>
        <w:rPr>
          <w:rFonts w:hint="eastAsia" w:ascii="宋体" w:hAnsi="宋体" w:eastAsia="宋体"/>
          <w:color w:val="auto"/>
          <w:kern w:val="2"/>
          <w:sz w:val="21"/>
          <w:szCs w:val="21"/>
          <w:lang w:eastAsia="zh-CN" w:bidi="ar-SA"/>
        </w:rPr>
      </w:pPr>
      <w:r>
        <w:rPr>
          <w:rFonts w:ascii="宋体" w:hAnsi="宋体" w:eastAsia="宋体"/>
          <w:color w:val="auto"/>
          <w:kern w:val="2"/>
          <w:sz w:val="21"/>
          <w:szCs w:val="21"/>
          <w:lang w:eastAsia="zh-CN" w:bidi="ar-SA"/>
        </w:rPr>
        <w:t>7)施工安全专题报告(月、季、年度)。</w:t>
      </w:r>
    </w:p>
    <w:p w14:paraId="7BA8268E">
      <w:pPr>
        <w:spacing w:line="360" w:lineRule="auto"/>
        <w:ind w:firstLine="420" w:firstLineChars="200"/>
        <w:jc w:val="both"/>
        <w:rPr>
          <w:rFonts w:hint="eastAsia" w:ascii="宋体" w:hAnsi="宋体" w:eastAsia="宋体"/>
          <w:color w:val="auto"/>
          <w:kern w:val="2"/>
          <w:sz w:val="21"/>
          <w:szCs w:val="21"/>
          <w:lang w:eastAsia="zh-CN" w:bidi="ar-SA"/>
        </w:rPr>
      </w:pPr>
      <w:r>
        <w:rPr>
          <w:rFonts w:ascii="宋体" w:hAnsi="宋体" w:eastAsia="宋体"/>
          <w:color w:val="auto"/>
          <w:kern w:val="2"/>
          <w:sz w:val="21"/>
          <w:szCs w:val="21"/>
          <w:lang w:eastAsia="zh-CN" w:bidi="ar-SA"/>
        </w:rPr>
        <w:t>8)施工安全统计报表(月、季、年度)。</w:t>
      </w:r>
    </w:p>
    <w:p w14:paraId="7CDC0527">
      <w:pPr>
        <w:spacing w:line="360" w:lineRule="auto"/>
        <w:ind w:firstLine="420" w:firstLineChars="200"/>
        <w:jc w:val="both"/>
        <w:rPr>
          <w:rFonts w:hint="eastAsia" w:ascii="宋体" w:hAnsi="宋体" w:eastAsia="宋体"/>
          <w:color w:val="auto"/>
          <w:kern w:val="2"/>
          <w:sz w:val="21"/>
          <w:szCs w:val="21"/>
          <w:lang w:eastAsia="zh-CN" w:bidi="ar-SA"/>
        </w:rPr>
      </w:pPr>
      <w:r>
        <w:rPr>
          <w:rFonts w:ascii="宋体" w:hAnsi="宋体" w:eastAsia="宋体"/>
          <w:color w:val="auto"/>
          <w:kern w:val="2"/>
          <w:sz w:val="21"/>
          <w:szCs w:val="21"/>
          <w:lang w:eastAsia="zh-CN" w:bidi="ar-SA"/>
        </w:rPr>
        <w:t>9)委托人要求的其它定期信息文件。</w:t>
      </w:r>
    </w:p>
    <w:p w14:paraId="1FBE94D8">
      <w:pPr>
        <w:spacing w:line="360" w:lineRule="auto"/>
        <w:ind w:firstLine="420" w:firstLineChars="200"/>
        <w:jc w:val="both"/>
        <w:rPr>
          <w:rFonts w:hint="eastAsia" w:ascii="宋体" w:hAnsi="宋体" w:eastAsia="宋体"/>
          <w:color w:val="auto"/>
          <w:kern w:val="2"/>
          <w:sz w:val="21"/>
          <w:szCs w:val="21"/>
          <w:lang w:eastAsia="zh-CN" w:bidi="ar-SA"/>
        </w:rPr>
      </w:pPr>
      <w:bookmarkStart w:id="789" w:name="_Toc519653820"/>
      <w:bookmarkStart w:id="790" w:name="_Toc522508387"/>
      <w:bookmarkStart w:id="791" w:name="_Toc519589308"/>
      <w:r>
        <w:rPr>
          <w:rFonts w:hint="eastAsia" w:ascii="宋体" w:hAnsi="宋体" w:eastAsia="宋体"/>
          <w:color w:val="auto"/>
          <w:kern w:val="2"/>
          <w:sz w:val="21"/>
          <w:szCs w:val="21"/>
          <w:lang w:eastAsia="zh-CN" w:bidi="ar-SA"/>
        </w:rPr>
        <w:t xml:space="preserve">⑵ </w:t>
      </w:r>
      <w:r>
        <w:rPr>
          <w:rFonts w:ascii="宋体" w:hAnsi="宋体" w:eastAsia="宋体"/>
          <w:color w:val="auto"/>
          <w:kern w:val="2"/>
          <w:sz w:val="21"/>
          <w:szCs w:val="21"/>
          <w:lang w:eastAsia="zh-CN" w:bidi="ar-SA"/>
        </w:rPr>
        <w:t>根据监理工程进展情况的不定期报告</w:t>
      </w:r>
      <w:bookmarkEnd w:id="789"/>
      <w:bookmarkEnd w:id="790"/>
      <w:bookmarkEnd w:id="791"/>
    </w:p>
    <w:p w14:paraId="6D60D6B1">
      <w:pPr>
        <w:spacing w:line="360" w:lineRule="auto"/>
        <w:ind w:firstLine="420" w:firstLineChars="200"/>
        <w:jc w:val="both"/>
        <w:rPr>
          <w:rFonts w:hint="eastAsia" w:ascii="宋体" w:hAnsi="宋体" w:eastAsia="宋体"/>
          <w:color w:val="auto"/>
          <w:kern w:val="2"/>
          <w:sz w:val="21"/>
          <w:szCs w:val="21"/>
          <w:lang w:eastAsia="zh-CN" w:bidi="ar-SA"/>
        </w:rPr>
      </w:pPr>
      <w:r>
        <w:rPr>
          <w:rFonts w:ascii="宋体" w:hAnsi="宋体" w:eastAsia="宋体"/>
          <w:color w:val="auto"/>
          <w:kern w:val="2"/>
          <w:sz w:val="21"/>
          <w:szCs w:val="21"/>
          <w:lang w:eastAsia="zh-CN" w:bidi="ar-SA"/>
        </w:rPr>
        <w:t>A、关于工程优化设计或施工进展的建议。</w:t>
      </w:r>
    </w:p>
    <w:p w14:paraId="3719354B">
      <w:pPr>
        <w:spacing w:line="360" w:lineRule="auto"/>
        <w:ind w:firstLine="420" w:firstLineChars="200"/>
        <w:jc w:val="both"/>
        <w:rPr>
          <w:rFonts w:hint="eastAsia" w:ascii="宋体" w:hAnsi="宋体" w:eastAsia="宋体"/>
          <w:color w:val="auto"/>
          <w:kern w:val="2"/>
          <w:sz w:val="21"/>
          <w:szCs w:val="21"/>
          <w:lang w:eastAsia="zh-CN" w:bidi="ar-SA"/>
        </w:rPr>
      </w:pPr>
      <w:r>
        <w:rPr>
          <w:rFonts w:ascii="宋体" w:hAnsi="宋体" w:eastAsia="宋体"/>
          <w:color w:val="auto"/>
          <w:kern w:val="2"/>
          <w:sz w:val="21"/>
          <w:szCs w:val="21"/>
          <w:lang w:eastAsia="zh-CN" w:bidi="ar-SA"/>
        </w:rPr>
        <w:t>B、资金、资源投入及合理配置的建议。</w:t>
      </w:r>
    </w:p>
    <w:p w14:paraId="5D1E54C9">
      <w:pPr>
        <w:spacing w:line="360" w:lineRule="auto"/>
        <w:ind w:firstLine="420" w:firstLineChars="200"/>
        <w:jc w:val="both"/>
        <w:rPr>
          <w:rFonts w:hint="eastAsia" w:ascii="宋体" w:hAnsi="宋体" w:eastAsia="宋体"/>
          <w:color w:val="auto"/>
          <w:kern w:val="2"/>
          <w:sz w:val="21"/>
          <w:szCs w:val="21"/>
          <w:lang w:eastAsia="zh-CN" w:bidi="ar-SA"/>
        </w:rPr>
      </w:pPr>
      <w:r>
        <w:rPr>
          <w:rFonts w:ascii="宋体" w:hAnsi="宋体" w:eastAsia="宋体"/>
          <w:color w:val="auto"/>
          <w:kern w:val="2"/>
          <w:sz w:val="21"/>
          <w:szCs w:val="21"/>
          <w:lang w:eastAsia="zh-CN" w:bidi="ar-SA"/>
        </w:rPr>
        <w:t>C、工程进度及工程进展预测分析报告。</w:t>
      </w:r>
    </w:p>
    <w:p w14:paraId="6FA79B5A">
      <w:pPr>
        <w:spacing w:line="360" w:lineRule="auto"/>
        <w:ind w:firstLine="420" w:firstLineChars="200"/>
        <w:jc w:val="both"/>
        <w:rPr>
          <w:rFonts w:hint="eastAsia" w:ascii="宋体" w:hAnsi="宋体" w:eastAsia="宋体"/>
          <w:color w:val="auto"/>
          <w:kern w:val="2"/>
          <w:sz w:val="21"/>
          <w:szCs w:val="21"/>
          <w:lang w:eastAsia="zh-CN" w:bidi="ar-SA"/>
        </w:rPr>
      </w:pPr>
      <w:r>
        <w:rPr>
          <w:rFonts w:ascii="宋体" w:hAnsi="宋体" w:eastAsia="宋体"/>
          <w:color w:val="auto"/>
          <w:kern w:val="2"/>
          <w:sz w:val="21"/>
          <w:szCs w:val="21"/>
          <w:lang w:eastAsia="zh-CN" w:bidi="ar-SA"/>
        </w:rPr>
        <w:t>D、工程质量状况及其分析的专题报告(分项的和总体的)。</w:t>
      </w:r>
    </w:p>
    <w:p w14:paraId="0BFFC0F6">
      <w:pPr>
        <w:spacing w:line="360" w:lineRule="auto"/>
        <w:ind w:firstLine="420" w:firstLineChars="200"/>
        <w:jc w:val="both"/>
        <w:rPr>
          <w:rFonts w:hint="eastAsia" w:ascii="宋体" w:hAnsi="宋体" w:eastAsia="宋体"/>
          <w:color w:val="auto"/>
          <w:kern w:val="2"/>
          <w:sz w:val="21"/>
          <w:szCs w:val="21"/>
          <w:lang w:eastAsia="zh-CN" w:bidi="ar-SA"/>
        </w:rPr>
      </w:pPr>
      <w:r>
        <w:rPr>
          <w:rFonts w:ascii="宋体" w:hAnsi="宋体" w:eastAsia="宋体"/>
          <w:color w:val="auto"/>
          <w:kern w:val="2"/>
          <w:sz w:val="21"/>
          <w:szCs w:val="21"/>
          <w:lang w:eastAsia="zh-CN" w:bidi="ar-SA"/>
        </w:rPr>
        <w:t>E、工程阶段验收、竣工验收监理工作报告。</w:t>
      </w:r>
    </w:p>
    <w:p w14:paraId="6D9A5B2E">
      <w:pPr>
        <w:spacing w:line="360" w:lineRule="auto"/>
        <w:ind w:firstLine="420" w:firstLineChars="200"/>
        <w:jc w:val="both"/>
        <w:rPr>
          <w:rFonts w:hint="eastAsia" w:ascii="宋体" w:hAnsi="宋体" w:eastAsia="宋体"/>
          <w:color w:val="auto"/>
          <w:kern w:val="2"/>
          <w:sz w:val="21"/>
          <w:szCs w:val="21"/>
          <w:lang w:eastAsia="zh-CN" w:bidi="ar-SA"/>
        </w:rPr>
      </w:pPr>
      <w:r>
        <w:rPr>
          <w:rFonts w:ascii="宋体" w:hAnsi="宋体" w:eastAsia="宋体"/>
          <w:color w:val="auto"/>
          <w:kern w:val="2"/>
          <w:sz w:val="21"/>
          <w:szCs w:val="21"/>
          <w:lang w:eastAsia="zh-CN" w:bidi="ar-SA"/>
        </w:rPr>
        <w:t>F、委托人要求的其它报告。</w:t>
      </w:r>
    </w:p>
    <w:p w14:paraId="55A8EE4B">
      <w:pPr>
        <w:spacing w:line="360" w:lineRule="auto"/>
        <w:ind w:firstLine="420" w:firstLineChars="200"/>
        <w:jc w:val="both"/>
        <w:rPr>
          <w:rFonts w:hint="eastAsia" w:ascii="宋体" w:hAnsi="宋体" w:eastAsia="宋体"/>
          <w:color w:val="auto"/>
          <w:kern w:val="2"/>
          <w:sz w:val="21"/>
          <w:szCs w:val="21"/>
          <w:lang w:eastAsia="zh-CN" w:bidi="ar-SA"/>
        </w:rPr>
      </w:pPr>
      <w:bookmarkStart w:id="792" w:name="_Toc522508388"/>
      <w:bookmarkStart w:id="793" w:name="_Toc519653821"/>
      <w:bookmarkStart w:id="794" w:name="_Toc519589309"/>
      <w:r>
        <w:rPr>
          <w:rFonts w:hint="eastAsia" w:ascii="宋体" w:hAnsi="宋体" w:eastAsia="宋体"/>
          <w:color w:val="auto"/>
          <w:kern w:val="2"/>
          <w:sz w:val="21"/>
          <w:szCs w:val="21"/>
          <w:lang w:eastAsia="zh-CN" w:bidi="ar-SA"/>
        </w:rPr>
        <w:t xml:space="preserve">⑶ </w:t>
      </w:r>
      <w:r>
        <w:rPr>
          <w:rFonts w:ascii="宋体" w:hAnsi="宋体" w:eastAsia="宋体"/>
          <w:color w:val="auto"/>
          <w:kern w:val="2"/>
          <w:sz w:val="21"/>
          <w:szCs w:val="21"/>
          <w:lang w:eastAsia="zh-CN" w:bidi="ar-SA"/>
        </w:rPr>
        <w:t>监理过程文件</w:t>
      </w:r>
      <w:bookmarkEnd w:id="792"/>
      <w:bookmarkEnd w:id="793"/>
      <w:bookmarkEnd w:id="794"/>
    </w:p>
    <w:p w14:paraId="4CCA9361">
      <w:pPr>
        <w:spacing w:line="360" w:lineRule="auto"/>
        <w:ind w:firstLine="420" w:firstLineChars="200"/>
        <w:jc w:val="both"/>
        <w:rPr>
          <w:rFonts w:hint="eastAsia" w:ascii="宋体" w:hAnsi="宋体" w:eastAsia="宋体"/>
          <w:color w:val="auto"/>
          <w:kern w:val="2"/>
          <w:sz w:val="21"/>
          <w:szCs w:val="21"/>
          <w:lang w:eastAsia="zh-CN" w:bidi="ar-SA"/>
        </w:rPr>
      </w:pPr>
      <w:r>
        <w:rPr>
          <w:rFonts w:ascii="宋体" w:hAnsi="宋体" w:eastAsia="宋体"/>
          <w:color w:val="auto"/>
          <w:kern w:val="2"/>
          <w:sz w:val="21"/>
          <w:szCs w:val="21"/>
          <w:lang w:eastAsia="zh-CN" w:bidi="ar-SA"/>
        </w:rPr>
        <w:t>A、监理日志及大事记。</w:t>
      </w:r>
    </w:p>
    <w:p w14:paraId="1284CBCE">
      <w:pPr>
        <w:spacing w:line="360" w:lineRule="auto"/>
        <w:ind w:firstLine="420" w:firstLineChars="200"/>
        <w:jc w:val="both"/>
        <w:rPr>
          <w:rFonts w:hint="eastAsia" w:ascii="宋体" w:hAnsi="宋体" w:eastAsia="宋体"/>
          <w:color w:val="auto"/>
          <w:kern w:val="2"/>
          <w:sz w:val="21"/>
          <w:szCs w:val="21"/>
          <w:lang w:eastAsia="zh-CN" w:bidi="ar-SA"/>
        </w:rPr>
      </w:pPr>
      <w:r>
        <w:rPr>
          <w:rFonts w:ascii="宋体" w:hAnsi="宋体" w:eastAsia="宋体"/>
          <w:color w:val="auto"/>
          <w:kern w:val="2"/>
          <w:sz w:val="21"/>
          <w:szCs w:val="21"/>
          <w:lang w:eastAsia="zh-CN" w:bidi="ar-SA"/>
        </w:rPr>
        <w:t>B、施工计划批复文件。</w:t>
      </w:r>
    </w:p>
    <w:p w14:paraId="0B8B4FF7">
      <w:pPr>
        <w:spacing w:line="360" w:lineRule="auto"/>
        <w:ind w:firstLine="420" w:firstLineChars="200"/>
        <w:jc w:val="both"/>
        <w:rPr>
          <w:rFonts w:hint="eastAsia" w:ascii="宋体" w:hAnsi="宋体" w:eastAsia="宋体"/>
          <w:color w:val="auto"/>
          <w:kern w:val="2"/>
          <w:sz w:val="21"/>
          <w:szCs w:val="21"/>
          <w:lang w:eastAsia="zh-CN" w:bidi="ar-SA"/>
        </w:rPr>
      </w:pPr>
      <w:r>
        <w:rPr>
          <w:rFonts w:ascii="宋体" w:hAnsi="宋体" w:eastAsia="宋体"/>
          <w:color w:val="auto"/>
          <w:kern w:val="2"/>
          <w:sz w:val="21"/>
          <w:szCs w:val="21"/>
          <w:lang w:eastAsia="zh-CN" w:bidi="ar-SA"/>
        </w:rPr>
        <w:t>C、施工措施批复文件。</w:t>
      </w:r>
    </w:p>
    <w:p w14:paraId="7A877E0F">
      <w:pPr>
        <w:spacing w:line="360" w:lineRule="auto"/>
        <w:ind w:firstLine="420" w:firstLineChars="200"/>
        <w:jc w:val="both"/>
        <w:rPr>
          <w:rFonts w:hint="eastAsia" w:ascii="宋体" w:hAnsi="宋体" w:eastAsia="宋体"/>
          <w:color w:val="auto"/>
          <w:kern w:val="2"/>
          <w:sz w:val="21"/>
          <w:szCs w:val="21"/>
          <w:lang w:eastAsia="zh-CN" w:bidi="ar-SA"/>
        </w:rPr>
      </w:pPr>
      <w:r>
        <w:rPr>
          <w:rFonts w:ascii="宋体" w:hAnsi="宋体" w:eastAsia="宋体"/>
          <w:color w:val="auto"/>
          <w:kern w:val="2"/>
          <w:sz w:val="21"/>
          <w:szCs w:val="21"/>
          <w:lang w:eastAsia="zh-CN" w:bidi="ar-SA"/>
        </w:rPr>
        <w:t>D、施工进度调整批复文件。</w:t>
      </w:r>
    </w:p>
    <w:p w14:paraId="3AFC02A8">
      <w:pPr>
        <w:spacing w:line="360" w:lineRule="auto"/>
        <w:ind w:firstLine="420" w:firstLineChars="200"/>
        <w:jc w:val="both"/>
        <w:rPr>
          <w:rFonts w:hint="eastAsia" w:ascii="宋体" w:hAnsi="宋体" w:eastAsia="宋体"/>
          <w:color w:val="auto"/>
          <w:kern w:val="2"/>
          <w:sz w:val="21"/>
          <w:szCs w:val="21"/>
          <w:lang w:eastAsia="zh-CN" w:bidi="ar-SA"/>
        </w:rPr>
      </w:pPr>
      <w:r>
        <w:rPr>
          <w:rFonts w:ascii="宋体" w:hAnsi="宋体" w:eastAsia="宋体"/>
          <w:color w:val="auto"/>
          <w:kern w:val="2"/>
          <w:sz w:val="21"/>
          <w:szCs w:val="21"/>
          <w:lang w:eastAsia="zh-CN" w:bidi="ar-SA"/>
        </w:rPr>
        <w:t>E、进度款支付确认文件。</w:t>
      </w:r>
    </w:p>
    <w:p w14:paraId="70FEAE96">
      <w:pPr>
        <w:spacing w:line="360" w:lineRule="auto"/>
        <w:ind w:firstLine="420" w:firstLineChars="200"/>
        <w:jc w:val="both"/>
        <w:rPr>
          <w:rFonts w:hint="eastAsia" w:ascii="宋体" w:hAnsi="宋体" w:eastAsia="宋体"/>
          <w:color w:val="auto"/>
          <w:kern w:val="2"/>
          <w:sz w:val="21"/>
          <w:szCs w:val="21"/>
          <w:lang w:eastAsia="zh-CN" w:bidi="ar-SA"/>
        </w:rPr>
      </w:pPr>
      <w:r>
        <w:rPr>
          <w:rFonts w:ascii="宋体" w:hAnsi="宋体" w:eastAsia="宋体"/>
          <w:color w:val="auto"/>
          <w:kern w:val="2"/>
          <w:sz w:val="21"/>
          <w:szCs w:val="21"/>
          <w:lang w:eastAsia="zh-CN" w:bidi="ar-SA"/>
        </w:rPr>
        <w:t>F、索赔受理、调查及处理文件。</w:t>
      </w:r>
    </w:p>
    <w:p w14:paraId="757C9C3C">
      <w:pPr>
        <w:spacing w:line="360" w:lineRule="auto"/>
        <w:ind w:firstLine="420" w:firstLineChars="200"/>
        <w:jc w:val="both"/>
        <w:rPr>
          <w:rFonts w:hint="eastAsia" w:ascii="宋体" w:hAnsi="宋体" w:eastAsia="宋体"/>
          <w:color w:val="auto"/>
          <w:kern w:val="2"/>
          <w:sz w:val="21"/>
          <w:szCs w:val="21"/>
          <w:lang w:eastAsia="zh-CN" w:bidi="ar-SA"/>
        </w:rPr>
      </w:pPr>
      <w:r>
        <w:rPr>
          <w:rFonts w:ascii="宋体" w:hAnsi="宋体" w:eastAsia="宋体"/>
          <w:color w:val="auto"/>
          <w:kern w:val="2"/>
          <w:sz w:val="21"/>
          <w:szCs w:val="21"/>
          <w:lang w:eastAsia="zh-CN" w:bidi="ar-SA"/>
        </w:rPr>
        <w:t>G、监理协调会议纪要文件。</w:t>
      </w:r>
    </w:p>
    <w:p w14:paraId="4882B1CB">
      <w:pPr>
        <w:spacing w:line="360" w:lineRule="auto"/>
        <w:ind w:firstLine="420" w:firstLineChars="200"/>
        <w:jc w:val="both"/>
        <w:rPr>
          <w:rFonts w:hint="eastAsia" w:ascii="宋体" w:hAnsi="宋体" w:eastAsia="宋体"/>
          <w:color w:val="auto"/>
          <w:kern w:val="2"/>
          <w:sz w:val="21"/>
          <w:szCs w:val="21"/>
          <w:lang w:eastAsia="zh-CN" w:bidi="ar-SA"/>
        </w:rPr>
      </w:pPr>
      <w:r>
        <w:rPr>
          <w:rFonts w:ascii="宋体" w:hAnsi="宋体" w:eastAsia="宋体"/>
          <w:color w:val="auto"/>
          <w:kern w:val="2"/>
          <w:sz w:val="21"/>
          <w:szCs w:val="21"/>
          <w:lang w:eastAsia="zh-CN" w:bidi="ar-SA"/>
        </w:rPr>
        <w:t>H、其它监理业务往来文件。</w:t>
      </w:r>
    </w:p>
    <w:p w14:paraId="58EB864C">
      <w:pPr>
        <w:spacing w:line="360" w:lineRule="auto"/>
        <w:ind w:firstLine="420" w:firstLineChars="200"/>
        <w:jc w:val="both"/>
        <w:rPr>
          <w:rFonts w:hint="eastAsia" w:ascii="宋体" w:hAnsi="宋体" w:eastAsia="宋体"/>
          <w:color w:val="auto"/>
          <w:kern w:val="2"/>
          <w:sz w:val="21"/>
          <w:szCs w:val="21"/>
          <w:lang w:eastAsia="zh-CN" w:bidi="ar-SA"/>
        </w:rPr>
      </w:pPr>
      <w:bookmarkStart w:id="795" w:name="_Toc522508389"/>
      <w:bookmarkStart w:id="796" w:name="_Toc519653822"/>
      <w:bookmarkStart w:id="797" w:name="_Toc519589310"/>
      <w:r>
        <w:rPr>
          <w:rFonts w:hint="eastAsia" w:ascii="宋体" w:hAnsi="宋体" w:eastAsia="宋体"/>
          <w:color w:val="auto"/>
          <w:kern w:val="2"/>
          <w:sz w:val="21"/>
          <w:szCs w:val="21"/>
          <w:lang w:eastAsia="zh-CN" w:bidi="ar-SA"/>
        </w:rPr>
        <w:t xml:space="preserve">⑷ </w:t>
      </w:r>
      <w:r>
        <w:rPr>
          <w:rFonts w:ascii="宋体" w:hAnsi="宋体" w:eastAsia="宋体"/>
          <w:color w:val="auto"/>
          <w:kern w:val="2"/>
          <w:sz w:val="21"/>
          <w:szCs w:val="21"/>
          <w:lang w:eastAsia="zh-CN" w:bidi="ar-SA"/>
        </w:rPr>
        <w:t>文件报送份数</w:t>
      </w:r>
      <w:bookmarkEnd w:id="795"/>
      <w:bookmarkEnd w:id="796"/>
      <w:bookmarkEnd w:id="797"/>
    </w:p>
    <w:p w14:paraId="5E8BEB5F">
      <w:pPr>
        <w:spacing w:line="360" w:lineRule="auto"/>
        <w:ind w:firstLine="420" w:firstLineChars="200"/>
        <w:jc w:val="both"/>
        <w:rPr>
          <w:rFonts w:hint="eastAsia" w:ascii="宋体" w:hAnsi="宋体" w:eastAsia="宋体"/>
          <w:color w:val="auto"/>
          <w:kern w:val="2"/>
          <w:sz w:val="21"/>
          <w:szCs w:val="21"/>
          <w:lang w:eastAsia="zh-CN" w:bidi="ar-SA"/>
        </w:rPr>
      </w:pPr>
      <w:r>
        <w:rPr>
          <w:rFonts w:ascii="宋体" w:hAnsi="宋体" w:eastAsia="宋体"/>
          <w:color w:val="auto"/>
          <w:kern w:val="2"/>
          <w:sz w:val="21"/>
          <w:szCs w:val="21"/>
          <w:lang w:eastAsia="zh-CN" w:bidi="ar-SA"/>
        </w:rPr>
        <w:t>书面文件</w:t>
      </w:r>
      <w:r>
        <w:rPr>
          <w:rFonts w:hint="eastAsia" w:ascii="宋体" w:hAnsi="宋体" w:eastAsia="宋体"/>
          <w:color w:val="auto"/>
          <w:kern w:val="2"/>
          <w:sz w:val="21"/>
          <w:szCs w:val="21"/>
          <w:lang w:eastAsia="zh-CN" w:bidi="ar-SA"/>
        </w:rPr>
        <w:t>三</w:t>
      </w:r>
      <w:r>
        <w:rPr>
          <w:rFonts w:ascii="宋体" w:hAnsi="宋体" w:eastAsia="宋体"/>
          <w:color w:val="auto"/>
          <w:kern w:val="2"/>
          <w:sz w:val="21"/>
          <w:szCs w:val="21"/>
          <w:lang w:eastAsia="zh-CN" w:bidi="ar-SA"/>
        </w:rPr>
        <w:t>份，电子文件一份。</w:t>
      </w:r>
    </w:p>
    <w:p w14:paraId="38D18C94">
      <w:pPr>
        <w:keepNext/>
        <w:keepLines/>
        <w:spacing w:line="360" w:lineRule="auto"/>
        <w:outlineLvl w:val="1"/>
        <w:rPr>
          <w:rFonts w:ascii="Arial" w:hAnsi="Arial" w:eastAsia="宋体"/>
          <w:b/>
          <w:bCs/>
          <w:color w:val="auto"/>
          <w:kern w:val="2"/>
          <w:sz w:val="28"/>
          <w:szCs w:val="32"/>
          <w:lang w:eastAsia="zh-CN" w:bidi="ar-SA"/>
        </w:rPr>
      </w:pPr>
      <w:bookmarkStart w:id="798" w:name="_Toc6256"/>
      <w:bookmarkStart w:id="799" w:name="_Toc504633923"/>
      <w:r>
        <w:rPr>
          <w:rFonts w:ascii="Arial" w:hAnsi="Arial" w:eastAsia="宋体"/>
          <w:b/>
          <w:bCs/>
          <w:color w:val="auto"/>
          <w:kern w:val="2"/>
          <w:sz w:val="28"/>
          <w:szCs w:val="32"/>
          <w:lang w:eastAsia="zh-CN" w:bidi="ar-SA"/>
        </w:rPr>
        <w:t xml:space="preserve">6. </w:t>
      </w:r>
      <w:r>
        <w:rPr>
          <w:rFonts w:hint="eastAsia" w:ascii="Arial" w:hAnsi="Arial" w:eastAsia="宋体"/>
          <w:b/>
          <w:bCs/>
          <w:color w:val="auto"/>
          <w:kern w:val="2"/>
          <w:sz w:val="28"/>
          <w:szCs w:val="32"/>
          <w:lang w:eastAsia="zh-CN" w:bidi="ar-SA"/>
        </w:rPr>
        <w:t>开始监理和完成监理</w:t>
      </w:r>
      <w:bookmarkEnd w:id="798"/>
      <w:bookmarkEnd w:id="799"/>
    </w:p>
    <w:p w14:paraId="5A0AE746">
      <w:pPr>
        <w:keepNext/>
        <w:keepLines/>
        <w:spacing w:line="360" w:lineRule="auto"/>
        <w:jc w:val="both"/>
        <w:outlineLvl w:val="2"/>
        <w:rPr>
          <w:rFonts w:eastAsia="宋体"/>
          <w:b/>
          <w:bCs/>
          <w:color w:val="auto"/>
          <w:kern w:val="2"/>
          <w:szCs w:val="32"/>
          <w:lang w:eastAsia="zh-CN" w:bidi="ar-SA"/>
        </w:rPr>
      </w:pPr>
      <w:bookmarkStart w:id="800" w:name="_Toc29109"/>
      <w:r>
        <w:rPr>
          <w:rFonts w:eastAsia="宋体"/>
          <w:b/>
          <w:bCs/>
          <w:color w:val="auto"/>
          <w:kern w:val="2"/>
          <w:szCs w:val="32"/>
          <w:lang w:eastAsia="zh-CN" w:bidi="ar-SA"/>
        </w:rPr>
        <w:t xml:space="preserve">6.2 </w:t>
      </w:r>
      <w:r>
        <w:rPr>
          <w:rFonts w:hint="eastAsia" w:eastAsia="宋体"/>
          <w:b/>
          <w:bCs/>
          <w:color w:val="auto"/>
          <w:kern w:val="2"/>
          <w:szCs w:val="32"/>
          <w:lang w:eastAsia="zh-CN" w:bidi="ar-SA"/>
        </w:rPr>
        <w:t>监理周期延误</w:t>
      </w:r>
      <w:bookmarkEnd w:id="800"/>
    </w:p>
    <w:p w14:paraId="6F575CA4">
      <w:pPr>
        <w:spacing w:line="360" w:lineRule="auto"/>
        <w:ind w:firstLine="420" w:firstLineChars="200"/>
        <w:jc w:val="both"/>
        <w:rPr>
          <w:rFonts w:eastAsia="宋体"/>
          <w:color w:val="auto"/>
          <w:kern w:val="2"/>
          <w:sz w:val="21"/>
          <w:szCs w:val="21"/>
          <w:lang w:eastAsia="zh-CN" w:bidi="ar-SA"/>
        </w:rPr>
      </w:pPr>
      <w:r>
        <w:rPr>
          <w:rFonts w:hint="eastAsia" w:eastAsia="宋体"/>
          <w:color w:val="auto"/>
          <w:kern w:val="2"/>
          <w:sz w:val="21"/>
          <w:szCs w:val="21"/>
          <w:lang w:eastAsia="zh-CN" w:bidi="ar-SA"/>
        </w:rPr>
        <w:t>6. 2细化为：</w:t>
      </w:r>
    </w:p>
    <w:p w14:paraId="0589F538">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在履行合同过程中，由于下列原因造成监理服务期限延误的，委托人应当延长监理服务期限并增加监理报酬，具体方法</w:t>
      </w:r>
      <w:r>
        <w:rPr>
          <w:rFonts w:hint="eastAsia" w:eastAsia="宋体"/>
          <w:color w:val="auto"/>
          <w:sz w:val="21"/>
          <w:szCs w:val="21"/>
          <w:lang w:eastAsia="zh-CN" w:bidi="ar-SA"/>
        </w:rPr>
        <w:t>见</w:t>
      </w:r>
      <w:r>
        <w:rPr>
          <w:rFonts w:eastAsia="宋体"/>
          <w:color w:val="auto"/>
          <w:sz w:val="21"/>
          <w:szCs w:val="21"/>
          <w:lang w:eastAsia="zh-CN" w:bidi="ar-SA"/>
        </w:rPr>
        <w:t>专用合同条款</w:t>
      </w:r>
      <w:r>
        <w:rPr>
          <w:rFonts w:hint="eastAsia" w:eastAsia="宋体"/>
          <w:color w:val="auto"/>
          <w:sz w:val="21"/>
          <w:szCs w:val="21"/>
          <w:lang w:eastAsia="zh-CN" w:bidi="ar-SA"/>
        </w:rPr>
        <w:t>8.1.1条</w:t>
      </w:r>
      <w:r>
        <w:rPr>
          <w:rFonts w:eastAsia="宋体"/>
          <w:color w:val="auto"/>
          <w:kern w:val="2"/>
          <w:sz w:val="21"/>
          <w:szCs w:val="21"/>
          <w:lang w:eastAsia="zh-CN" w:bidi="ar-SA"/>
        </w:rPr>
        <w:t>。</w:t>
      </w:r>
    </w:p>
    <w:p w14:paraId="18911FB7">
      <w:pPr>
        <w:spacing w:line="360" w:lineRule="auto"/>
        <w:ind w:firstLine="420" w:firstLineChars="200"/>
        <w:jc w:val="both"/>
        <w:rPr>
          <w:rFonts w:eastAsia="宋体"/>
          <w:color w:val="auto"/>
          <w:kern w:val="2"/>
          <w:sz w:val="21"/>
          <w:lang w:eastAsia="zh-CN" w:bidi="ar-SA"/>
        </w:rPr>
      </w:pPr>
      <w:r>
        <w:rPr>
          <w:rFonts w:eastAsia="宋体"/>
          <w:color w:val="auto"/>
          <w:kern w:val="2"/>
          <w:sz w:val="21"/>
          <w:lang w:eastAsia="zh-CN" w:bidi="ar-SA"/>
        </w:rPr>
        <w:t>（1）合同变更；</w:t>
      </w:r>
    </w:p>
    <w:p w14:paraId="127A7611">
      <w:pPr>
        <w:spacing w:line="360" w:lineRule="auto"/>
        <w:ind w:firstLine="420" w:firstLineChars="200"/>
        <w:jc w:val="both"/>
        <w:rPr>
          <w:rFonts w:eastAsia="宋体"/>
          <w:color w:val="auto"/>
          <w:kern w:val="2"/>
          <w:sz w:val="21"/>
          <w:lang w:eastAsia="zh-CN" w:bidi="ar-SA"/>
        </w:rPr>
      </w:pPr>
      <w:r>
        <w:rPr>
          <w:rFonts w:eastAsia="宋体"/>
          <w:color w:val="auto"/>
          <w:kern w:val="2"/>
          <w:sz w:val="21"/>
          <w:lang w:eastAsia="zh-CN" w:bidi="ar-SA"/>
        </w:rPr>
        <w:t xml:space="preserve">（2）因委托人原因导致的监理工作暂停； </w:t>
      </w:r>
    </w:p>
    <w:p w14:paraId="7F1021B2">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lang w:eastAsia="zh-CN" w:bidi="ar-SA"/>
        </w:rPr>
        <w:t>（3）</w:t>
      </w:r>
      <w:r>
        <w:rPr>
          <w:rFonts w:eastAsia="宋体"/>
          <w:color w:val="auto"/>
          <w:kern w:val="2"/>
          <w:sz w:val="21"/>
          <w:szCs w:val="21"/>
          <w:lang w:eastAsia="zh-CN" w:bidi="ar-SA"/>
        </w:rPr>
        <w:t>由于承包人延误、行政管理</w:t>
      </w:r>
      <w:r>
        <w:rPr>
          <w:rFonts w:eastAsia="宋体"/>
          <w:color w:val="auto"/>
          <w:kern w:val="2"/>
          <w:sz w:val="21"/>
          <w:lang w:eastAsia="zh-CN" w:bidi="ar-SA"/>
        </w:rPr>
        <w:t>造成的监理</w:t>
      </w:r>
      <w:r>
        <w:rPr>
          <w:rFonts w:eastAsia="宋体"/>
          <w:color w:val="auto"/>
          <w:kern w:val="2"/>
          <w:sz w:val="21"/>
          <w:szCs w:val="21"/>
          <w:lang w:eastAsia="zh-CN" w:bidi="ar-SA"/>
        </w:rPr>
        <w:t>服务期延误</w:t>
      </w:r>
      <w:r>
        <w:rPr>
          <w:rFonts w:hint="eastAsia" w:eastAsia="宋体"/>
          <w:color w:val="auto"/>
          <w:kern w:val="2"/>
          <w:sz w:val="21"/>
          <w:szCs w:val="21"/>
          <w:lang w:eastAsia="zh-CN" w:bidi="ar-SA"/>
        </w:rPr>
        <w:t>。</w:t>
      </w:r>
    </w:p>
    <w:p w14:paraId="28E99A5C">
      <w:pPr>
        <w:keepNext/>
        <w:keepLines/>
        <w:spacing w:line="360" w:lineRule="auto"/>
        <w:ind w:firstLine="137"/>
        <w:jc w:val="both"/>
        <w:outlineLvl w:val="2"/>
        <w:rPr>
          <w:rFonts w:eastAsia="宋体"/>
          <w:b/>
          <w:bCs/>
          <w:color w:val="auto"/>
          <w:kern w:val="2"/>
          <w:szCs w:val="32"/>
          <w:lang w:eastAsia="zh-CN" w:bidi="ar-SA"/>
        </w:rPr>
      </w:pPr>
      <w:bookmarkStart w:id="801" w:name="_Toc19095"/>
      <w:r>
        <w:rPr>
          <w:rFonts w:eastAsia="宋体"/>
          <w:b/>
          <w:bCs/>
          <w:color w:val="auto"/>
          <w:kern w:val="2"/>
          <w:szCs w:val="32"/>
          <w:lang w:eastAsia="zh-CN" w:bidi="ar-SA"/>
        </w:rPr>
        <w:t xml:space="preserve">6.3 </w:t>
      </w:r>
      <w:r>
        <w:rPr>
          <w:rFonts w:hint="eastAsia" w:eastAsia="宋体"/>
          <w:b/>
          <w:bCs/>
          <w:color w:val="auto"/>
          <w:kern w:val="2"/>
          <w:szCs w:val="32"/>
          <w:lang w:eastAsia="zh-CN" w:bidi="ar-SA"/>
        </w:rPr>
        <w:t>完成监理</w:t>
      </w:r>
      <w:bookmarkEnd w:id="801"/>
    </w:p>
    <w:p w14:paraId="24D37618">
      <w:pPr>
        <w:spacing w:line="360" w:lineRule="auto"/>
        <w:ind w:firstLine="420" w:firstLineChars="200"/>
        <w:jc w:val="both"/>
        <w:rPr>
          <w:rFonts w:eastAsia="宋体"/>
          <w:color w:val="auto"/>
          <w:kern w:val="2"/>
          <w:sz w:val="21"/>
          <w:szCs w:val="21"/>
          <w:lang w:eastAsia="zh-CN" w:bidi="ar-SA"/>
        </w:rPr>
      </w:pPr>
      <w:r>
        <w:rPr>
          <w:rFonts w:hint="eastAsia" w:eastAsia="宋体"/>
          <w:color w:val="auto"/>
          <w:kern w:val="2"/>
          <w:sz w:val="21"/>
          <w:szCs w:val="21"/>
          <w:lang w:eastAsia="zh-CN" w:bidi="ar-SA"/>
        </w:rPr>
        <w:t xml:space="preserve">6. </w:t>
      </w:r>
      <w:r>
        <w:rPr>
          <w:rFonts w:eastAsia="宋体"/>
          <w:color w:val="auto"/>
          <w:kern w:val="2"/>
          <w:sz w:val="21"/>
          <w:szCs w:val="21"/>
          <w:lang w:eastAsia="zh-CN" w:bidi="ar-SA"/>
        </w:rPr>
        <w:t>3.5</w:t>
      </w:r>
      <w:r>
        <w:rPr>
          <w:rFonts w:hint="eastAsia" w:eastAsia="宋体"/>
          <w:color w:val="auto"/>
          <w:kern w:val="2"/>
          <w:sz w:val="21"/>
          <w:szCs w:val="21"/>
          <w:lang w:eastAsia="zh-CN" w:bidi="ar-SA"/>
        </w:rPr>
        <w:t>细化为：</w:t>
      </w:r>
    </w:p>
    <w:p w14:paraId="5F6632CF">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lang w:eastAsia="zh-CN" w:bidi="ar-SA"/>
        </w:rPr>
        <w:t>监理文件包括纸质文件和电子文件两种形式，两者若有不一致时，以纸质文件为准。纸质文件应当加盖单位章和总监理工程师的注册执业印章</w:t>
      </w:r>
      <w:r>
        <w:rPr>
          <w:rFonts w:hint="eastAsia" w:eastAsia="宋体"/>
          <w:color w:val="auto"/>
          <w:kern w:val="2"/>
          <w:sz w:val="21"/>
          <w:lang w:eastAsia="zh-CN" w:bidi="ar-SA"/>
        </w:rPr>
        <w:t>。纸质文件应编制目录，用A4纸幅胶装，一式三份</w:t>
      </w:r>
      <w:r>
        <w:rPr>
          <w:rFonts w:eastAsia="宋体"/>
          <w:color w:val="auto"/>
          <w:kern w:val="2"/>
          <w:sz w:val="21"/>
          <w:lang w:eastAsia="zh-CN" w:bidi="ar-SA"/>
        </w:rPr>
        <w:t>；电子文件应使用光盘和U盘分别贮存。</w:t>
      </w:r>
    </w:p>
    <w:p w14:paraId="6EB822F6">
      <w:pPr>
        <w:keepNext/>
        <w:keepLines/>
        <w:spacing w:line="360" w:lineRule="auto"/>
        <w:outlineLvl w:val="1"/>
        <w:rPr>
          <w:rFonts w:ascii="Arial" w:hAnsi="Arial" w:eastAsia="宋体"/>
          <w:b/>
          <w:bCs/>
          <w:color w:val="auto"/>
          <w:kern w:val="2"/>
          <w:sz w:val="28"/>
          <w:szCs w:val="32"/>
          <w:lang w:eastAsia="zh-CN" w:bidi="ar-SA"/>
        </w:rPr>
      </w:pPr>
      <w:bookmarkStart w:id="802" w:name="_Toc504633924"/>
      <w:bookmarkStart w:id="803" w:name="_Toc13588"/>
      <w:r>
        <w:rPr>
          <w:rFonts w:ascii="Arial" w:hAnsi="Arial" w:eastAsia="宋体"/>
          <w:b/>
          <w:bCs/>
          <w:color w:val="auto"/>
          <w:kern w:val="2"/>
          <w:sz w:val="28"/>
          <w:szCs w:val="32"/>
          <w:lang w:eastAsia="zh-CN" w:bidi="ar-SA"/>
        </w:rPr>
        <w:t xml:space="preserve">7. </w:t>
      </w:r>
      <w:r>
        <w:rPr>
          <w:rFonts w:hint="eastAsia" w:ascii="Arial" w:hAnsi="Arial" w:eastAsia="宋体"/>
          <w:b/>
          <w:bCs/>
          <w:color w:val="auto"/>
          <w:kern w:val="2"/>
          <w:sz w:val="28"/>
          <w:szCs w:val="32"/>
          <w:lang w:eastAsia="zh-CN" w:bidi="ar-SA"/>
        </w:rPr>
        <w:t>监理责任与保险</w:t>
      </w:r>
      <w:bookmarkEnd w:id="802"/>
      <w:bookmarkEnd w:id="803"/>
    </w:p>
    <w:p w14:paraId="2922298F">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7.2</w:t>
      </w:r>
      <w:r>
        <w:rPr>
          <w:rFonts w:hint="eastAsia" w:eastAsia="宋体"/>
          <w:color w:val="auto"/>
          <w:kern w:val="2"/>
          <w:sz w:val="21"/>
          <w:szCs w:val="21"/>
          <w:lang w:eastAsia="zh-CN" w:bidi="ar-SA"/>
        </w:rPr>
        <w:t>细化为：</w:t>
      </w:r>
    </w:p>
    <w:p w14:paraId="1EA125E6">
      <w:pPr>
        <w:spacing w:line="360" w:lineRule="auto"/>
        <w:ind w:firstLine="420" w:firstLineChars="200"/>
        <w:jc w:val="both"/>
        <w:rPr>
          <w:rFonts w:eastAsia="宋体"/>
          <w:color w:val="auto"/>
          <w:kern w:val="2"/>
          <w:sz w:val="21"/>
          <w:lang w:eastAsia="zh-CN" w:bidi="ar-SA"/>
        </w:rPr>
      </w:pPr>
      <w:r>
        <w:rPr>
          <w:rFonts w:eastAsia="宋体"/>
          <w:color w:val="auto"/>
          <w:kern w:val="2"/>
          <w:sz w:val="21"/>
          <w:lang w:eastAsia="zh-CN" w:bidi="ar-SA"/>
        </w:rPr>
        <w:t>监理人</w:t>
      </w:r>
      <w:r>
        <w:rPr>
          <w:rFonts w:hint="eastAsia" w:eastAsia="宋体"/>
          <w:color w:val="auto"/>
          <w:kern w:val="2"/>
          <w:sz w:val="21"/>
          <w:lang w:eastAsia="zh-CN" w:bidi="ar-SA"/>
        </w:rPr>
        <w:t>应</w:t>
      </w:r>
      <w:r>
        <w:rPr>
          <w:rFonts w:eastAsia="宋体"/>
          <w:color w:val="auto"/>
          <w:kern w:val="2"/>
          <w:sz w:val="21"/>
          <w:lang w:eastAsia="zh-CN" w:bidi="ar-SA"/>
        </w:rPr>
        <w:t>根据工程情况对监理责任进行保险，并在合同履行期间保持足额、有效。</w:t>
      </w:r>
      <w:r>
        <w:rPr>
          <w:rFonts w:hint="eastAsia" w:eastAsia="宋体"/>
          <w:color w:val="auto"/>
          <w:kern w:val="2"/>
          <w:sz w:val="21"/>
          <w:lang w:eastAsia="zh-CN" w:bidi="ar-SA"/>
        </w:rPr>
        <w:t>保险费包含在投标报价中，委托人不单独支付。监理人未按本款规定投保所造成的一切损失或索赔，均由监理人自行承担。</w:t>
      </w:r>
    </w:p>
    <w:p w14:paraId="27379EF4">
      <w:pPr>
        <w:keepNext/>
        <w:keepLines/>
        <w:spacing w:line="360" w:lineRule="auto"/>
        <w:outlineLvl w:val="1"/>
        <w:rPr>
          <w:rFonts w:ascii="Arial" w:hAnsi="Arial" w:eastAsia="宋体"/>
          <w:b/>
          <w:bCs/>
          <w:color w:val="auto"/>
          <w:kern w:val="2"/>
          <w:sz w:val="28"/>
          <w:szCs w:val="32"/>
          <w:lang w:eastAsia="zh-CN" w:bidi="ar-SA"/>
        </w:rPr>
      </w:pPr>
      <w:bookmarkStart w:id="804" w:name="_Toc504633925"/>
      <w:bookmarkStart w:id="805" w:name="_Toc27811"/>
      <w:r>
        <w:rPr>
          <w:rFonts w:ascii="Arial" w:hAnsi="Arial" w:eastAsia="宋体"/>
          <w:b/>
          <w:bCs/>
          <w:color w:val="auto"/>
          <w:kern w:val="2"/>
          <w:sz w:val="28"/>
          <w:szCs w:val="32"/>
          <w:lang w:eastAsia="zh-CN" w:bidi="ar-SA"/>
        </w:rPr>
        <w:t xml:space="preserve">8. </w:t>
      </w:r>
      <w:r>
        <w:rPr>
          <w:rFonts w:hint="eastAsia" w:ascii="Arial" w:hAnsi="Arial" w:eastAsia="宋体"/>
          <w:b/>
          <w:bCs/>
          <w:color w:val="auto"/>
          <w:kern w:val="2"/>
          <w:sz w:val="28"/>
          <w:szCs w:val="32"/>
          <w:lang w:eastAsia="zh-CN" w:bidi="ar-SA"/>
        </w:rPr>
        <w:t>合同变更</w:t>
      </w:r>
      <w:bookmarkEnd w:id="804"/>
      <w:bookmarkEnd w:id="805"/>
    </w:p>
    <w:p w14:paraId="1BD9CB89">
      <w:pPr>
        <w:keepNext/>
        <w:keepLines/>
        <w:spacing w:line="360" w:lineRule="auto"/>
        <w:jc w:val="both"/>
        <w:outlineLvl w:val="2"/>
        <w:rPr>
          <w:rFonts w:eastAsia="宋体"/>
          <w:b/>
          <w:bCs/>
          <w:color w:val="auto"/>
          <w:kern w:val="2"/>
          <w:szCs w:val="32"/>
          <w:lang w:eastAsia="zh-CN" w:bidi="ar-SA"/>
        </w:rPr>
      </w:pPr>
      <w:bookmarkStart w:id="806" w:name="_Toc7567"/>
      <w:r>
        <w:rPr>
          <w:rFonts w:eastAsia="宋体"/>
          <w:b/>
          <w:bCs/>
          <w:color w:val="auto"/>
          <w:kern w:val="2"/>
          <w:szCs w:val="32"/>
          <w:lang w:eastAsia="zh-CN" w:bidi="ar-SA"/>
        </w:rPr>
        <w:t xml:space="preserve">8.1 </w:t>
      </w:r>
      <w:r>
        <w:rPr>
          <w:rFonts w:hint="eastAsia" w:eastAsia="宋体"/>
          <w:b/>
          <w:bCs/>
          <w:color w:val="auto"/>
          <w:kern w:val="2"/>
          <w:szCs w:val="32"/>
          <w:lang w:eastAsia="zh-CN" w:bidi="ar-SA"/>
        </w:rPr>
        <w:t>变更情形</w:t>
      </w:r>
      <w:bookmarkEnd w:id="806"/>
    </w:p>
    <w:p w14:paraId="0D6218E5">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8.1.1</w:t>
      </w:r>
      <w:r>
        <w:rPr>
          <w:rFonts w:hint="eastAsia" w:eastAsia="宋体"/>
          <w:color w:val="auto"/>
          <w:kern w:val="2"/>
          <w:sz w:val="21"/>
          <w:szCs w:val="21"/>
          <w:lang w:eastAsia="zh-CN" w:bidi="ar-SA"/>
        </w:rPr>
        <w:t>细化为：</w:t>
      </w:r>
    </w:p>
    <w:p w14:paraId="0761BFAB">
      <w:pPr>
        <w:spacing w:line="360" w:lineRule="auto"/>
        <w:ind w:firstLine="420" w:firstLineChars="200"/>
        <w:jc w:val="both"/>
        <w:rPr>
          <w:rFonts w:hint="eastAsia" w:ascii="宋体" w:hAnsi="宋体" w:eastAsia="宋体"/>
          <w:color w:val="auto"/>
          <w:kern w:val="2"/>
          <w:sz w:val="21"/>
          <w:szCs w:val="21"/>
          <w:lang w:eastAsia="zh-CN" w:bidi="ar-SA"/>
        </w:rPr>
      </w:pPr>
      <w:r>
        <w:rPr>
          <w:rFonts w:hint="eastAsia" w:ascii="宋体" w:hAnsi="宋体" w:eastAsia="宋体"/>
          <w:color w:val="auto"/>
          <w:kern w:val="2"/>
          <w:sz w:val="21"/>
          <w:szCs w:val="21"/>
          <w:lang w:eastAsia="zh-CN" w:bidi="ar-SA"/>
        </w:rPr>
        <w:t>合同履行过程中，委托人改变</w:t>
      </w:r>
      <w:r>
        <w:rPr>
          <w:rFonts w:ascii="宋体" w:hAnsi="宋体" w:eastAsia="宋体"/>
          <w:color w:val="auto"/>
          <w:kern w:val="2"/>
          <w:sz w:val="21"/>
          <w:szCs w:val="21"/>
          <w:lang w:eastAsia="zh-CN" w:bidi="ar-SA"/>
        </w:rPr>
        <w:t>监理合同约定的监理服务的形式、范围与内容，</w:t>
      </w:r>
      <w:r>
        <w:rPr>
          <w:rFonts w:hint="eastAsia" w:ascii="宋体" w:hAnsi="宋体" w:eastAsia="宋体"/>
          <w:color w:val="auto"/>
          <w:kern w:val="2"/>
          <w:sz w:val="21"/>
          <w:szCs w:val="21"/>
          <w:lang w:eastAsia="zh-CN" w:bidi="ar-SA"/>
        </w:rPr>
        <w:t>应</w:t>
      </w:r>
      <w:r>
        <w:rPr>
          <w:rFonts w:ascii="宋体" w:hAnsi="宋体" w:eastAsia="宋体"/>
          <w:color w:val="auto"/>
          <w:kern w:val="2"/>
          <w:sz w:val="21"/>
          <w:szCs w:val="21"/>
          <w:lang w:eastAsia="zh-CN" w:bidi="ar-SA"/>
        </w:rPr>
        <w:t>在双方协商一致的基础上，按照本监理合同的</w:t>
      </w:r>
      <w:r>
        <w:rPr>
          <w:rFonts w:hint="eastAsia" w:ascii="宋体" w:hAnsi="宋体" w:eastAsia="宋体"/>
          <w:color w:val="auto"/>
          <w:kern w:val="2"/>
          <w:sz w:val="21"/>
          <w:szCs w:val="21"/>
          <w:lang w:eastAsia="zh-CN" w:bidi="ar-SA"/>
        </w:rPr>
        <w:t>约</w:t>
      </w:r>
      <w:r>
        <w:rPr>
          <w:rFonts w:ascii="宋体" w:hAnsi="宋体" w:eastAsia="宋体"/>
          <w:color w:val="auto"/>
          <w:kern w:val="2"/>
          <w:sz w:val="21"/>
          <w:szCs w:val="21"/>
          <w:lang w:eastAsia="zh-CN" w:bidi="ar-SA"/>
        </w:rPr>
        <w:t>定进行变更。上述变更导致增加或减少的监理服务工作量，</w:t>
      </w:r>
      <w:r>
        <w:rPr>
          <w:rFonts w:hint="eastAsia" w:ascii="宋体" w:hAnsi="宋体" w:eastAsia="宋体"/>
          <w:color w:val="auto"/>
          <w:kern w:val="2"/>
          <w:sz w:val="21"/>
          <w:szCs w:val="21"/>
          <w:lang w:eastAsia="zh-CN" w:bidi="ar-SA"/>
        </w:rPr>
        <w:t>其</w:t>
      </w:r>
      <w:r>
        <w:rPr>
          <w:rFonts w:ascii="宋体" w:hAnsi="宋体" w:eastAsia="宋体"/>
          <w:color w:val="auto"/>
          <w:kern w:val="2"/>
          <w:sz w:val="21"/>
          <w:szCs w:val="21"/>
          <w:lang w:eastAsia="zh-CN" w:bidi="ar-SA"/>
        </w:rPr>
        <w:t>监理</w:t>
      </w:r>
      <w:r>
        <w:rPr>
          <w:rFonts w:hint="eastAsia" w:ascii="宋体" w:hAnsi="宋体" w:eastAsia="宋体"/>
          <w:color w:val="auto"/>
          <w:kern w:val="2"/>
          <w:sz w:val="21"/>
          <w:szCs w:val="21"/>
          <w:lang w:eastAsia="zh-CN" w:bidi="ar-SA"/>
        </w:rPr>
        <w:t>服务</w:t>
      </w:r>
      <w:r>
        <w:rPr>
          <w:rFonts w:ascii="宋体" w:hAnsi="宋体" w:eastAsia="宋体"/>
          <w:color w:val="auto"/>
          <w:kern w:val="2"/>
          <w:sz w:val="21"/>
          <w:szCs w:val="21"/>
          <w:lang w:eastAsia="zh-CN" w:bidi="ar-SA"/>
        </w:rPr>
        <w:t>费用</w:t>
      </w:r>
      <w:r>
        <w:rPr>
          <w:rFonts w:hint="eastAsia" w:ascii="宋体" w:hAnsi="宋体" w:eastAsia="宋体"/>
          <w:color w:val="auto"/>
          <w:kern w:val="2"/>
          <w:sz w:val="21"/>
          <w:szCs w:val="21"/>
          <w:lang w:eastAsia="zh-CN" w:bidi="ar-SA"/>
        </w:rPr>
        <w:t>不作</w:t>
      </w:r>
      <w:r>
        <w:rPr>
          <w:rFonts w:ascii="宋体" w:hAnsi="宋体" w:eastAsia="宋体"/>
          <w:color w:val="auto"/>
          <w:kern w:val="2"/>
          <w:sz w:val="21"/>
          <w:szCs w:val="21"/>
          <w:lang w:eastAsia="zh-CN" w:bidi="ar-SA"/>
        </w:rPr>
        <w:t>调整</w:t>
      </w:r>
      <w:r>
        <w:rPr>
          <w:rFonts w:hint="eastAsia" w:ascii="宋体" w:hAnsi="宋体" w:eastAsia="宋体"/>
          <w:color w:val="auto"/>
          <w:kern w:val="2"/>
          <w:sz w:val="21"/>
          <w:szCs w:val="21"/>
          <w:lang w:eastAsia="zh-CN" w:bidi="ar-SA"/>
        </w:rPr>
        <w:t>。</w:t>
      </w:r>
    </w:p>
    <w:p w14:paraId="4C02B89F">
      <w:pPr>
        <w:spacing w:line="360" w:lineRule="auto"/>
        <w:ind w:firstLine="420" w:firstLineChars="200"/>
        <w:jc w:val="both"/>
        <w:rPr>
          <w:rFonts w:hint="eastAsia" w:ascii="宋体" w:hAnsi="宋体" w:eastAsia="宋体"/>
          <w:color w:val="auto"/>
          <w:kern w:val="2"/>
          <w:sz w:val="21"/>
          <w:szCs w:val="21"/>
          <w:lang w:eastAsia="zh-CN" w:bidi="ar-SA"/>
        </w:rPr>
      </w:pPr>
      <w:r>
        <w:rPr>
          <w:rFonts w:hint="eastAsia" w:ascii="宋体" w:hAnsi="宋体" w:eastAsia="宋体"/>
          <w:color w:val="auto"/>
          <w:kern w:val="2"/>
          <w:sz w:val="21"/>
          <w:szCs w:val="21"/>
          <w:lang w:eastAsia="zh-CN" w:bidi="ar-SA"/>
        </w:rPr>
        <w:t>因项目提前完工或其他原因导致监理服务期减少，监理服务费按照监理实际服务时间进行调整。</w:t>
      </w:r>
    </w:p>
    <w:p w14:paraId="1F7179C4">
      <w:pPr>
        <w:spacing w:line="360" w:lineRule="auto"/>
        <w:ind w:firstLine="420" w:firstLineChars="200"/>
        <w:jc w:val="both"/>
        <w:rPr>
          <w:rFonts w:hint="eastAsia" w:ascii="宋体" w:hAnsi="宋体" w:eastAsia="宋体"/>
          <w:color w:val="auto"/>
          <w:kern w:val="2"/>
          <w:sz w:val="21"/>
          <w:szCs w:val="21"/>
          <w:lang w:eastAsia="zh-CN" w:bidi="ar-SA"/>
        </w:rPr>
      </w:pPr>
      <w:r>
        <w:rPr>
          <w:rFonts w:ascii="宋体" w:hAnsi="宋体" w:eastAsia="宋体"/>
          <w:color w:val="auto"/>
          <w:kern w:val="2"/>
          <w:sz w:val="21"/>
          <w:szCs w:val="21"/>
          <w:lang w:eastAsia="zh-CN" w:bidi="ar-SA"/>
        </w:rPr>
        <w:t>因</w:t>
      </w:r>
      <w:r>
        <w:rPr>
          <w:rFonts w:hint="eastAsia" w:ascii="宋体" w:hAnsi="宋体" w:eastAsia="宋体"/>
          <w:color w:val="auto"/>
          <w:kern w:val="2"/>
          <w:sz w:val="21"/>
          <w:szCs w:val="21"/>
          <w:lang w:eastAsia="zh-CN" w:bidi="ar-SA"/>
        </w:rPr>
        <w:t>委托</w:t>
      </w:r>
      <w:r>
        <w:rPr>
          <w:rFonts w:ascii="宋体" w:hAnsi="宋体" w:eastAsia="宋体"/>
          <w:color w:val="auto"/>
          <w:kern w:val="2"/>
          <w:sz w:val="21"/>
          <w:szCs w:val="21"/>
          <w:lang w:eastAsia="zh-CN" w:bidi="ar-SA"/>
        </w:rPr>
        <w:t>人或第三方的责任，阻碍或延误了监理人履行监理服务，监理人应及时将该情况与其可能产生的影响书面通知</w:t>
      </w:r>
      <w:r>
        <w:rPr>
          <w:rFonts w:hint="eastAsia" w:ascii="宋体" w:hAnsi="宋体" w:eastAsia="宋体"/>
          <w:color w:val="auto"/>
          <w:kern w:val="2"/>
          <w:sz w:val="21"/>
          <w:szCs w:val="21"/>
          <w:lang w:eastAsia="zh-CN" w:bidi="ar-SA"/>
        </w:rPr>
        <w:t>委托人</w:t>
      </w:r>
      <w:r>
        <w:rPr>
          <w:rFonts w:ascii="宋体" w:hAnsi="宋体" w:eastAsia="宋体"/>
          <w:color w:val="auto"/>
          <w:kern w:val="2"/>
          <w:sz w:val="21"/>
          <w:szCs w:val="21"/>
          <w:lang w:eastAsia="zh-CN" w:bidi="ar-SA"/>
        </w:rPr>
        <w:t>，在双方协商一致的基础上对监理合同进行相应的变更。上述情况导致</w:t>
      </w:r>
      <w:r>
        <w:rPr>
          <w:rFonts w:hint="eastAsia" w:ascii="宋体" w:hAnsi="宋体" w:eastAsia="宋体"/>
          <w:color w:val="auto"/>
          <w:kern w:val="2"/>
          <w:sz w:val="21"/>
          <w:szCs w:val="21"/>
          <w:lang w:eastAsia="zh-CN" w:bidi="ar-SA"/>
        </w:rPr>
        <w:t>施工期</w:t>
      </w:r>
      <w:r>
        <w:rPr>
          <w:rFonts w:ascii="宋体" w:hAnsi="宋体" w:eastAsia="宋体"/>
          <w:color w:val="auto"/>
          <w:kern w:val="2"/>
          <w:sz w:val="21"/>
          <w:szCs w:val="21"/>
          <w:lang w:eastAsia="zh-CN" w:bidi="ar-SA"/>
        </w:rPr>
        <w:t>增加监理服务</w:t>
      </w:r>
      <w:r>
        <w:rPr>
          <w:rFonts w:hint="eastAsia" w:ascii="宋体" w:hAnsi="宋体" w:eastAsia="宋体"/>
          <w:color w:val="auto"/>
          <w:kern w:val="2"/>
          <w:sz w:val="21"/>
          <w:szCs w:val="21"/>
          <w:lang w:eastAsia="zh-CN" w:bidi="ar-SA"/>
        </w:rPr>
        <w:t>工作时间超出监理合同服务期三个月之内的费用不予以调整。如监理服务工作时间超出监理合同服务期三个月的，超出时间（超出时间不足半个月的按半个月计算，超过半个月但不足一个月的按一个月计算）的监理服务费按委托人认可的监理人月数及施工期阶段监理人月费平均单价计算，其他费用不予调整，并签订监理合同补充协议书作为支付依据。监理服务缺陷责任期相应顺延。</w:t>
      </w:r>
    </w:p>
    <w:p w14:paraId="5F590B0D">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8.1.2</w:t>
      </w:r>
      <w:r>
        <w:rPr>
          <w:rFonts w:hint="eastAsia" w:eastAsia="宋体"/>
          <w:color w:val="auto"/>
          <w:kern w:val="2"/>
          <w:sz w:val="21"/>
          <w:szCs w:val="21"/>
          <w:lang w:eastAsia="zh-CN" w:bidi="ar-SA"/>
        </w:rPr>
        <w:t>细化为：</w:t>
      </w:r>
    </w:p>
    <w:p w14:paraId="7609CA0F">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基准日后，因颁布新的或修订原有法律、法规、规范和标准等</w:t>
      </w:r>
      <w:r>
        <w:rPr>
          <w:rFonts w:hint="eastAsia" w:eastAsia="宋体"/>
          <w:color w:val="auto"/>
          <w:kern w:val="2"/>
          <w:sz w:val="21"/>
          <w:szCs w:val="21"/>
          <w:lang w:eastAsia="zh-CN" w:bidi="ar-SA"/>
        </w:rPr>
        <w:t>，不构成合同变更，</w:t>
      </w:r>
      <w:r>
        <w:rPr>
          <w:rFonts w:ascii="宋体" w:hAnsi="宋体" w:eastAsia="宋体"/>
          <w:color w:val="auto"/>
          <w:kern w:val="2"/>
          <w:sz w:val="21"/>
          <w:szCs w:val="21"/>
          <w:lang w:eastAsia="zh-CN" w:bidi="ar-SA"/>
        </w:rPr>
        <w:t>其监理服务费用不</w:t>
      </w:r>
      <w:r>
        <w:rPr>
          <w:rFonts w:hint="eastAsia" w:ascii="宋体" w:hAnsi="宋体" w:eastAsia="宋体"/>
          <w:color w:val="auto"/>
          <w:kern w:val="2"/>
          <w:sz w:val="21"/>
          <w:szCs w:val="21"/>
          <w:lang w:eastAsia="zh-CN" w:bidi="ar-SA"/>
        </w:rPr>
        <w:t>予</w:t>
      </w:r>
      <w:r>
        <w:rPr>
          <w:rFonts w:ascii="宋体" w:hAnsi="宋体" w:eastAsia="宋体"/>
          <w:color w:val="auto"/>
          <w:kern w:val="2"/>
          <w:sz w:val="21"/>
          <w:szCs w:val="21"/>
          <w:lang w:eastAsia="zh-CN" w:bidi="ar-SA"/>
        </w:rPr>
        <w:t>调整</w:t>
      </w:r>
      <w:r>
        <w:rPr>
          <w:rFonts w:eastAsia="宋体"/>
          <w:color w:val="auto"/>
          <w:kern w:val="2"/>
          <w:sz w:val="21"/>
          <w:szCs w:val="21"/>
          <w:lang w:eastAsia="zh-CN" w:bidi="ar-SA"/>
        </w:rPr>
        <w:t>。</w:t>
      </w:r>
    </w:p>
    <w:p w14:paraId="7099A791">
      <w:pPr>
        <w:keepNext/>
        <w:keepLines/>
        <w:spacing w:line="360" w:lineRule="auto"/>
        <w:outlineLvl w:val="1"/>
        <w:rPr>
          <w:rFonts w:ascii="Arial" w:hAnsi="Arial" w:eastAsia="宋体"/>
          <w:b/>
          <w:bCs/>
          <w:color w:val="auto"/>
          <w:kern w:val="2"/>
          <w:sz w:val="28"/>
          <w:szCs w:val="32"/>
          <w:lang w:eastAsia="zh-CN" w:bidi="ar-SA"/>
        </w:rPr>
      </w:pPr>
      <w:bookmarkStart w:id="807" w:name="_Toc504633926"/>
      <w:bookmarkStart w:id="808" w:name="_Toc3566"/>
      <w:r>
        <w:rPr>
          <w:rFonts w:ascii="Arial" w:hAnsi="Arial" w:eastAsia="宋体"/>
          <w:b/>
          <w:bCs/>
          <w:color w:val="auto"/>
          <w:kern w:val="2"/>
          <w:sz w:val="28"/>
          <w:szCs w:val="32"/>
          <w:lang w:eastAsia="zh-CN" w:bidi="ar-SA"/>
        </w:rPr>
        <w:t xml:space="preserve">9. </w:t>
      </w:r>
      <w:r>
        <w:rPr>
          <w:rFonts w:hint="eastAsia" w:ascii="Arial" w:hAnsi="Arial" w:eastAsia="宋体"/>
          <w:b/>
          <w:bCs/>
          <w:color w:val="auto"/>
          <w:kern w:val="2"/>
          <w:sz w:val="28"/>
          <w:szCs w:val="32"/>
          <w:lang w:eastAsia="zh-CN" w:bidi="ar-SA"/>
        </w:rPr>
        <w:t>合同价格与支付</w:t>
      </w:r>
      <w:bookmarkEnd w:id="807"/>
      <w:bookmarkEnd w:id="808"/>
    </w:p>
    <w:p w14:paraId="51BE6B46">
      <w:pPr>
        <w:keepNext/>
        <w:keepLines/>
        <w:spacing w:line="360" w:lineRule="auto"/>
        <w:jc w:val="both"/>
        <w:outlineLvl w:val="2"/>
        <w:rPr>
          <w:rFonts w:eastAsia="宋体"/>
          <w:b/>
          <w:bCs/>
          <w:color w:val="auto"/>
          <w:kern w:val="2"/>
          <w:szCs w:val="32"/>
          <w:lang w:eastAsia="zh-CN" w:bidi="ar-SA"/>
        </w:rPr>
      </w:pPr>
      <w:bookmarkStart w:id="809" w:name="_Toc21913"/>
      <w:r>
        <w:rPr>
          <w:rFonts w:eastAsia="宋体"/>
          <w:b/>
          <w:bCs/>
          <w:color w:val="auto"/>
          <w:kern w:val="2"/>
          <w:szCs w:val="32"/>
          <w:lang w:eastAsia="zh-CN" w:bidi="ar-SA"/>
        </w:rPr>
        <w:t xml:space="preserve">9.1 </w:t>
      </w:r>
      <w:r>
        <w:rPr>
          <w:rFonts w:hint="eastAsia" w:eastAsia="宋体"/>
          <w:b/>
          <w:bCs/>
          <w:color w:val="auto"/>
          <w:kern w:val="2"/>
          <w:szCs w:val="32"/>
          <w:lang w:eastAsia="zh-CN" w:bidi="ar-SA"/>
        </w:rPr>
        <w:t>合同价格</w:t>
      </w:r>
      <w:bookmarkEnd w:id="809"/>
    </w:p>
    <w:p w14:paraId="1126312D">
      <w:pPr>
        <w:spacing w:line="360" w:lineRule="auto"/>
        <w:ind w:firstLine="420" w:firstLineChars="200"/>
        <w:jc w:val="both"/>
        <w:rPr>
          <w:rFonts w:eastAsia="宋体"/>
          <w:color w:val="auto"/>
          <w:kern w:val="2"/>
          <w:sz w:val="21"/>
          <w:szCs w:val="21"/>
          <w:lang w:eastAsia="zh-CN" w:bidi="ar-SA"/>
        </w:rPr>
      </w:pPr>
      <w:bookmarkStart w:id="810" w:name="_Hlk504028144"/>
      <w:r>
        <w:rPr>
          <w:rFonts w:eastAsia="宋体"/>
          <w:color w:val="auto"/>
          <w:kern w:val="2"/>
          <w:sz w:val="21"/>
          <w:szCs w:val="21"/>
          <w:lang w:eastAsia="zh-CN" w:bidi="ar-SA"/>
        </w:rPr>
        <w:t>9.1.1</w:t>
      </w:r>
      <w:r>
        <w:rPr>
          <w:rFonts w:hint="eastAsia" w:eastAsia="宋体"/>
          <w:color w:val="auto"/>
          <w:kern w:val="2"/>
          <w:sz w:val="21"/>
          <w:szCs w:val="21"/>
          <w:lang w:eastAsia="zh-CN" w:bidi="ar-SA"/>
        </w:rPr>
        <w:t>细化为：</w:t>
      </w:r>
    </w:p>
    <w:p w14:paraId="01394F89">
      <w:pPr>
        <w:spacing w:line="360" w:lineRule="auto"/>
        <w:ind w:firstLine="420" w:firstLineChars="200"/>
        <w:jc w:val="both"/>
        <w:rPr>
          <w:rFonts w:hint="eastAsia" w:ascii="宋体" w:hAnsi="宋体" w:eastAsia="宋体"/>
          <w:color w:val="auto"/>
          <w:kern w:val="2"/>
          <w:sz w:val="21"/>
          <w:szCs w:val="21"/>
          <w:lang w:eastAsia="zh-CN" w:bidi="ar-SA"/>
        </w:rPr>
      </w:pPr>
      <w:bookmarkStart w:id="811" w:name="_Hlk502217794"/>
      <w:r>
        <w:rPr>
          <w:rFonts w:hint="eastAsia" w:ascii="宋体" w:hAnsi="宋体" w:eastAsia="宋体"/>
          <w:color w:val="auto"/>
          <w:kern w:val="2"/>
          <w:sz w:val="21"/>
          <w:szCs w:val="21"/>
          <w:lang w:eastAsia="zh-CN" w:bidi="ar-SA"/>
        </w:rPr>
        <w:t>1、监理服务费由施工阶段监理服务费、缺陷责任期阶段监理服务费组成。</w:t>
      </w:r>
    </w:p>
    <w:p w14:paraId="0EACF97D">
      <w:pPr>
        <w:spacing w:line="360" w:lineRule="auto"/>
        <w:ind w:firstLine="420" w:firstLineChars="200"/>
        <w:jc w:val="both"/>
        <w:rPr>
          <w:rFonts w:hint="eastAsia" w:ascii="宋体" w:hAnsi="宋体" w:eastAsia="宋体"/>
          <w:color w:val="auto"/>
          <w:kern w:val="2"/>
          <w:sz w:val="21"/>
          <w:szCs w:val="21"/>
          <w:lang w:eastAsia="zh-CN" w:bidi="ar-SA"/>
        </w:rPr>
      </w:pPr>
      <w:r>
        <w:rPr>
          <w:rFonts w:hint="eastAsia" w:ascii="宋体" w:hAnsi="宋体" w:eastAsia="宋体"/>
          <w:color w:val="auto"/>
          <w:kern w:val="2"/>
          <w:sz w:val="21"/>
          <w:szCs w:val="21"/>
          <w:lang w:eastAsia="zh-CN" w:bidi="ar-SA"/>
        </w:rPr>
        <w:t>监理人在履行监理服务时，所必需的专业监理工程师及以上人员、监理员、试验员、后勤及勤杂人员等人员费用（含节假日加班、延时加班），现场费用，工作、生活及交通工具设施及使用费，试验及检测设备及相关费用，税金、利润等与履行本合同有关的一切费用均已包含在监理服务费的报价中。</w:t>
      </w:r>
    </w:p>
    <w:p w14:paraId="1CEBE52A">
      <w:pPr>
        <w:spacing w:line="360" w:lineRule="auto"/>
        <w:ind w:firstLine="420" w:firstLineChars="200"/>
        <w:jc w:val="both"/>
        <w:rPr>
          <w:rFonts w:hint="eastAsia" w:ascii="宋体" w:hAnsi="宋体" w:eastAsia="宋体"/>
          <w:color w:val="auto"/>
          <w:kern w:val="2"/>
          <w:sz w:val="21"/>
          <w:szCs w:val="21"/>
          <w:lang w:eastAsia="zh-CN" w:bidi="ar-SA"/>
        </w:rPr>
      </w:pPr>
      <w:r>
        <w:rPr>
          <w:rFonts w:ascii="宋体" w:hAnsi="宋体" w:eastAsia="宋体"/>
          <w:color w:val="auto"/>
          <w:kern w:val="2"/>
          <w:sz w:val="21"/>
          <w:szCs w:val="21"/>
          <w:lang w:eastAsia="zh-CN" w:bidi="ar-SA"/>
        </w:rPr>
        <w:t>2</w:t>
      </w:r>
      <w:r>
        <w:rPr>
          <w:rFonts w:hint="eastAsia" w:ascii="宋体" w:hAnsi="宋体" w:eastAsia="宋体"/>
          <w:color w:val="auto"/>
          <w:kern w:val="2"/>
          <w:sz w:val="21"/>
          <w:szCs w:val="21"/>
          <w:lang w:eastAsia="zh-CN" w:bidi="ar-SA"/>
        </w:rPr>
        <w:t>、因专用合同条款1.1.4.3款的原因，导致施工阶段监理服务期限调整。如施工阶段监理服务期缩短，则施工阶段监理服务费按服务时间缩短的比例相应减少；如施工阶段监理服务期延长，则施工阶段监理服务费按专用合同条款8.1.1款的规定办理。</w:t>
      </w:r>
    </w:p>
    <w:bookmarkEnd w:id="810"/>
    <w:bookmarkEnd w:id="811"/>
    <w:p w14:paraId="20C33671">
      <w:pPr>
        <w:spacing w:line="360" w:lineRule="auto"/>
        <w:ind w:firstLine="420" w:firstLineChars="200"/>
        <w:jc w:val="both"/>
        <w:rPr>
          <w:rFonts w:eastAsia="宋体"/>
          <w:color w:val="auto"/>
          <w:kern w:val="2"/>
          <w:sz w:val="21"/>
          <w:szCs w:val="21"/>
          <w:lang w:eastAsia="zh-CN" w:bidi="ar-SA"/>
        </w:rPr>
      </w:pPr>
      <w:r>
        <w:rPr>
          <w:rFonts w:hint="eastAsia" w:eastAsia="宋体"/>
          <w:color w:val="auto"/>
          <w:kern w:val="2"/>
          <w:sz w:val="21"/>
          <w:szCs w:val="21"/>
          <w:lang w:eastAsia="zh-CN" w:bidi="ar-SA"/>
        </w:rPr>
        <w:t>9</w:t>
      </w:r>
      <w:r>
        <w:rPr>
          <w:rFonts w:eastAsia="宋体"/>
          <w:color w:val="auto"/>
          <w:kern w:val="2"/>
          <w:sz w:val="21"/>
          <w:szCs w:val="21"/>
          <w:lang w:eastAsia="zh-CN" w:bidi="ar-SA"/>
        </w:rPr>
        <w:t>.1.3</w:t>
      </w:r>
      <w:r>
        <w:rPr>
          <w:rFonts w:hint="eastAsia" w:eastAsia="宋体"/>
          <w:color w:val="auto"/>
          <w:kern w:val="2"/>
          <w:sz w:val="21"/>
          <w:szCs w:val="21"/>
          <w:lang w:eastAsia="zh-CN" w:bidi="ar-SA"/>
        </w:rPr>
        <w:t>修改为：</w:t>
      </w:r>
    </w:p>
    <w:p w14:paraId="7C0C5564">
      <w:pPr>
        <w:spacing w:line="360" w:lineRule="auto"/>
        <w:ind w:firstLine="420" w:firstLineChars="200"/>
        <w:jc w:val="both"/>
        <w:rPr>
          <w:rFonts w:eastAsia="宋体"/>
          <w:color w:val="auto"/>
          <w:kern w:val="2"/>
          <w:sz w:val="21"/>
          <w:szCs w:val="21"/>
          <w:lang w:eastAsia="zh-CN" w:bidi="ar-SA"/>
        </w:rPr>
      </w:pPr>
      <w:r>
        <w:rPr>
          <w:rFonts w:hint="eastAsia" w:eastAsia="宋体"/>
          <w:color w:val="auto"/>
          <w:kern w:val="2"/>
          <w:sz w:val="21"/>
          <w:szCs w:val="21"/>
          <w:lang w:eastAsia="zh-CN" w:bidi="ar-SA"/>
        </w:rPr>
        <w:t>本条款不适用。</w:t>
      </w:r>
    </w:p>
    <w:p w14:paraId="0034D8B4">
      <w:pPr>
        <w:spacing w:line="360" w:lineRule="auto"/>
        <w:ind w:firstLine="420" w:firstLineChars="200"/>
        <w:rPr>
          <w:rFonts w:eastAsia="宋体"/>
          <w:color w:val="auto"/>
          <w:kern w:val="2"/>
          <w:sz w:val="21"/>
          <w:szCs w:val="21"/>
          <w:lang w:eastAsia="zh-CN" w:bidi="ar-SA"/>
        </w:rPr>
      </w:pPr>
      <w:r>
        <w:rPr>
          <w:rFonts w:hint="eastAsia" w:eastAsia="宋体"/>
          <w:color w:val="auto"/>
          <w:kern w:val="2"/>
          <w:sz w:val="21"/>
          <w:szCs w:val="21"/>
          <w:lang w:eastAsia="zh-CN" w:bidi="ar-SA"/>
        </w:rPr>
        <w:t>9</w:t>
      </w:r>
      <w:r>
        <w:rPr>
          <w:rFonts w:eastAsia="宋体"/>
          <w:color w:val="auto"/>
          <w:kern w:val="2"/>
          <w:sz w:val="21"/>
          <w:szCs w:val="21"/>
          <w:lang w:eastAsia="zh-CN" w:bidi="ar-SA"/>
        </w:rPr>
        <w:t>.2</w:t>
      </w:r>
      <w:r>
        <w:rPr>
          <w:rFonts w:hint="eastAsia" w:eastAsia="宋体"/>
          <w:color w:val="auto"/>
          <w:kern w:val="2"/>
          <w:sz w:val="21"/>
          <w:szCs w:val="21"/>
          <w:lang w:eastAsia="zh-CN" w:bidi="ar-SA"/>
        </w:rPr>
        <w:t>修改为：</w:t>
      </w:r>
    </w:p>
    <w:p w14:paraId="066A1489">
      <w:pPr>
        <w:keepNext/>
        <w:keepLines/>
        <w:spacing w:line="360" w:lineRule="auto"/>
        <w:ind w:firstLine="137"/>
        <w:jc w:val="both"/>
        <w:outlineLvl w:val="2"/>
        <w:rPr>
          <w:rFonts w:eastAsia="宋体"/>
          <w:b/>
          <w:bCs/>
          <w:color w:val="auto"/>
          <w:kern w:val="2"/>
          <w:szCs w:val="32"/>
          <w:lang w:eastAsia="zh-CN" w:bidi="ar-SA"/>
        </w:rPr>
      </w:pPr>
      <w:bookmarkStart w:id="812" w:name="_Toc3506"/>
      <w:bookmarkStart w:id="813" w:name="_Hlk45107837"/>
      <w:r>
        <w:rPr>
          <w:rFonts w:eastAsia="宋体"/>
          <w:b/>
          <w:bCs/>
          <w:color w:val="auto"/>
          <w:kern w:val="2"/>
          <w:szCs w:val="32"/>
          <w:lang w:eastAsia="zh-CN" w:bidi="ar-SA"/>
        </w:rPr>
        <w:t xml:space="preserve">9.2 </w:t>
      </w:r>
      <w:r>
        <w:rPr>
          <w:rFonts w:hint="eastAsia" w:eastAsia="宋体"/>
          <w:b/>
          <w:bCs/>
          <w:color w:val="auto"/>
          <w:kern w:val="2"/>
          <w:szCs w:val="32"/>
          <w:lang w:eastAsia="zh-CN" w:bidi="ar-SA"/>
        </w:rPr>
        <w:t>预付款（本项目不适用）</w:t>
      </w:r>
      <w:bookmarkEnd w:id="812"/>
    </w:p>
    <w:p w14:paraId="2EA28684">
      <w:pPr>
        <w:spacing w:line="360" w:lineRule="auto"/>
        <w:ind w:firstLine="420" w:firstLineChars="200"/>
        <w:jc w:val="both"/>
        <w:rPr>
          <w:rFonts w:eastAsia="宋体"/>
          <w:color w:val="auto"/>
          <w:kern w:val="2"/>
          <w:sz w:val="21"/>
          <w:szCs w:val="21"/>
          <w:lang w:eastAsia="zh-CN" w:bidi="ar-SA"/>
        </w:rPr>
      </w:pPr>
      <w:r>
        <w:rPr>
          <w:rFonts w:hint="eastAsia" w:eastAsia="宋体"/>
          <w:color w:val="auto"/>
          <w:kern w:val="2"/>
          <w:sz w:val="21"/>
          <w:szCs w:val="21"/>
          <w:lang w:eastAsia="zh-CN" w:bidi="ar-SA"/>
        </w:rPr>
        <w:t>9</w:t>
      </w:r>
      <w:r>
        <w:rPr>
          <w:rFonts w:eastAsia="宋体"/>
          <w:color w:val="auto"/>
          <w:kern w:val="2"/>
          <w:sz w:val="21"/>
          <w:szCs w:val="21"/>
          <w:lang w:eastAsia="zh-CN" w:bidi="ar-SA"/>
        </w:rPr>
        <w:t>.2.1</w:t>
      </w:r>
      <w:r>
        <w:rPr>
          <w:rFonts w:hint="eastAsia" w:eastAsia="宋体"/>
          <w:color w:val="auto"/>
          <w:kern w:val="2"/>
          <w:sz w:val="21"/>
          <w:szCs w:val="21"/>
          <w:lang w:eastAsia="zh-CN" w:bidi="ar-SA"/>
        </w:rPr>
        <w:t>细化为：</w:t>
      </w:r>
    </w:p>
    <w:p w14:paraId="2C0F4763">
      <w:pPr>
        <w:spacing w:line="360" w:lineRule="auto"/>
        <w:ind w:firstLine="420" w:firstLineChars="200"/>
        <w:jc w:val="both"/>
        <w:rPr>
          <w:rFonts w:hint="eastAsia" w:ascii="宋体" w:hAnsi="宋体" w:eastAsia="宋体"/>
          <w:color w:val="auto"/>
          <w:kern w:val="2"/>
          <w:sz w:val="21"/>
          <w:szCs w:val="21"/>
          <w:lang w:eastAsia="zh-CN" w:bidi="ar-SA"/>
        </w:rPr>
      </w:pPr>
      <w:r>
        <w:rPr>
          <w:rFonts w:ascii="宋体" w:hAnsi="宋体" w:eastAsia="宋体"/>
          <w:color w:val="auto"/>
          <w:kern w:val="2"/>
          <w:sz w:val="21"/>
          <w:szCs w:val="21"/>
          <w:lang w:eastAsia="zh-CN" w:bidi="ar-SA"/>
        </w:rPr>
        <w:t>为使监理服务能够及时开展，</w:t>
      </w:r>
      <w:r>
        <w:rPr>
          <w:rFonts w:hint="eastAsia" w:ascii="宋体" w:hAnsi="宋体" w:eastAsia="宋体"/>
          <w:color w:val="auto"/>
          <w:kern w:val="2"/>
          <w:sz w:val="21"/>
          <w:szCs w:val="21"/>
          <w:lang w:eastAsia="zh-CN" w:bidi="ar-SA"/>
        </w:rPr>
        <w:t>在签订合同协议书后委托人按签约合同价的10%向监理人支付预付款。该款项应专用于本工程的监理。</w:t>
      </w:r>
    </w:p>
    <w:p w14:paraId="613274EC">
      <w:pPr>
        <w:spacing w:line="360" w:lineRule="auto"/>
        <w:ind w:firstLine="420" w:firstLineChars="200"/>
        <w:jc w:val="both"/>
        <w:rPr>
          <w:rFonts w:hint="eastAsia" w:ascii="宋体" w:hAnsi="宋体" w:eastAsia="宋体"/>
          <w:color w:val="auto"/>
          <w:kern w:val="2"/>
          <w:sz w:val="21"/>
          <w:szCs w:val="21"/>
          <w:lang w:eastAsia="zh-CN" w:bidi="ar-SA"/>
        </w:rPr>
      </w:pPr>
      <w:r>
        <w:rPr>
          <w:rFonts w:hint="eastAsia" w:ascii="宋体" w:hAnsi="宋体" w:eastAsia="宋体"/>
          <w:color w:val="auto"/>
          <w:kern w:val="2"/>
          <w:sz w:val="21"/>
          <w:szCs w:val="21"/>
          <w:lang w:eastAsia="zh-CN" w:bidi="ar-SA"/>
        </w:rPr>
        <w:t>预付款应在中期支付累计金额达到施工阶段监理服务费总额的30%～</w:t>
      </w:r>
      <w:r>
        <w:rPr>
          <w:rFonts w:ascii="宋体" w:hAnsi="宋体" w:eastAsia="宋体"/>
          <w:color w:val="auto"/>
          <w:kern w:val="2"/>
          <w:sz w:val="21"/>
          <w:szCs w:val="21"/>
          <w:lang w:eastAsia="zh-CN" w:bidi="ar-SA"/>
        </w:rPr>
        <w:t>8</w:t>
      </w:r>
      <w:r>
        <w:rPr>
          <w:rFonts w:hint="eastAsia" w:ascii="宋体" w:hAnsi="宋体" w:eastAsia="宋体"/>
          <w:color w:val="auto"/>
          <w:kern w:val="2"/>
          <w:sz w:val="21"/>
          <w:szCs w:val="21"/>
          <w:lang w:eastAsia="zh-CN" w:bidi="ar-SA"/>
        </w:rPr>
        <w:t>0%时按等比例扣回。</w:t>
      </w:r>
    </w:p>
    <w:p w14:paraId="67BC5CA8">
      <w:pPr>
        <w:spacing w:line="360" w:lineRule="auto"/>
        <w:ind w:firstLine="420" w:firstLineChars="200"/>
        <w:jc w:val="both"/>
        <w:rPr>
          <w:rFonts w:eastAsia="宋体"/>
          <w:color w:val="auto"/>
          <w:kern w:val="2"/>
          <w:sz w:val="21"/>
          <w:szCs w:val="21"/>
          <w:lang w:eastAsia="zh-CN" w:bidi="ar-SA"/>
        </w:rPr>
      </w:pPr>
      <w:r>
        <w:rPr>
          <w:rFonts w:hint="eastAsia" w:eastAsia="宋体"/>
          <w:color w:val="auto"/>
          <w:kern w:val="2"/>
          <w:sz w:val="21"/>
          <w:szCs w:val="21"/>
          <w:lang w:eastAsia="zh-CN" w:bidi="ar-SA"/>
        </w:rPr>
        <w:t>9</w:t>
      </w:r>
      <w:r>
        <w:rPr>
          <w:rFonts w:eastAsia="宋体"/>
          <w:color w:val="auto"/>
          <w:kern w:val="2"/>
          <w:sz w:val="21"/>
          <w:szCs w:val="21"/>
          <w:lang w:eastAsia="zh-CN" w:bidi="ar-SA"/>
        </w:rPr>
        <w:t>.2.2</w:t>
      </w:r>
      <w:r>
        <w:rPr>
          <w:rFonts w:hint="eastAsia" w:eastAsia="宋体"/>
          <w:color w:val="auto"/>
          <w:kern w:val="2"/>
          <w:sz w:val="21"/>
          <w:szCs w:val="21"/>
          <w:lang w:eastAsia="zh-CN" w:bidi="ar-SA"/>
        </w:rPr>
        <w:t>细化为：</w:t>
      </w:r>
    </w:p>
    <w:p w14:paraId="403B9629">
      <w:pPr>
        <w:spacing w:line="360" w:lineRule="auto"/>
        <w:ind w:firstLine="420" w:firstLineChars="200"/>
        <w:jc w:val="both"/>
        <w:rPr>
          <w:rFonts w:hint="eastAsia" w:ascii="宋体" w:hAnsi="宋体" w:eastAsia="宋体"/>
          <w:color w:val="auto"/>
          <w:kern w:val="2"/>
          <w:sz w:val="21"/>
          <w:szCs w:val="21"/>
          <w:lang w:eastAsia="zh-CN" w:bidi="ar-SA"/>
        </w:rPr>
      </w:pPr>
      <w:r>
        <w:rPr>
          <w:rFonts w:hint="eastAsia" w:eastAsia="宋体"/>
          <w:color w:val="auto"/>
          <w:kern w:val="2"/>
          <w:sz w:val="21"/>
          <w:szCs w:val="21"/>
          <w:lang w:eastAsia="zh-CN" w:bidi="ar-SA"/>
        </w:rPr>
        <w:t>监理人无须向委托人提交预付款保函，监理人提交的履约保证金对预付款的正常使用承担保证责任。委托人在收到监理人预付款支付申请后</w:t>
      </w:r>
      <w:r>
        <w:rPr>
          <w:rFonts w:eastAsia="宋体"/>
          <w:color w:val="auto"/>
          <w:kern w:val="2"/>
          <w:sz w:val="21"/>
          <w:szCs w:val="21"/>
          <w:lang w:eastAsia="zh-CN" w:bidi="ar-SA"/>
        </w:rPr>
        <w:t>28</w:t>
      </w:r>
      <w:r>
        <w:rPr>
          <w:rFonts w:hint="eastAsia" w:eastAsia="宋体"/>
          <w:color w:val="auto"/>
          <w:kern w:val="2"/>
          <w:sz w:val="21"/>
          <w:szCs w:val="21"/>
          <w:lang w:eastAsia="zh-CN" w:bidi="ar-SA"/>
        </w:rPr>
        <w:t>天内，支付预付款给监理人；监理人应当提供等额的增值税发票</w:t>
      </w:r>
      <w:r>
        <w:rPr>
          <w:rFonts w:eastAsia="宋体"/>
          <w:color w:val="auto"/>
          <w:kern w:val="2"/>
          <w:sz w:val="21"/>
          <w:lang w:eastAsia="zh-CN" w:bidi="ar-SA"/>
        </w:rPr>
        <w:t>。</w:t>
      </w:r>
    </w:p>
    <w:p w14:paraId="48FC89C5">
      <w:pPr>
        <w:keepNext/>
        <w:keepLines/>
        <w:spacing w:line="360" w:lineRule="auto"/>
        <w:ind w:firstLine="137"/>
        <w:jc w:val="both"/>
        <w:outlineLvl w:val="2"/>
        <w:rPr>
          <w:rFonts w:eastAsia="宋体"/>
          <w:b/>
          <w:bCs/>
          <w:color w:val="auto"/>
          <w:kern w:val="2"/>
          <w:szCs w:val="32"/>
          <w:lang w:eastAsia="zh-CN" w:bidi="ar-SA"/>
        </w:rPr>
      </w:pPr>
      <w:bookmarkStart w:id="814" w:name="_Toc27595"/>
      <w:r>
        <w:rPr>
          <w:rFonts w:eastAsia="宋体"/>
          <w:b/>
          <w:bCs/>
          <w:color w:val="auto"/>
          <w:kern w:val="2"/>
          <w:szCs w:val="32"/>
          <w:lang w:eastAsia="zh-CN" w:bidi="ar-SA"/>
        </w:rPr>
        <w:t xml:space="preserve">9.3 </w:t>
      </w:r>
      <w:r>
        <w:rPr>
          <w:rFonts w:hint="eastAsia" w:eastAsia="宋体"/>
          <w:b/>
          <w:bCs/>
          <w:color w:val="auto"/>
          <w:kern w:val="2"/>
          <w:szCs w:val="32"/>
          <w:lang w:eastAsia="zh-CN" w:bidi="ar-SA"/>
        </w:rPr>
        <w:t>中期支付</w:t>
      </w:r>
      <w:bookmarkEnd w:id="814"/>
    </w:p>
    <w:p w14:paraId="1B3E3378">
      <w:pPr>
        <w:spacing w:line="360" w:lineRule="auto"/>
        <w:ind w:firstLine="420" w:firstLineChars="200"/>
        <w:jc w:val="both"/>
        <w:rPr>
          <w:rFonts w:hint="eastAsia" w:ascii="宋体" w:hAnsi="宋体" w:eastAsia="宋体"/>
          <w:color w:val="auto"/>
          <w:kern w:val="2"/>
          <w:sz w:val="21"/>
          <w:szCs w:val="21"/>
          <w:lang w:eastAsia="zh-CN" w:bidi="ar-SA"/>
        </w:rPr>
      </w:pPr>
      <w:r>
        <w:rPr>
          <w:rFonts w:hint="eastAsia" w:eastAsia="宋体"/>
          <w:color w:val="auto"/>
          <w:kern w:val="2"/>
          <w:sz w:val="21"/>
          <w:szCs w:val="21"/>
          <w:lang w:eastAsia="zh-CN" w:bidi="ar-SA"/>
        </w:rPr>
        <w:t>9</w:t>
      </w:r>
      <w:r>
        <w:rPr>
          <w:rFonts w:eastAsia="宋体"/>
          <w:color w:val="auto"/>
          <w:kern w:val="2"/>
          <w:sz w:val="21"/>
          <w:szCs w:val="21"/>
          <w:lang w:eastAsia="zh-CN" w:bidi="ar-SA"/>
        </w:rPr>
        <w:t>.3.1</w:t>
      </w:r>
      <w:r>
        <w:rPr>
          <w:rFonts w:hint="eastAsia" w:ascii="宋体" w:hAnsi="宋体" w:eastAsia="宋体"/>
          <w:color w:val="auto"/>
          <w:kern w:val="2"/>
          <w:sz w:val="21"/>
          <w:szCs w:val="21"/>
          <w:lang w:eastAsia="zh-CN" w:bidi="ar-SA"/>
        </w:rPr>
        <w:t>细化为：</w:t>
      </w:r>
    </w:p>
    <w:p w14:paraId="3C494176">
      <w:pPr>
        <w:spacing w:line="360" w:lineRule="auto"/>
        <w:ind w:firstLine="420" w:firstLineChars="200"/>
        <w:jc w:val="both"/>
        <w:rPr>
          <w:rFonts w:eastAsia="宋体"/>
          <w:color w:val="auto"/>
          <w:kern w:val="2"/>
          <w:sz w:val="21"/>
          <w:szCs w:val="21"/>
          <w:lang w:eastAsia="zh-CN" w:bidi="ar-SA"/>
        </w:rPr>
      </w:pPr>
      <w:r>
        <w:rPr>
          <w:rFonts w:hint="eastAsia" w:eastAsia="宋体"/>
          <w:color w:val="auto"/>
          <w:kern w:val="2"/>
          <w:sz w:val="21"/>
          <w:szCs w:val="21"/>
          <w:lang w:eastAsia="zh-CN" w:bidi="ar-SA"/>
        </w:rPr>
        <w:t>1、施工阶段委托人按季度分期支付的方式向监理人支付监理服务费。</w:t>
      </w:r>
    </w:p>
    <w:p w14:paraId="61610E8D">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施工阶段正常监理服务费用应从开工令确定的开工之日后，每季度计量和支付一次，计量、支付</w:t>
      </w:r>
      <w:r>
        <w:rPr>
          <w:rFonts w:hint="eastAsia" w:eastAsia="宋体"/>
          <w:color w:val="auto"/>
          <w:kern w:val="2"/>
          <w:sz w:val="21"/>
          <w:szCs w:val="21"/>
          <w:lang w:eastAsia="zh-CN" w:bidi="ar-SA"/>
        </w:rPr>
        <w:t>的具体规定为</w:t>
      </w:r>
      <w:r>
        <w:rPr>
          <w:rFonts w:eastAsia="宋体"/>
          <w:color w:val="auto"/>
          <w:kern w:val="2"/>
          <w:sz w:val="21"/>
          <w:szCs w:val="21"/>
          <w:lang w:eastAsia="zh-CN" w:bidi="ar-SA"/>
        </w:rPr>
        <w:t>：</w:t>
      </w:r>
    </w:p>
    <w:p w14:paraId="63782A63">
      <w:pPr>
        <w:spacing w:line="360" w:lineRule="auto"/>
        <w:ind w:firstLine="420" w:firstLineChars="200"/>
        <w:jc w:val="both"/>
        <w:rPr>
          <w:rFonts w:eastAsia="宋体"/>
          <w:color w:val="auto"/>
          <w:kern w:val="2"/>
          <w:sz w:val="21"/>
          <w:szCs w:val="21"/>
          <w:lang w:eastAsia="zh-CN" w:bidi="ar-SA"/>
        </w:rPr>
      </w:pPr>
      <w:r>
        <w:rPr>
          <w:rFonts w:hint="eastAsia" w:eastAsia="宋体"/>
          <w:color w:val="auto"/>
          <w:kern w:val="2"/>
          <w:sz w:val="21"/>
          <w:szCs w:val="21"/>
          <w:lang w:eastAsia="zh-CN" w:bidi="ar-SA"/>
        </w:rPr>
        <w:t>⑴</w:t>
      </w:r>
      <w:r>
        <w:rPr>
          <w:rFonts w:eastAsia="宋体"/>
          <w:color w:val="auto"/>
          <w:kern w:val="2"/>
          <w:sz w:val="21"/>
          <w:szCs w:val="21"/>
          <w:lang w:eastAsia="zh-CN" w:bidi="ar-SA"/>
        </w:rPr>
        <w:t>每季度应支付的监理服务费</w:t>
      </w:r>
      <w:r>
        <w:rPr>
          <w:rFonts w:hint="eastAsia" w:eastAsia="宋体"/>
          <w:color w:val="auto"/>
          <w:kern w:val="2"/>
          <w:sz w:val="21"/>
          <w:szCs w:val="21"/>
          <w:lang w:eastAsia="zh-CN" w:bidi="ar-SA"/>
        </w:rPr>
        <w:t>为：</w:t>
      </w:r>
    </w:p>
    <w:p w14:paraId="13FEF8C6">
      <w:pPr>
        <w:spacing w:line="360" w:lineRule="auto"/>
        <w:ind w:firstLine="420" w:firstLineChars="200"/>
        <w:jc w:val="both"/>
        <w:rPr>
          <w:rFonts w:eastAsia="宋体"/>
          <w:color w:val="auto"/>
          <w:kern w:val="2"/>
          <w:sz w:val="21"/>
          <w:szCs w:val="21"/>
          <w:lang w:eastAsia="zh-CN" w:bidi="ar-SA"/>
        </w:rPr>
      </w:pPr>
      <w:r>
        <w:rPr>
          <w:rFonts w:hint="eastAsia" w:eastAsia="宋体"/>
          <w:color w:val="auto"/>
          <w:kern w:val="2"/>
          <w:sz w:val="21"/>
          <w:szCs w:val="21"/>
          <w:lang w:eastAsia="zh-CN" w:bidi="ar-SA"/>
        </w:rPr>
        <w:t>当期支付监理服务费=施工阶段监理服务费用总额÷施工阶段总季度数。</w:t>
      </w:r>
    </w:p>
    <w:p w14:paraId="379A917B">
      <w:pPr>
        <w:spacing w:line="360" w:lineRule="auto"/>
        <w:ind w:firstLine="420" w:firstLineChars="200"/>
        <w:jc w:val="both"/>
        <w:rPr>
          <w:rFonts w:eastAsia="宋体"/>
          <w:color w:val="auto"/>
          <w:kern w:val="2"/>
          <w:sz w:val="21"/>
          <w:szCs w:val="21"/>
          <w:lang w:eastAsia="zh-CN" w:bidi="ar-SA"/>
        </w:rPr>
      </w:pPr>
      <w:r>
        <w:rPr>
          <w:rFonts w:hint="eastAsia" w:eastAsia="宋体"/>
          <w:color w:val="auto"/>
          <w:kern w:val="2"/>
          <w:sz w:val="21"/>
          <w:szCs w:val="21"/>
          <w:lang w:eastAsia="zh-CN" w:bidi="ar-SA"/>
        </w:rPr>
        <w:t>⑵ 监理人于每季度后第一个月的14日前将上季度监理服务费支付申请上报委托人审批。委托人应在收到该支付申请后予以审批，</w:t>
      </w:r>
      <w:r>
        <w:rPr>
          <w:rFonts w:eastAsia="宋体"/>
          <w:color w:val="auto"/>
          <w:kern w:val="2"/>
          <w:sz w:val="21"/>
          <w:szCs w:val="21"/>
          <w:lang w:eastAsia="zh-CN" w:bidi="ar-SA"/>
        </w:rPr>
        <w:t>在批复后14日内向监理人支付费用。</w:t>
      </w:r>
    </w:p>
    <w:p w14:paraId="3FCBF573">
      <w:pPr>
        <w:spacing w:line="360" w:lineRule="auto"/>
        <w:ind w:firstLine="420" w:firstLineChars="200"/>
        <w:jc w:val="both"/>
        <w:rPr>
          <w:rFonts w:eastAsia="宋体"/>
          <w:color w:val="auto"/>
          <w:kern w:val="2"/>
          <w:sz w:val="21"/>
          <w:szCs w:val="21"/>
          <w:lang w:eastAsia="zh-CN" w:bidi="ar-SA"/>
        </w:rPr>
      </w:pPr>
      <w:r>
        <w:rPr>
          <w:rFonts w:hint="eastAsia" w:eastAsia="宋体"/>
          <w:color w:val="auto"/>
          <w:kern w:val="2"/>
          <w:sz w:val="21"/>
          <w:szCs w:val="21"/>
          <w:lang w:eastAsia="zh-CN" w:bidi="ar-SA"/>
        </w:rPr>
        <w:t xml:space="preserve">⑶ </w:t>
      </w:r>
      <w:r>
        <w:rPr>
          <w:rFonts w:hint="eastAsia" w:ascii="宋体" w:hAnsi="宋体" w:eastAsia="宋体"/>
          <w:color w:val="auto"/>
          <w:kern w:val="2"/>
          <w:sz w:val="21"/>
          <w:szCs w:val="21"/>
          <w:lang w:eastAsia="zh-CN" w:bidi="ar-SA"/>
        </w:rPr>
        <w:t>在支付累计金额达到施工阶段监理服务费总额的30%～</w:t>
      </w:r>
      <w:r>
        <w:rPr>
          <w:rFonts w:ascii="宋体" w:hAnsi="宋体" w:eastAsia="宋体"/>
          <w:color w:val="auto"/>
          <w:kern w:val="2"/>
          <w:sz w:val="21"/>
          <w:szCs w:val="21"/>
          <w:lang w:eastAsia="zh-CN" w:bidi="ar-SA"/>
        </w:rPr>
        <w:t>8</w:t>
      </w:r>
      <w:r>
        <w:rPr>
          <w:rFonts w:hint="eastAsia" w:ascii="宋体" w:hAnsi="宋体" w:eastAsia="宋体"/>
          <w:color w:val="auto"/>
          <w:kern w:val="2"/>
          <w:sz w:val="21"/>
          <w:szCs w:val="21"/>
          <w:lang w:eastAsia="zh-CN" w:bidi="ar-SA"/>
        </w:rPr>
        <w:t>0%时，等比例扣回预付款(若有预付款时)；</w:t>
      </w:r>
    </w:p>
    <w:p w14:paraId="0E94077C">
      <w:pPr>
        <w:numPr>
          <w:ilvl w:val="0"/>
          <w:numId w:val="2"/>
        </w:numPr>
        <w:spacing w:line="360" w:lineRule="auto"/>
        <w:jc w:val="both"/>
        <w:rPr>
          <w:rFonts w:eastAsia="宋体"/>
          <w:color w:val="auto"/>
          <w:kern w:val="2"/>
          <w:sz w:val="21"/>
          <w:szCs w:val="21"/>
          <w:lang w:eastAsia="zh-CN" w:bidi="ar-SA"/>
        </w:rPr>
      </w:pPr>
      <w:r>
        <w:rPr>
          <w:rFonts w:hint="eastAsia" w:eastAsia="宋体"/>
          <w:color w:val="auto"/>
          <w:kern w:val="2"/>
          <w:sz w:val="21"/>
          <w:szCs w:val="21"/>
          <w:lang w:eastAsia="zh-CN" w:bidi="ar-SA"/>
        </w:rPr>
        <w:t>缺陷责任期阶段委托人按半年分期支付的方式向监理人支付监理服务费。</w:t>
      </w:r>
    </w:p>
    <w:p w14:paraId="5FEFD731">
      <w:pPr>
        <w:spacing w:line="360" w:lineRule="auto"/>
        <w:ind w:firstLine="420" w:firstLineChars="200"/>
        <w:jc w:val="both"/>
        <w:rPr>
          <w:rFonts w:hint="eastAsia" w:ascii="宋体" w:hAnsi="宋体" w:eastAsia="宋体"/>
          <w:color w:val="auto"/>
          <w:kern w:val="2"/>
          <w:sz w:val="21"/>
          <w:szCs w:val="21"/>
          <w:lang w:eastAsia="zh-CN" w:bidi="ar-SA"/>
        </w:rPr>
      </w:pPr>
      <w:r>
        <w:rPr>
          <w:rFonts w:hint="eastAsia" w:eastAsia="宋体"/>
          <w:color w:val="auto"/>
          <w:kern w:val="2"/>
          <w:sz w:val="21"/>
          <w:szCs w:val="21"/>
          <w:lang w:eastAsia="zh-CN" w:bidi="ar-SA"/>
        </w:rPr>
        <w:t>缺陷责任期监理服务费从</w:t>
      </w:r>
      <w:r>
        <w:rPr>
          <w:rFonts w:ascii="宋体" w:hAnsi="宋体" w:eastAsia="宋体"/>
          <w:color w:val="auto"/>
          <w:kern w:val="2"/>
          <w:sz w:val="21"/>
          <w:szCs w:val="21"/>
          <w:lang w:eastAsia="zh-CN" w:bidi="ar-SA"/>
        </w:rPr>
        <w:t>交工验收通过之日</w:t>
      </w:r>
      <w:r>
        <w:rPr>
          <w:rFonts w:hint="eastAsia" w:ascii="宋体" w:hAnsi="宋体" w:eastAsia="宋体"/>
          <w:color w:val="auto"/>
          <w:kern w:val="2"/>
          <w:sz w:val="21"/>
          <w:szCs w:val="21"/>
          <w:lang w:eastAsia="zh-CN" w:bidi="ar-SA"/>
        </w:rPr>
        <w:t>后，每半年计量和支付一次，计量、支付的具体规定为：</w:t>
      </w:r>
    </w:p>
    <w:p w14:paraId="0F1F6705">
      <w:pPr>
        <w:spacing w:line="360" w:lineRule="auto"/>
        <w:ind w:firstLine="420" w:firstLineChars="200"/>
        <w:jc w:val="both"/>
        <w:rPr>
          <w:rFonts w:eastAsia="宋体"/>
          <w:color w:val="auto"/>
          <w:kern w:val="2"/>
          <w:sz w:val="21"/>
          <w:szCs w:val="21"/>
          <w:lang w:eastAsia="zh-CN" w:bidi="ar-SA"/>
        </w:rPr>
      </w:pPr>
      <w:r>
        <w:rPr>
          <w:rFonts w:hint="eastAsia" w:ascii="宋体" w:hAnsi="宋体" w:eastAsia="宋体"/>
          <w:color w:val="auto"/>
          <w:kern w:val="2"/>
          <w:sz w:val="21"/>
          <w:szCs w:val="21"/>
          <w:lang w:eastAsia="zh-CN" w:bidi="ar-SA"/>
        </w:rPr>
        <w:t>⑴</w:t>
      </w:r>
      <w:r>
        <w:rPr>
          <w:rFonts w:ascii="宋体" w:hAnsi="宋体" w:eastAsia="宋体"/>
          <w:color w:val="auto"/>
          <w:kern w:val="2"/>
          <w:sz w:val="21"/>
          <w:szCs w:val="21"/>
          <w:lang w:eastAsia="zh-CN" w:bidi="ar-SA"/>
        </w:rPr>
        <w:t xml:space="preserve"> </w:t>
      </w:r>
      <w:r>
        <w:rPr>
          <w:rFonts w:eastAsia="宋体"/>
          <w:color w:val="auto"/>
          <w:kern w:val="2"/>
          <w:sz w:val="21"/>
          <w:szCs w:val="21"/>
          <w:lang w:eastAsia="zh-CN" w:bidi="ar-SA"/>
        </w:rPr>
        <w:t>每</w:t>
      </w:r>
      <w:r>
        <w:rPr>
          <w:rFonts w:hint="eastAsia" w:eastAsia="宋体"/>
          <w:color w:val="auto"/>
          <w:kern w:val="2"/>
          <w:sz w:val="21"/>
          <w:szCs w:val="21"/>
          <w:lang w:eastAsia="zh-CN" w:bidi="ar-SA"/>
        </w:rPr>
        <w:t>半年</w:t>
      </w:r>
      <w:r>
        <w:rPr>
          <w:rFonts w:eastAsia="宋体"/>
          <w:color w:val="auto"/>
          <w:kern w:val="2"/>
          <w:sz w:val="21"/>
          <w:szCs w:val="21"/>
          <w:lang w:eastAsia="zh-CN" w:bidi="ar-SA"/>
        </w:rPr>
        <w:t>应支付的监理服务费</w:t>
      </w:r>
      <w:r>
        <w:rPr>
          <w:rFonts w:hint="eastAsia" w:eastAsia="宋体"/>
          <w:color w:val="auto"/>
          <w:kern w:val="2"/>
          <w:sz w:val="21"/>
          <w:szCs w:val="21"/>
          <w:lang w:eastAsia="zh-CN" w:bidi="ar-SA"/>
        </w:rPr>
        <w:t>=缺陷责任期阶段</w:t>
      </w:r>
      <w:r>
        <w:rPr>
          <w:rFonts w:eastAsia="宋体"/>
          <w:color w:val="auto"/>
          <w:kern w:val="2"/>
          <w:sz w:val="21"/>
          <w:szCs w:val="21"/>
          <w:lang w:eastAsia="zh-CN" w:bidi="ar-SA"/>
        </w:rPr>
        <w:t>监理服务费用</w:t>
      </w:r>
      <w:r>
        <w:rPr>
          <w:rFonts w:hint="eastAsia" w:eastAsia="宋体"/>
          <w:color w:val="auto"/>
          <w:kern w:val="2"/>
          <w:sz w:val="21"/>
          <w:szCs w:val="21"/>
          <w:lang w:eastAsia="zh-CN" w:bidi="ar-SA"/>
        </w:rPr>
        <w:t>总额÷</w:t>
      </w:r>
      <w:r>
        <w:rPr>
          <w:rFonts w:eastAsia="宋体"/>
          <w:color w:val="auto"/>
          <w:kern w:val="2"/>
          <w:sz w:val="21"/>
          <w:szCs w:val="21"/>
          <w:lang w:eastAsia="zh-CN" w:bidi="ar-SA"/>
        </w:rPr>
        <w:t>4</w:t>
      </w:r>
      <w:r>
        <w:rPr>
          <w:rFonts w:hint="eastAsia" w:eastAsia="宋体"/>
          <w:color w:val="auto"/>
          <w:kern w:val="2"/>
          <w:sz w:val="21"/>
          <w:szCs w:val="21"/>
          <w:lang w:eastAsia="zh-CN" w:bidi="ar-SA"/>
        </w:rPr>
        <w:t>。</w:t>
      </w:r>
    </w:p>
    <w:p w14:paraId="42BFD3BA">
      <w:pPr>
        <w:spacing w:line="360" w:lineRule="auto"/>
        <w:ind w:firstLine="420" w:firstLineChars="200"/>
        <w:rPr>
          <w:rFonts w:eastAsia="宋体"/>
          <w:color w:val="auto"/>
          <w:kern w:val="2"/>
          <w:sz w:val="21"/>
          <w:szCs w:val="21"/>
          <w:lang w:eastAsia="zh-CN" w:bidi="ar-SA"/>
        </w:rPr>
      </w:pPr>
      <w:r>
        <w:rPr>
          <w:rFonts w:hint="eastAsia" w:eastAsia="宋体"/>
          <w:color w:val="auto"/>
          <w:kern w:val="2"/>
          <w:sz w:val="21"/>
          <w:szCs w:val="21"/>
          <w:lang w:eastAsia="zh-CN" w:bidi="ar-SA"/>
        </w:rPr>
        <w:t>⑵</w:t>
      </w:r>
      <w:r>
        <w:rPr>
          <w:rFonts w:eastAsia="宋体"/>
          <w:color w:val="auto"/>
          <w:kern w:val="2"/>
          <w:sz w:val="21"/>
          <w:szCs w:val="21"/>
          <w:lang w:eastAsia="zh-CN" w:bidi="ar-SA"/>
        </w:rPr>
        <w:t xml:space="preserve"> </w:t>
      </w:r>
      <w:r>
        <w:rPr>
          <w:rFonts w:hint="eastAsia" w:eastAsia="宋体"/>
          <w:color w:val="auto"/>
          <w:kern w:val="2"/>
          <w:sz w:val="21"/>
          <w:szCs w:val="21"/>
          <w:lang w:eastAsia="zh-CN" w:bidi="ar-SA"/>
        </w:rPr>
        <w:t>监理人于每半年后第一个月的14日前将上半年监理服务费支付申请上报委托人人审批。委托人应在收到该支付申请后予以审批，</w:t>
      </w:r>
      <w:r>
        <w:rPr>
          <w:rFonts w:eastAsia="宋体"/>
          <w:color w:val="auto"/>
          <w:kern w:val="2"/>
          <w:sz w:val="21"/>
          <w:szCs w:val="21"/>
          <w:lang w:eastAsia="zh-CN" w:bidi="ar-SA"/>
        </w:rPr>
        <w:t>在批复后14日内向监理人支付费用。</w:t>
      </w:r>
    </w:p>
    <w:p w14:paraId="542A6727">
      <w:pPr>
        <w:spacing w:line="360" w:lineRule="auto"/>
        <w:ind w:firstLine="420" w:firstLineChars="200"/>
        <w:rPr>
          <w:rFonts w:eastAsia="宋体"/>
          <w:color w:val="auto"/>
          <w:kern w:val="2"/>
          <w:sz w:val="21"/>
          <w:szCs w:val="21"/>
          <w:lang w:eastAsia="zh-CN" w:bidi="ar-SA"/>
        </w:rPr>
      </w:pPr>
      <w:r>
        <w:rPr>
          <w:rFonts w:hint="eastAsia" w:eastAsia="宋体"/>
          <w:color w:val="auto"/>
          <w:kern w:val="2"/>
          <w:sz w:val="21"/>
          <w:szCs w:val="21"/>
          <w:lang w:eastAsia="zh-CN" w:bidi="ar-SA"/>
        </w:rPr>
        <w:t>⑶ 缺陷责任期最后一期监理服务费支付在项目通过竣工验收后支付。</w:t>
      </w:r>
    </w:p>
    <w:p w14:paraId="79C4222D">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3</w:t>
      </w:r>
      <w:r>
        <w:rPr>
          <w:rFonts w:hint="eastAsia" w:eastAsia="宋体"/>
          <w:color w:val="auto"/>
          <w:kern w:val="2"/>
          <w:sz w:val="21"/>
          <w:szCs w:val="21"/>
          <w:lang w:eastAsia="zh-CN" w:bidi="ar-SA"/>
        </w:rPr>
        <w:t>、如监理人未能按合同约定的人员数量到岗，委托人将根据考勤情况按比例核减监理服务费；</w:t>
      </w:r>
    </w:p>
    <w:p w14:paraId="745FFE79">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4</w:t>
      </w:r>
      <w:r>
        <w:rPr>
          <w:rFonts w:hint="eastAsia" w:eastAsia="宋体"/>
          <w:color w:val="auto"/>
          <w:kern w:val="2"/>
          <w:sz w:val="21"/>
          <w:szCs w:val="21"/>
          <w:lang w:eastAsia="zh-CN" w:bidi="ar-SA"/>
        </w:rPr>
        <w:t>、</w:t>
      </w:r>
      <w:r>
        <w:rPr>
          <w:rFonts w:eastAsia="宋体"/>
          <w:color w:val="auto"/>
          <w:kern w:val="2"/>
          <w:sz w:val="21"/>
          <w:szCs w:val="21"/>
          <w:lang w:eastAsia="zh-CN" w:bidi="ar-SA"/>
        </w:rPr>
        <w:t>依据专用合同条款</w:t>
      </w:r>
      <w:r>
        <w:rPr>
          <w:rFonts w:hint="eastAsia" w:eastAsia="宋体"/>
          <w:color w:val="auto"/>
          <w:kern w:val="2"/>
          <w:sz w:val="21"/>
          <w:szCs w:val="21"/>
          <w:lang w:eastAsia="zh-CN" w:bidi="ar-SA"/>
        </w:rPr>
        <w:t>附件《新余市港口水运基础设施建设项目-袁河航道提升工程新余段库区工程第二标段监理管理办法》</w:t>
      </w:r>
      <w:r>
        <w:rPr>
          <w:rFonts w:eastAsia="宋体"/>
          <w:color w:val="auto"/>
          <w:kern w:val="2"/>
          <w:sz w:val="21"/>
          <w:szCs w:val="21"/>
          <w:lang w:eastAsia="zh-CN" w:bidi="ar-SA"/>
        </w:rPr>
        <w:t>约定对监理人的违约金扣款，委托人应从对监理人的</w:t>
      </w:r>
      <w:r>
        <w:rPr>
          <w:rFonts w:hint="eastAsia" w:eastAsia="宋体"/>
          <w:color w:val="auto"/>
          <w:kern w:val="2"/>
          <w:sz w:val="21"/>
          <w:szCs w:val="21"/>
          <w:lang w:eastAsia="zh-CN" w:bidi="ar-SA"/>
        </w:rPr>
        <w:t>当期</w:t>
      </w:r>
      <w:r>
        <w:rPr>
          <w:rFonts w:eastAsia="宋体"/>
          <w:color w:val="auto"/>
          <w:kern w:val="2"/>
          <w:sz w:val="21"/>
          <w:szCs w:val="21"/>
          <w:lang w:eastAsia="zh-CN" w:bidi="ar-SA"/>
        </w:rPr>
        <w:t>支付费用中扣回</w:t>
      </w:r>
      <w:r>
        <w:rPr>
          <w:rFonts w:hint="eastAsia" w:eastAsia="宋体"/>
          <w:color w:val="auto"/>
          <w:kern w:val="2"/>
          <w:sz w:val="21"/>
          <w:szCs w:val="21"/>
          <w:lang w:eastAsia="zh-CN" w:bidi="ar-SA"/>
        </w:rPr>
        <w:t>。</w:t>
      </w:r>
      <w:bookmarkEnd w:id="813"/>
    </w:p>
    <w:p w14:paraId="21B257FA">
      <w:pPr>
        <w:spacing w:line="360" w:lineRule="auto"/>
        <w:ind w:firstLine="420" w:firstLineChars="200"/>
        <w:jc w:val="both"/>
        <w:rPr>
          <w:rFonts w:eastAsia="宋体"/>
          <w:color w:val="auto"/>
          <w:kern w:val="2"/>
          <w:sz w:val="21"/>
          <w:lang w:eastAsia="zh-CN" w:bidi="ar-SA"/>
        </w:rPr>
      </w:pPr>
      <w:r>
        <w:rPr>
          <w:rFonts w:eastAsia="宋体"/>
          <w:color w:val="auto"/>
          <w:kern w:val="2"/>
          <w:sz w:val="21"/>
          <w:lang w:eastAsia="zh-CN" w:bidi="ar-SA"/>
        </w:rPr>
        <w:t xml:space="preserve">9.3.2 </w:t>
      </w:r>
      <w:r>
        <w:rPr>
          <w:rFonts w:hint="eastAsia" w:eastAsia="宋体"/>
          <w:color w:val="auto"/>
          <w:kern w:val="2"/>
          <w:sz w:val="21"/>
          <w:lang w:eastAsia="zh-CN" w:bidi="ar-SA"/>
        </w:rPr>
        <w:t>细化为：</w:t>
      </w:r>
    </w:p>
    <w:p w14:paraId="51E5DA93">
      <w:pPr>
        <w:spacing w:line="360" w:lineRule="auto"/>
        <w:ind w:firstLine="420" w:firstLineChars="200"/>
        <w:jc w:val="both"/>
        <w:rPr>
          <w:rFonts w:eastAsia="宋体"/>
          <w:color w:val="auto"/>
          <w:kern w:val="2"/>
          <w:sz w:val="21"/>
          <w:lang w:eastAsia="zh-CN" w:bidi="ar-SA"/>
        </w:rPr>
      </w:pPr>
      <w:r>
        <w:rPr>
          <w:rFonts w:eastAsia="宋体"/>
          <w:color w:val="auto"/>
          <w:kern w:val="2"/>
          <w:sz w:val="21"/>
          <w:lang w:eastAsia="zh-CN" w:bidi="ar-SA"/>
        </w:rPr>
        <w:t>委托人应在收到</w:t>
      </w:r>
      <w:r>
        <w:rPr>
          <w:rFonts w:eastAsia="宋体"/>
          <w:color w:val="auto"/>
          <w:kern w:val="2"/>
          <w:sz w:val="21"/>
          <w:szCs w:val="21"/>
          <w:lang w:eastAsia="zh-CN" w:bidi="ar-SA"/>
        </w:rPr>
        <w:t>中期支付申请</w:t>
      </w:r>
      <w:r>
        <w:rPr>
          <w:rFonts w:eastAsia="宋体"/>
          <w:color w:val="auto"/>
          <w:kern w:val="2"/>
          <w:sz w:val="21"/>
          <w:lang w:eastAsia="zh-CN" w:bidi="ar-SA"/>
        </w:rPr>
        <w:t>后的28天内，将应付款项支付给监理人；监理人应当提供等额的增值税发票。委托人未能在前述时间内完成审批或不予答复的，视为委托人同意</w:t>
      </w:r>
      <w:r>
        <w:rPr>
          <w:rFonts w:eastAsia="宋体"/>
          <w:color w:val="auto"/>
          <w:kern w:val="2"/>
          <w:sz w:val="21"/>
          <w:szCs w:val="21"/>
          <w:lang w:eastAsia="zh-CN" w:bidi="ar-SA"/>
        </w:rPr>
        <w:t>中期支付申请</w:t>
      </w:r>
      <w:r>
        <w:rPr>
          <w:rFonts w:eastAsia="宋体"/>
          <w:color w:val="auto"/>
          <w:kern w:val="2"/>
          <w:sz w:val="21"/>
          <w:lang w:eastAsia="zh-CN" w:bidi="ar-SA"/>
        </w:rPr>
        <w:t>。</w:t>
      </w:r>
    </w:p>
    <w:p w14:paraId="79FF218D">
      <w:pPr>
        <w:spacing w:line="360" w:lineRule="auto"/>
        <w:ind w:firstLine="420" w:firstLineChars="200"/>
        <w:jc w:val="both"/>
        <w:rPr>
          <w:rFonts w:eastAsia="宋体"/>
          <w:color w:val="auto"/>
          <w:kern w:val="2"/>
          <w:sz w:val="21"/>
          <w:szCs w:val="21"/>
          <w:lang w:eastAsia="zh-CN" w:bidi="ar-SA"/>
        </w:rPr>
      </w:pPr>
      <w:r>
        <w:rPr>
          <w:rFonts w:hint="eastAsia" w:eastAsia="宋体"/>
          <w:color w:val="auto"/>
          <w:kern w:val="2"/>
          <w:sz w:val="21"/>
          <w:szCs w:val="21"/>
          <w:lang w:eastAsia="zh-CN" w:bidi="ar-SA"/>
        </w:rPr>
        <w:t>9</w:t>
      </w:r>
      <w:r>
        <w:rPr>
          <w:rFonts w:eastAsia="宋体"/>
          <w:color w:val="auto"/>
          <w:kern w:val="2"/>
          <w:sz w:val="21"/>
          <w:szCs w:val="21"/>
          <w:lang w:eastAsia="zh-CN" w:bidi="ar-SA"/>
        </w:rPr>
        <w:t xml:space="preserve">.3.3 </w:t>
      </w:r>
      <w:r>
        <w:rPr>
          <w:rFonts w:hint="eastAsia" w:eastAsia="宋体"/>
          <w:color w:val="auto"/>
          <w:kern w:val="2"/>
          <w:sz w:val="21"/>
          <w:szCs w:val="21"/>
          <w:lang w:eastAsia="zh-CN" w:bidi="ar-SA"/>
        </w:rPr>
        <w:t>修改为：</w:t>
      </w:r>
    </w:p>
    <w:p w14:paraId="4BB70A7E">
      <w:pPr>
        <w:spacing w:line="360" w:lineRule="auto"/>
        <w:ind w:firstLine="420" w:firstLineChars="200"/>
        <w:jc w:val="both"/>
        <w:rPr>
          <w:rFonts w:eastAsia="宋体"/>
          <w:color w:val="auto"/>
          <w:kern w:val="2"/>
          <w:sz w:val="21"/>
          <w:szCs w:val="21"/>
          <w:lang w:eastAsia="zh-CN" w:bidi="ar-SA"/>
        </w:rPr>
      </w:pPr>
      <w:r>
        <w:rPr>
          <w:rFonts w:hint="eastAsia" w:eastAsia="宋体"/>
          <w:color w:val="auto"/>
          <w:kern w:val="2"/>
          <w:sz w:val="21"/>
          <w:szCs w:val="21"/>
          <w:lang w:eastAsia="zh-CN" w:bidi="ar-SA"/>
        </w:rPr>
        <w:t>本款不适用。</w:t>
      </w:r>
    </w:p>
    <w:p w14:paraId="481A6FBF">
      <w:pPr>
        <w:keepNext/>
        <w:keepLines/>
        <w:spacing w:line="360" w:lineRule="auto"/>
        <w:ind w:firstLine="137"/>
        <w:jc w:val="both"/>
        <w:outlineLvl w:val="2"/>
        <w:rPr>
          <w:rFonts w:eastAsia="宋体"/>
          <w:b/>
          <w:bCs/>
          <w:color w:val="auto"/>
          <w:kern w:val="2"/>
          <w:szCs w:val="32"/>
          <w:lang w:eastAsia="zh-CN" w:bidi="ar-SA"/>
        </w:rPr>
      </w:pPr>
      <w:bookmarkStart w:id="815" w:name="_Toc25409"/>
      <w:r>
        <w:rPr>
          <w:rFonts w:eastAsia="宋体"/>
          <w:b/>
          <w:bCs/>
          <w:color w:val="auto"/>
          <w:kern w:val="2"/>
          <w:szCs w:val="32"/>
          <w:lang w:eastAsia="zh-CN" w:bidi="ar-SA"/>
        </w:rPr>
        <w:t xml:space="preserve">9.4 </w:t>
      </w:r>
      <w:r>
        <w:rPr>
          <w:rFonts w:hint="eastAsia" w:eastAsia="宋体"/>
          <w:b/>
          <w:bCs/>
          <w:color w:val="auto"/>
          <w:kern w:val="2"/>
          <w:szCs w:val="32"/>
          <w:lang w:eastAsia="zh-CN" w:bidi="ar-SA"/>
        </w:rPr>
        <w:t>费用结算</w:t>
      </w:r>
      <w:bookmarkEnd w:id="815"/>
    </w:p>
    <w:p w14:paraId="393DC269">
      <w:pPr>
        <w:spacing w:line="360" w:lineRule="auto"/>
        <w:ind w:firstLine="420" w:firstLineChars="200"/>
        <w:jc w:val="both"/>
        <w:rPr>
          <w:rFonts w:eastAsia="宋体"/>
          <w:color w:val="auto"/>
          <w:kern w:val="2"/>
          <w:sz w:val="21"/>
          <w:szCs w:val="21"/>
          <w:lang w:eastAsia="zh-CN" w:bidi="ar-SA"/>
        </w:rPr>
      </w:pPr>
      <w:bookmarkStart w:id="816" w:name="_Toc330387389"/>
      <w:bookmarkStart w:id="817" w:name="_Toc329355417"/>
      <w:bookmarkStart w:id="818" w:name="_Toc329355220"/>
      <w:r>
        <w:rPr>
          <w:rFonts w:hint="eastAsia" w:eastAsia="宋体"/>
          <w:color w:val="auto"/>
          <w:kern w:val="2"/>
          <w:sz w:val="21"/>
          <w:szCs w:val="21"/>
          <w:lang w:eastAsia="zh-CN" w:bidi="ar-SA"/>
        </w:rPr>
        <w:t>9.4</w:t>
      </w:r>
      <w:r>
        <w:rPr>
          <w:rFonts w:eastAsia="宋体"/>
          <w:color w:val="auto"/>
          <w:kern w:val="2"/>
          <w:sz w:val="21"/>
          <w:szCs w:val="21"/>
          <w:lang w:eastAsia="zh-CN" w:bidi="ar-SA"/>
        </w:rPr>
        <w:t>.1</w:t>
      </w:r>
      <w:r>
        <w:rPr>
          <w:rFonts w:hint="eastAsia" w:eastAsia="宋体"/>
          <w:color w:val="auto"/>
          <w:kern w:val="2"/>
          <w:sz w:val="21"/>
          <w:szCs w:val="21"/>
          <w:lang w:eastAsia="zh-CN" w:bidi="ar-SA"/>
        </w:rPr>
        <w:t>细化为：</w:t>
      </w:r>
    </w:p>
    <w:p w14:paraId="11580FB0">
      <w:pPr>
        <w:spacing w:line="360" w:lineRule="auto"/>
        <w:ind w:firstLine="420" w:firstLineChars="200"/>
        <w:jc w:val="both"/>
        <w:rPr>
          <w:rFonts w:eastAsia="宋体"/>
          <w:color w:val="auto"/>
          <w:kern w:val="2"/>
          <w:sz w:val="21"/>
          <w:lang w:eastAsia="zh-CN" w:bidi="ar-SA"/>
        </w:rPr>
      </w:pPr>
      <w:r>
        <w:rPr>
          <w:rFonts w:ascii="宋体" w:hAnsi="宋体" w:eastAsia="宋体"/>
          <w:color w:val="auto"/>
          <w:kern w:val="2"/>
          <w:sz w:val="21"/>
          <w:szCs w:val="21"/>
          <w:lang w:eastAsia="zh-CN" w:bidi="ar-SA"/>
        </w:rPr>
        <w:t>在签发</w:t>
      </w:r>
      <w:r>
        <w:rPr>
          <w:rFonts w:hint="eastAsia" w:ascii="宋体" w:hAnsi="宋体" w:eastAsia="宋体"/>
          <w:color w:val="auto"/>
          <w:kern w:val="2"/>
          <w:sz w:val="21"/>
          <w:szCs w:val="21"/>
          <w:lang w:eastAsia="zh-CN" w:bidi="ar-SA"/>
        </w:rPr>
        <w:t>《</w:t>
      </w:r>
      <w:r>
        <w:rPr>
          <w:rFonts w:ascii="宋体" w:hAnsi="宋体" w:eastAsia="宋体"/>
          <w:color w:val="auto"/>
          <w:kern w:val="2"/>
          <w:sz w:val="21"/>
          <w:szCs w:val="21"/>
          <w:lang w:eastAsia="zh-CN" w:bidi="ar-SA"/>
        </w:rPr>
        <w:t>工程缺陷责任终止证书</w:t>
      </w:r>
      <w:r>
        <w:rPr>
          <w:rFonts w:hint="eastAsia" w:ascii="宋体" w:hAnsi="宋体" w:eastAsia="宋体"/>
          <w:color w:val="auto"/>
          <w:kern w:val="2"/>
          <w:sz w:val="21"/>
          <w:szCs w:val="21"/>
          <w:lang w:eastAsia="zh-CN" w:bidi="ar-SA"/>
        </w:rPr>
        <w:t>》</w:t>
      </w:r>
      <w:r>
        <w:rPr>
          <w:rFonts w:ascii="宋体" w:hAnsi="宋体" w:eastAsia="宋体"/>
          <w:color w:val="auto"/>
          <w:kern w:val="2"/>
          <w:sz w:val="21"/>
          <w:szCs w:val="21"/>
          <w:lang w:eastAsia="zh-CN" w:bidi="ar-SA"/>
        </w:rPr>
        <w:t>后</w:t>
      </w:r>
      <w:r>
        <w:rPr>
          <w:rFonts w:hint="eastAsia" w:ascii="宋体" w:hAnsi="宋体" w:eastAsia="宋体"/>
          <w:color w:val="auto"/>
          <w:kern w:val="2"/>
          <w:sz w:val="21"/>
          <w:szCs w:val="21"/>
          <w:lang w:eastAsia="zh-CN" w:bidi="ar-SA"/>
        </w:rPr>
        <w:t>28日内</w:t>
      </w:r>
      <w:r>
        <w:rPr>
          <w:rFonts w:eastAsia="宋体"/>
          <w:color w:val="auto"/>
          <w:kern w:val="2"/>
          <w:sz w:val="21"/>
          <w:lang w:eastAsia="zh-CN" w:bidi="ar-SA"/>
        </w:rPr>
        <w:t>，监理人</w:t>
      </w:r>
      <w:r>
        <w:rPr>
          <w:rFonts w:hint="eastAsia" w:eastAsia="宋体"/>
          <w:color w:val="auto"/>
          <w:kern w:val="2"/>
          <w:sz w:val="21"/>
          <w:lang w:eastAsia="zh-CN" w:bidi="ar-SA"/>
        </w:rPr>
        <w:t>应</w:t>
      </w:r>
      <w:r>
        <w:rPr>
          <w:rFonts w:hint="eastAsia" w:ascii="宋体" w:hAnsi="宋体" w:eastAsia="宋体"/>
          <w:color w:val="auto"/>
          <w:kern w:val="2"/>
          <w:sz w:val="21"/>
          <w:szCs w:val="21"/>
          <w:lang w:eastAsia="zh-CN" w:bidi="ar-SA"/>
        </w:rPr>
        <w:t>将缺陷责任期阶段内未结清的监理服务费用和其他应由委托人向监理人支付的剩余款项的</w:t>
      </w:r>
      <w:r>
        <w:rPr>
          <w:rFonts w:eastAsia="宋体"/>
          <w:color w:val="auto"/>
          <w:kern w:val="2"/>
          <w:sz w:val="21"/>
          <w:lang w:eastAsia="zh-CN" w:bidi="ar-SA"/>
        </w:rPr>
        <w:t>监理费用结算申请</w:t>
      </w:r>
      <w:r>
        <w:rPr>
          <w:rFonts w:hint="eastAsia" w:eastAsia="宋体"/>
          <w:color w:val="auto"/>
          <w:kern w:val="2"/>
          <w:sz w:val="21"/>
          <w:lang w:eastAsia="zh-CN" w:bidi="ar-SA"/>
        </w:rPr>
        <w:t>提交给委托人</w:t>
      </w:r>
      <w:r>
        <w:rPr>
          <w:rFonts w:eastAsia="宋体"/>
          <w:color w:val="auto"/>
          <w:kern w:val="2"/>
          <w:sz w:val="21"/>
          <w:lang w:eastAsia="zh-CN" w:bidi="ar-SA"/>
        </w:rPr>
        <w:t>，并提供相关证明材料。</w:t>
      </w:r>
      <w:r>
        <w:rPr>
          <w:rFonts w:hint="eastAsia" w:eastAsia="宋体"/>
          <w:color w:val="auto"/>
          <w:kern w:val="2"/>
          <w:sz w:val="21"/>
          <w:lang w:eastAsia="zh-CN" w:bidi="ar-SA"/>
        </w:rPr>
        <w:t>结算申请和证明材料一式三份。</w:t>
      </w:r>
    </w:p>
    <w:p w14:paraId="7A5E88BC">
      <w:pPr>
        <w:spacing w:line="360" w:lineRule="auto"/>
        <w:ind w:firstLine="420" w:firstLineChars="200"/>
        <w:jc w:val="both"/>
        <w:rPr>
          <w:rFonts w:eastAsia="宋体"/>
          <w:color w:val="auto"/>
          <w:kern w:val="2"/>
          <w:sz w:val="21"/>
          <w:szCs w:val="21"/>
          <w:lang w:eastAsia="zh-CN" w:bidi="ar-SA"/>
        </w:rPr>
      </w:pPr>
      <w:r>
        <w:rPr>
          <w:rFonts w:hint="eastAsia" w:eastAsia="宋体"/>
          <w:color w:val="auto"/>
          <w:kern w:val="2"/>
          <w:sz w:val="21"/>
          <w:szCs w:val="21"/>
          <w:lang w:eastAsia="zh-CN" w:bidi="ar-SA"/>
        </w:rPr>
        <w:t>9.4</w:t>
      </w:r>
      <w:r>
        <w:rPr>
          <w:rFonts w:eastAsia="宋体"/>
          <w:color w:val="auto"/>
          <w:kern w:val="2"/>
          <w:sz w:val="21"/>
          <w:szCs w:val="21"/>
          <w:lang w:eastAsia="zh-CN" w:bidi="ar-SA"/>
        </w:rPr>
        <w:t>.2</w:t>
      </w:r>
      <w:r>
        <w:rPr>
          <w:rFonts w:hint="eastAsia" w:eastAsia="宋体"/>
          <w:color w:val="auto"/>
          <w:kern w:val="2"/>
          <w:sz w:val="21"/>
          <w:szCs w:val="21"/>
          <w:lang w:eastAsia="zh-CN" w:bidi="ar-SA"/>
        </w:rPr>
        <w:t>细化为：</w:t>
      </w:r>
    </w:p>
    <w:p w14:paraId="17B07E2C">
      <w:pPr>
        <w:spacing w:line="360" w:lineRule="auto"/>
        <w:ind w:firstLine="420" w:firstLineChars="200"/>
        <w:jc w:val="both"/>
        <w:rPr>
          <w:rFonts w:hint="eastAsia" w:ascii="宋体" w:hAnsi="宋体" w:eastAsia="宋体"/>
          <w:color w:val="auto"/>
          <w:kern w:val="2"/>
          <w:sz w:val="21"/>
          <w:szCs w:val="21"/>
          <w:lang w:eastAsia="zh-CN" w:bidi="ar-SA"/>
        </w:rPr>
      </w:pPr>
      <w:r>
        <w:rPr>
          <w:rFonts w:eastAsia="宋体"/>
          <w:color w:val="auto"/>
          <w:kern w:val="2"/>
          <w:sz w:val="21"/>
          <w:lang w:eastAsia="zh-CN" w:bidi="ar-SA"/>
        </w:rPr>
        <w:t>委托人应在收到费用结算申请后的28天内，将应付款项支付给监理人；监理人应当提供等额的增值税发票。委托人未能在前述时间内完成审批或不予答复的，视为委托人同意费用结算申请。</w:t>
      </w:r>
    </w:p>
    <w:bookmarkEnd w:id="816"/>
    <w:bookmarkEnd w:id="817"/>
    <w:bookmarkEnd w:id="818"/>
    <w:p w14:paraId="68E52AC9">
      <w:pPr>
        <w:spacing w:line="360" w:lineRule="auto"/>
        <w:ind w:firstLine="420" w:firstLineChars="200"/>
        <w:jc w:val="both"/>
        <w:rPr>
          <w:rFonts w:eastAsia="宋体"/>
          <w:color w:val="auto"/>
          <w:kern w:val="2"/>
          <w:sz w:val="21"/>
          <w:szCs w:val="21"/>
          <w:lang w:eastAsia="zh-CN" w:bidi="ar-SA"/>
        </w:rPr>
      </w:pPr>
      <w:r>
        <w:rPr>
          <w:rFonts w:hint="eastAsia" w:eastAsia="宋体"/>
          <w:color w:val="auto"/>
          <w:kern w:val="2"/>
          <w:sz w:val="21"/>
          <w:szCs w:val="21"/>
          <w:lang w:eastAsia="zh-CN" w:bidi="ar-SA"/>
        </w:rPr>
        <w:t>9</w:t>
      </w:r>
      <w:r>
        <w:rPr>
          <w:rFonts w:eastAsia="宋体"/>
          <w:color w:val="auto"/>
          <w:kern w:val="2"/>
          <w:sz w:val="21"/>
          <w:szCs w:val="21"/>
          <w:lang w:eastAsia="zh-CN" w:bidi="ar-SA"/>
        </w:rPr>
        <w:t xml:space="preserve">.4.4 </w:t>
      </w:r>
      <w:r>
        <w:rPr>
          <w:rFonts w:hint="eastAsia" w:eastAsia="宋体"/>
          <w:color w:val="auto"/>
          <w:kern w:val="2"/>
          <w:sz w:val="21"/>
          <w:szCs w:val="21"/>
          <w:lang w:eastAsia="zh-CN" w:bidi="ar-SA"/>
        </w:rPr>
        <w:t>修改为：</w:t>
      </w:r>
    </w:p>
    <w:p w14:paraId="3AA741D4">
      <w:pPr>
        <w:spacing w:line="360" w:lineRule="auto"/>
        <w:ind w:firstLine="420" w:firstLineChars="200"/>
        <w:jc w:val="both"/>
        <w:rPr>
          <w:rFonts w:eastAsia="宋体"/>
          <w:color w:val="auto"/>
          <w:kern w:val="2"/>
          <w:sz w:val="21"/>
          <w:szCs w:val="21"/>
          <w:lang w:eastAsia="zh-CN" w:bidi="ar-SA"/>
        </w:rPr>
      </w:pPr>
      <w:r>
        <w:rPr>
          <w:rFonts w:hint="eastAsia" w:eastAsia="宋体"/>
          <w:color w:val="auto"/>
          <w:kern w:val="2"/>
          <w:sz w:val="21"/>
          <w:szCs w:val="21"/>
          <w:lang w:eastAsia="zh-CN" w:bidi="ar-SA"/>
        </w:rPr>
        <w:t>本款不适用。</w:t>
      </w:r>
    </w:p>
    <w:p w14:paraId="3D952F91">
      <w:pPr>
        <w:keepNext/>
        <w:keepLines/>
        <w:spacing w:line="360" w:lineRule="auto"/>
        <w:outlineLvl w:val="1"/>
        <w:rPr>
          <w:rFonts w:ascii="Arial" w:hAnsi="Arial" w:eastAsia="宋体"/>
          <w:b/>
          <w:bCs/>
          <w:color w:val="auto"/>
          <w:kern w:val="2"/>
          <w:sz w:val="28"/>
          <w:szCs w:val="32"/>
          <w:lang w:eastAsia="zh-CN" w:bidi="ar-SA"/>
        </w:rPr>
      </w:pPr>
      <w:bookmarkStart w:id="819" w:name="_Toc6344"/>
      <w:bookmarkStart w:id="820" w:name="_Toc504633927"/>
      <w:r>
        <w:rPr>
          <w:rFonts w:ascii="Arial" w:hAnsi="Arial" w:eastAsia="宋体"/>
          <w:b/>
          <w:bCs/>
          <w:color w:val="auto"/>
          <w:kern w:val="2"/>
          <w:sz w:val="28"/>
          <w:szCs w:val="32"/>
          <w:lang w:eastAsia="zh-CN" w:bidi="ar-SA"/>
        </w:rPr>
        <w:t xml:space="preserve">12. </w:t>
      </w:r>
      <w:r>
        <w:rPr>
          <w:rFonts w:hint="eastAsia" w:ascii="Arial" w:hAnsi="Arial" w:eastAsia="宋体"/>
          <w:b/>
          <w:bCs/>
          <w:color w:val="auto"/>
          <w:kern w:val="2"/>
          <w:sz w:val="28"/>
          <w:szCs w:val="32"/>
          <w:lang w:eastAsia="zh-CN" w:bidi="ar-SA"/>
        </w:rPr>
        <w:t>争议的解决</w:t>
      </w:r>
      <w:bookmarkEnd w:id="819"/>
      <w:bookmarkEnd w:id="820"/>
    </w:p>
    <w:p w14:paraId="1F4EA771">
      <w:pPr>
        <w:spacing w:line="360" w:lineRule="auto"/>
        <w:ind w:firstLine="420" w:firstLineChars="200"/>
        <w:jc w:val="both"/>
        <w:rPr>
          <w:rFonts w:eastAsia="宋体"/>
          <w:color w:val="auto"/>
          <w:kern w:val="2"/>
          <w:sz w:val="21"/>
          <w:szCs w:val="21"/>
          <w:lang w:eastAsia="zh-CN" w:bidi="ar-SA"/>
        </w:rPr>
      </w:pPr>
      <w:r>
        <w:rPr>
          <w:rFonts w:hint="eastAsia" w:eastAsia="宋体"/>
          <w:color w:val="auto"/>
          <w:kern w:val="2"/>
          <w:sz w:val="21"/>
          <w:szCs w:val="21"/>
          <w:lang w:eastAsia="zh-CN" w:bidi="ar-SA"/>
        </w:rPr>
        <w:t>细化为：</w:t>
      </w:r>
    </w:p>
    <w:p w14:paraId="277A64C2">
      <w:pPr>
        <w:spacing w:line="360" w:lineRule="auto"/>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委托人和监理人在履行合同中发生争议的，可以友好协商解决。合同当事人友好协商解决不成的，</w:t>
      </w:r>
      <w:r>
        <w:rPr>
          <w:rFonts w:hint="eastAsia" w:eastAsia="宋体"/>
          <w:color w:val="auto"/>
          <w:kern w:val="2"/>
          <w:sz w:val="21"/>
          <w:szCs w:val="21"/>
          <w:lang w:eastAsia="zh-CN" w:bidi="ar-SA"/>
        </w:rPr>
        <w:t>向委托人</w:t>
      </w:r>
      <w:r>
        <w:rPr>
          <w:rFonts w:hint="eastAsia" w:ascii="宋体" w:hAnsi="宋体" w:eastAsia="宋体"/>
          <w:color w:val="auto"/>
          <w:kern w:val="2"/>
          <w:sz w:val="21"/>
          <w:szCs w:val="21"/>
          <w:lang w:eastAsia="zh-CN" w:bidi="ar-SA"/>
        </w:rPr>
        <w:t>住所地有级别管辖权的人民法院提起诉讼。</w:t>
      </w:r>
    </w:p>
    <w:p w14:paraId="1D781DA0">
      <w:pPr>
        <w:spacing w:line="360" w:lineRule="auto"/>
        <w:ind w:firstLine="420" w:firstLineChars="200"/>
        <w:jc w:val="both"/>
        <w:rPr>
          <w:rFonts w:eastAsia="宋体"/>
          <w:color w:val="auto"/>
          <w:kern w:val="2"/>
          <w:sz w:val="21"/>
          <w:szCs w:val="21"/>
          <w:lang w:eastAsia="zh-CN" w:bidi="ar-SA"/>
        </w:rPr>
      </w:pPr>
    </w:p>
    <w:p w14:paraId="6D121E22">
      <w:pPr>
        <w:keepNext/>
        <w:keepLines/>
        <w:spacing w:line="360" w:lineRule="auto"/>
        <w:jc w:val="both"/>
        <w:outlineLvl w:val="2"/>
        <w:rPr>
          <w:rFonts w:eastAsia="宋体"/>
          <w:b/>
          <w:bCs/>
          <w:color w:val="auto"/>
          <w:kern w:val="2"/>
          <w:szCs w:val="32"/>
          <w:lang w:eastAsia="zh-CN" w:bidi="ar-SA"/>
        </w:rPr>
        <w:sectPr>
          <w:footerReference r:id="rId32" w:type="default"/>
          <w:footnotePr>
            <w:numFmt w:val="decimalEnclosedCircleChinese"/>
            <w:numRestart w:val="eachPage"/>
          </w:footnotePr>
          <w:pgSz w:w="11906" w:h="16838"/>
          <w:pgMar w:top="1418" w:right="1588" w:bottom="1418" w:left="1588" w:header="680" w:footer="992" w:gutter="0"/>
          <w:cols w:space="720" w:num="1"/>
          <w:docGrid w:linePitch="326" w:charSpace="0"/>
        </w:sectPr>
      </w:pPr>
      <w:bookmarkStart w:id="821" w:name="_Toc224711262"/>
      <w:bookmarkStart w:id="822" w:name="_Toc331595962"/>
      <w:bookmarkStart w:id="823" w:name="_Toc331600874"/>
    </w:p>
    <w:p w14:paraId="60D05618">
      <w:pPr>
        <w:keepNext/>
        <w:keepLines/>
        <w:spacing w:line="360" w:lineRule="auto"/>
        <w:jc w:val="both"/>
        <w:outlineLvl w:val="2"/>
        <w:rPr>
          <w:rFonts w:eastAsia="宋体"/>
          <w:b/>
          <w:bCs/>
          <w:color w:val="auto"/>
          <w:kern w:val="2"/>
          <w:szCs w:val="32"/>
          <w:lang w:eastAsia="zh-CN" w:bidi="ar-SA"/>
        </w:rPr>
      </w:pPr>
      <w:bookmarkStart w:id="824" w:name="_Toc28906"/>
      <w:r>
        <w:rPr>
          <w:rFonts w:hint="eastAsia" w:eastAsia="宋体"/>
          <w:b/>
          <w:bCs/>
          <w:color w:val="auto"/>
          <w:kern w:val="2"/>
          <w:szCs w:val="32"/>
          <w:lang w:eastAsia="zh-CN" w:bidi="ar-SA"/>
        </w:rPr>
        <w:t>专用合同条款附件</w:t>
      </w:r>
      <w:bookmarkEnd w:id="821"/>
      <w:bookmarkEnd w:id="822"/>
      <w:bookmarkEnd w:id="823"/>
      <w:bookmarkEnd w:id="824"/>
    </w:p>
    <w:p w14:paraId="3383B74D">
      <w:pPr>
        <w:spacing w:line="360" w:lineRule="auto"/>
        <w:jc w:val="center"/>
        <w:rPr>
          <w:rFonts w:eastAsia="宋体"/>
          <w:b/>
          <w:color w:val="auto"/>
          <w:kern w:val="2"/>
          <w:sz w:val="28"/>
          <w:szCs w:val="28"/>
          <w:lang w:eastAsia="zh-CN" w:bidi="ar-SA"/>
        </w:rPr>
      </w:pPr>
      <w:bookmarkStart w:id="825" w:name="_Hlk45107929"/>
      <w:r>
        <w:rPr>
          <w:rFonts w:hint="eastAsia" w:eastAsia="宋体"/>
          <w:b/>
          <w:color w:val="auto"/>
          <w:kern w:val="2"/>
          <w:sz w:val="28"/>
          <w:szCs w:val="28"/>
          <w:lang w:eastAsia="zh-CN" w:bidi="ar-SA"/>
        </w:rPr>
        <w:t>新余市港口水运基础设施建设项目-袁河航道提升工程新余段库区工程第二标段监理管理办法</w:t>
      </w:r>
    </w:p>
    <w:p w14:paraId="5F1BE3FB">
      <w:pPr>
        <w:spacing w:line="360" w:lineRule="auto"/>
        <w:jc w:val="both"/>
        <w:rPr>
          <w:rFonts w:hint="eastAsia" w:ascii="宋体" w:hAnsi="宋体" w:eastAsia="宋体"/>
          <w:color w:val="auto"/>
          <w:kern w:val="2"/>
          <w:sz w:val="21"/>
          <w:szCs w:val="21"/>
          <w:lang w:eastAsia="zh-CN" w:bidi="ar-SA"/>
        </w:rPr>
      </w:pPr>
    </w:p>
    <w:p w14:paraId="4C05FA4F">
      <w:pPr>
        <w:spacing w:line="360" w:lineRule="auto"/>
        <w:jc w:val="center"/>
        <w:outlineLvl w:val="2"/>
        <w:rPr>
          <w:rFonts w:hint="eastAsia" w:ascii="宋体" w:hAnsi="宋体" w:eastAsia="宋体"/>
          <w:b/>
          <w:color w:val="auto"/>
          <w:kern w:val="2"/>
          <w:sz w:val="21"/>
          <w:szCs w:val="21"/>
          <w:lang w:eastAsia="zh-CN" w:bidi="ar-SA"/>
        </w:rPr>
      </w:pPr>
      <w:bookmarkStart w:id="826" w:name="_Toc331600875"/>
      <w:bookmarkStart w:id="827" w:name="_Toc329355422"/>
      <w:bookmarkStart w:id="828" w:name="_Toc331595963"/>
      <w:bookmarkStart w:id="829" w:name="_Toc22800"/>
      <w:bookmarkStart w:id="830" w:name="_Toc224711263"/>
      <w:bookmarkStart w:id="831" w:name="_Toc330979780"/>
      <w:bookmarkStart w:id="832" w:name="_Toc228603980"/>
      <w:r>
        <w:rPr>
          <w:rFonts w:hint="eastAsia" w:ascii="宋体" w:hAnsi="宋体" w:eastAsia="宋体"/>
          <w:b/>
          <w:color w:val="auto"/>
          <w:kern w:val="2"/>
          <w:sz w:val="21"/>
          <w:szCs w:val="21"/>
          <w:lang w:eastAsia="zh-CN" w:bidi="ar-SA"/>
        </w:rPr>
        <w:t>第一章  总  则</w:t>
      </w:r>
      <w:bookmarkEnd w:id="826"/>
      <w:bookmarkEnd w:id="827"/>
      <w:bookmarkEnd w:id="828"/>
      <w:bookmarkEnd w:id="829"/>
      <w:bookmarkEnd w:id="830"/>
      <w:bookmarkEnd w:id="831"/>
      <w:bookmarkEnd w:id="832"/>
    </w:p>
    <w:p w14:paraId="1C6098A5">
      <w:pPr>
        <w:spacing w:line="360" w:lineRule="auto"/>
        <w:ind w:firstLine="420" w:firstLineChars="200"/>
        <w:rPr>
          <w:rFonts w:hint="eastAsia" w:ascii="宋体" w:hAnsi="宋体" w:eastAsia="宋体"/>
          <w:color w:val="auto"/>
          <w:kern w:val="2"/>
          <w:sz w:val="21"/>
          <w:szCs w:val="21"/>
          <w:lang w:eastAsia="zh-CN" w:bidi="ar-SA"/>
        </w:rPr>
      </w:pPr>
      <w:r>
        <w:rPr>
          <w:rFonts w:hint="eastAsia" w:ascii="宋体" w:hAnsi="宋体" w:eastAsia="宋体"/>
          <w:color w:val="auto"/>
          <w:kern w:val="2"/>
          <w:sz w:val="21"/>
          <w:szCs w:val="21"/>
          <w:lang w:eastAsia="zh-CN" w:bidi="ar-SA"/>
        </w:rPr>
        <w:t>第一条 为加强新余市港口水运基础设施建设项目-袁河航道提升工程新余段库区工程第二标段监理工作的考核，提高监理工作质量，充分调动监理人的工作主动性和积极性，根据监理合同文件、施工监理规范、相关的法律法规以及本项目特点，特制定《新余市港口水运基础设施建设项目-袁河航道提升工程新余段库区工程第二标段监理管理办法》（下称“本办法”）。</w:t>
      </w:r>
    </w:p>
    <w:p w14:paraId="40CCB3A7">
      <w:pPr>
        <w:spacing w:line="360" w:lineRule="auto"/>
        <w:ind w:firstLine="420"/>
        <w:jc w:val="both"/>
        <w:rPr>
          <w:rFonts w:hint="eastAsia" w:ascii="宋体" w:hAnsi="宋体" w:eastAsia="宋体"/>
          <w:color w:val="auto"/>
          <w:kern w:val="2"/>
          <w:sz w:val="21"/>
          <w:szCs w:val="21"/>
          <w:lang w:eastAsia="zh-CN" w:bidi="ar-SA"/>
        </w:rPr>
      </w:pPr>
      <w:r>
        <w:rPr>
          <w:rFonts w:hint="eastAsia" w:ascii="宋体" w:hAnsi="宋体" w:eastAsia="宋体"/>
          <w:color w:val="auto"/>
          <w:kern w:val="2"/>
          <w:sz w:val="21"/>
          <w:szCs w:val="21"/>
          <w:lang w:eastAsia="zh-CN" w:bidi="ar-SA"/>
        </w:rPr>
        <w:t>第二条 本办法适用范围：委托人对监理人工作质量的日常检查考核。</w:t>
      </w:r>
    </w:p>
    <w:p w14:paraId="0814F2FA">
      <w:pPr>
        <w:spacing w:line="360" w:lineRule="auto"/>
        <w:jc w:val="center"/>
        <w:outlineLvl w:val="2"/>
        <w:rPr>
          <w:rFonts w:hint="eastAsia" w:ascii="宋体" w:hAnsi="宋体" w:eastAsia="宋体"/>
          <w:b/>
          <w:color w:val="auto"/>
          <w:kern w:val="2"/>
          <w:sz w:val="21"/>
          <w:szCs w:val="21"/>
          <w:lang w:eastAsia="zh-CN" w:bidi="ar-SA"/>
        </w:rPr>
      </w:pPr>
      <w:bookmarkStart w:id="833" w:name="_Toc228603981"/>
      <w:bookmarkStart w:id="834" w:name="_Toc330979781"/>
      <w:bookmarkStart w:id="835" w:name="_Toc329355423"/>
      <w:bookmarkStart w:id="836" w:name="_Toc224711264"/>
      <w:bookmarkStart w:id="837" w:name="_Toc32493"/>
      <w:bookmarkStart w:id="838" w:name="_Toc331595964"/>
      <w:bookmarkStart w:id="839" w:name="_Toc331600876"/>
      <w:r>
        <w:rPr>
          <w:rFonts w:hint="eastAsia" w:ascii="宋体" w:hAnsi="宋体" w:eastAsia="宋体"/>
          <w:b/>
          <w:color w:val="auto"/>
          <w:kern w:val="2"/>
          <w:sz w:val="21"/>
          <w:szCs w:val="21"/>
          <w:lang w:eastAsia="zh-CN" w:bidi="ar-SA"/>
        </w:rPr>
        <w:t>第二章  监理人员考勤及人员变更管理</w:t>
      </w:r>
      <w:bookmarkEnd w:id="833"/>
      <w:bookmarkEnd w:id="834"/>
      <w:bookmarkEnd w:id="835"/>
      <w:bookmarkEnd w:id="836"/>
      <w:bookmarkEnd w:id="837"/>
      <w:bookmarkEnd w:id="838"/>
      <w:bookmarkEnd w:id="839"/>
    </w:p>
    <w:p w14:paraId="26BA041D">
      <w:pPr>
        <w:spacing w:line="360" w:lineRule="auto"/>
        <w:ind w:firstLine="420"/>
        <w:jc w:val="both"/>
        <w:rPr>
          <w:rFonts w:hint="eastAsia" w:ascii="宋体" w:hAnsi="宋体" w:eastAsia="宋体"/>
          <w:color w:val="auto"/>
          <w:kern w:val="2"/>
          <w:sz w:val="21"/>
          <w:szCs w:val="21"/>
          <w:lang w:eastAsia="zh-CN" w:bidi="ar-SA"/>
        </w:rPr>
      </w:pPr>
      <w:r>
        <w:rPr>
          <w:rFonts w:hint="eastAsia" w:ascii="宋体" w:hAnsi="宋体" w:eastAsia="宋体"/>
          <w:color w:val="auto"/>
          <w:kern w:val="2"/>
          <w:sz w:val="21"/>
          <w:szCs w:val="21"/>
          <w:lang w:eastAsia="zh-CN" w:bidi="ar-SA"/>
        </w:rPr>
        <w:t>第三条 监理人应按投标文件中承诺配置的监理人员及进场计划进驻施工现场，实施监理服务。除非委托人另有书面意见，所有专业监理工程师及以上人员数量应保持不变（因工程施工内容变化而引起的专业监理工程师进退场除外）。监理人可根据工程进展情况在监理服务的总人月范围内，合理调配监理员的人数及进出场时间，监理员人数的增减应取得委托人的同意。</w:t>
      </w:r>
    </w:p>
    <w:p w14:paraId="493C9537">
      <w:pPr>
        <w:spacing w:line="360" w:lineRule="auto"/>
        <w:ind w:firstLine="420"/>
        <w:jc w:val="both"/>
        <w:rPr>
          <w:rFonts w:hint="eastAsia" w:ascii="宋体" w:hAnsi="宋体" w:eastAsia="宋体"/>
          <w:color w:val="auto"/>
          <w:kern w:val="2"/>
          <w:sz w:val="21"/>
          <w:szCs w:val="21"/>
          <w:lang w:eastAsia="zh-CN" w:bidi="ar-SA"/>
        </w:rPr>
      </w:pPr>
      <w:r>
        <w:rPr>
          <w:rFonts w:hint="eastAsia" w:ascii="宋体" w:hAnsi="宋体" w:eastAsia="宋体"/>
          <w:color w:val="auto"/>
          <w:kern w:val="2"/>
          <w:sz w:val="21"/>
          <w:szCs w:val="21"/>
          <w:lang w:eastAsia="zh-CN" w:bidi="ar-SA"/>
        </w:rPr>
        <w:t>第四条 施工期间，监理人派驻到项目所在地履行监理服务监理人员，必须常驻现场，平均每月工作时间应不少于法定工作日。</w:t>
      </w:r>
    </w:p>
    <w:p w14:paraId="3435402A">
      <w:pPr>
        <w:spacing w:line="360" w:lineRule="auto"/>
        <w:ind w:firstLine="420"/>
        <w:jc w:val="both"/>
        <w:rPr>
          <w:rFonts w:hint="eastAsia" w:ascii="宋体" w:hAnsi="宋体" w:eastAsia="宋体"/>
          <w:color w:val="auto"/>
          <w:kern w:val="2"/>
          <w:sz w:val="21"/>
          <w:szCs w:val="21"/>
          <w:lang w:eastAsia="zh-CN" w:bidi="ar-SA"/>
        </w:rPr>
      </w:pPr>
      <w:r>
        <w:rPr>
          <w:rFonts w:hint="eastAsia" w:ascii="宋体" w:hAnsi="宋体" w:eastAsia="宋体"/>
          <w:color w:val="auto"/>
          <w:kern w:val="2"/>
          <w:sz w:val="21"/>
          <w:szCs w:val="21"/>
          <w:lang w:eastAsia="zh-CN" w:bidi="ar-SA"/>
        </w:rPr>
        <w:t>第五条 监理人应每天对其监理人员进行考勤记录。于每月2日将上月监理人员考勤表报委托人驻现场代表进行核准。在每季度支付监理服务费时，委托人将该季度内各月考勤表作为监理服务费用支付的考核标准，到岗人员不满足现场施工需要，委托人有权扣除监理服务费。</w:t>
      </w:r>
    </w:p>
    <w:p w14:paraId="79EB5549">
      <w:pPr>
        <w:spacing w:line="360" w:lineRule="auto"/>
        <w:ind w:firstLine="420"/>
        <w:jc w:val="both"/>
        <w:rPr>
          <w:rFonts w:hint="eastAsia" w:ascii="宋体" w:hAnsi="宋体" w:eastAsia="宋体"/>
          <w:color w:val="auto"/>
          <w:kern w:val="2"/>
          <w:sz w:val="21"/>
          <w:szCs w:val="21"/>
          <w:lang w:eastAsia="zh-CN" w:bidi="ar-SA"/>
        </w:rPr>
      </w:pPr>
      <w:r>
        <w:rPr>
          <w:rFonts w:hint="eastAsia" w:ascii="宋体" w:hAnsi="宋体" w:eastAsia="宋体"/>
          <w:color w:val="auto"/>
          <w:kern w:val="2"/>
          <w:sz w:val="21"/>
          <w:szCs w:val="21"/>
          <w:lang w:eastAsia="zh-CN" w:bidi="ar-SA"/>
        </w:rPr>
        <w:t>第六条 监理人员请假（含正常休假及请假，下同）和销假制度</w:t>
      </w:r>
    </w:p>
    <w:p w14:paraId="5433BD0A">
      <w:pPr>
        <w:spacing w:line="360" w:lineRule="auto"/>
        <w:ind w:firstLine="420"/>
        <w:jc w:val="both"/>
        <w:rPr>
          <w:rFonts w:hint="eastAsia" w:ascii="宋体" w:hAnsi="宋体" w:eastAsia="宋体"/>
          <w:color w:val="auto"/>
          <w:kern w:val="2"/>
          <w:sz w:val="21"/>
          <w:szCs w:val="21"/>
          <w:lang w:eastAsia="zh-CN" w:bidi="ar-SA"/>
        </w:rPr>
      </w:pPr>
      <w:r>
        <w:rPr>
          <w:rFonts w:hint="eastAsia" w:ascii="宋体" w:hAnsi="宋体" w:eastAsia="宋体"/>
          <w:color w:val="auto"/>
          <w:kern w:val="2"/>
          <w:sz w:val="21"/>
          <w:szCs w:val="21"/>
          <w:lang w:eastAsia="zh-CN" w:bidi="ar-SA"/>
        </w:rPr>
        <w:t>1、专业监理工程师以下人员请假须报总监理工程师批准。</w:t>
      </w:r>
    </w:p>
    <w:p w14:paraId="5FE81BA5">
      <w:pPr>
        <w:spacing w:line="360" w:lineRule="auto"/>
        <w:ind w:firstLine="420"/>
        <w:jc w:val="both"/>
        <w:rPr>
          <w:rFonts w:hint="eastAsia" w:ascii="宋体" w:hAnsi="宋体" w:eastAsia="宋体"/>
          <w:color w:val="auto"/>
          <w:kern w:val="2"/>
          <w:sz w:val="21"/>
          <w:szCs w:val="21"/>
          <w:lang w:eastAsia="zh-CN" w:bidi="ar-SA"/>
        </w:rPr>
      </w:pPr>
      <w:r>
        <w:rPr>
          <w:rFonts w:hint="eastAsia" w:ascii="宋体" w:hAnsi="宋体" w:eastAsia="宋体"/>
          <w:color w:val="auto"/>
          <w:kern w:val="2"/>
          <w:sz w:val="21"/>
          <w:szCs w:val="21"/>
          <w:lang w:eastAsia="zh-CN" w:bidi="ar-SA"/>
        </w:rPr>
        <w:t>2、专业监理工程师请假三天以内须报总监理工程师批准，超过三天须报现场管理工程师批准。</w:t>
      </w:r>
    </w:p>
    <w:p w14:paraId="6679822C">
      <w:pPr>
        <w:spacing w:line="360" w:lineRule="auto"/>
        <w:ind w:firstLine="420"/>
        <w:jc w:val="both"/>
        <w:rPr>
          <w:rFonts w:hint="eastAsia" w:ascii="宋体" w:hAnsi="宋体" w:eastAsia="宋体"/>
          <w:color w:val="auto"/>
          <w:kern w:val="2"/>
          <w:sz w:val="21"/>
          <w:szCs w:val="21"/>
          <w:lang w:eastAsia="zh-CN" w:bidi="ar-SA"/>
        </w:rPr>
      </w:pPr>
      <w:r>
        <w:rPr>
          <w:rFonts w:hint="eastAsia" w:ascii="宋体" w:hAnsi="宋体" w:eastAsia="宋体"/>
          <w:color w:val="auto"/>
          <w:kern w:val="2"/>
          <w:sz w:val="21"/>
          <w:szCs w:val="21"/>
          <w:lang w:eastAsia="zh-CN" w:bidi="ar-SA"/>
        </w:rPr>
        <w:t>3、总监理工程师请假三天以内须报项目办领导批准；超过三天须报指挥部领导批准。</w:t>
      </w:r>
    </w:p>
    <w:p w14:paraId="5E83CE24">
      <w:pPr>
        <w:spacing w:line="360" w:lineRule="auto"/>
        <w:ind w:firstLine="420"/>
        <w:jc w:val="both"/>
        <w:rPr>
          <w:rFonts w:hint="eastAsia" w:ascii="宋体" w:hAnsi="宋体" w:eastAsia="宋体"/>
          <w:color w:val="auto"/>
          <w:kern w:val="2"/>
          <w:sz w:val="21"/>
          <w:szCs w:val="21"/>
          <w:lang w:eastAsia="zh-CN" w:bidi="ar-SA"/>
        </w:rPr>
      </w:pPr>
      <w:r>
        <w:rPr>
          <w:rFonts w:ascii="宋体" w:hAnsi="宋体" w:eastAsia="宋体"/>
          <w:color w:val="auto"/>
          <w:kern w:val="2"/>
          <w:sz w:val="21"/>
          <w:szCs w:val="21"/>
          <w:lang w:eastAsia="zh-CN" w:bidi="ar-SA"/>
        </w:rPr>
        <w:t>4</w:t>
      </w:r>
      <w:r>
        <w:rPr>
          <w:rFonts w:hint="eastAsia" w:ascii="宋体" w:hAnsi="宋体" w:eastAsia="宋体"/>
          <w:color w:val="auto"/>
          <w:kern w:val="2"/>
          <w:sz w:val="21"/>
          <w:szCs w:val="21"/>
          <w:lang w:eastAsia="zh-CN" w:bidi="ar-SA"/>
        </w:rPr>
        <w:t>、所有监理人员请假必须有书面请假条，并由上述规定的审批和批准人签字后方有效。返回工地后向批准人销假，否则视为监理人违约。</w:t>
      </w:r>
    </w:p>
    <w:p w14:paraId="01881419">
      <w:pPr>
        <w:spacing w:line="360" w:lineRule="auto"/>
        <w:ind w:firstLine="420"/>
        <w:jc w:val="both"/>
        <w:rPr>
          <w:rFonts w:hint="eastAsia" w:ascii="宋体" w:hAnsi="宋体" w:eastAsia="宋体"/>
          <w:color w:val="auto"/>
          <w:kern w:val="2"/>
          <w:sz w:val="21"/>
          <w:szCs w:val="21"/>
          <w:lang w:eastAsia="zh-CN" w:bidi="ar-SA"/>
        </w:rPr>
      </w:pPr>
      <w:r>
        <w:rPr>
          <w:rFonts w:hint="eastAsia" w:ascii="宋体" w:hAnsi="宋体" w:eastAsia="宋体"/>
          <w:color w:val="auto"/>
          <w:kern w:val="2"/>
          <w:sz w:val="21"/>
          <w:szCs w:val="21"/>
          <w:lang w:eastAsia="zh-CN" w:bidi="ar-SA"/>
        </w:rPr>
        <w:t>6、所有监理人员每月请假总数不得超过八天（假期当月有效，原则上不得累积休假）。如监理人员一个季度累计请假超过二十四天，尽管已获得批准，仍不免除委托人按本办法对监理人的处罚。</w:t>
      </w:r>
    </w:p>
    <w:p w14:paraId="5C77AE77">
      <w:pPr>
        <w:spacing w:line="360" w:lineRule="auto"/>
        <w:ind w:firstLine="420"/>
        <w:jc w:val="both"/>
        <w:rPr>
          <w:rFonts w:hint="eastAsia" w:ascii="宋体" w:hAnsi="宋体" w:eastAsia="宋体"/>
          <w:color w:val="auto"/>
          <w:kern w:val="2"/>
          <w:sz w:val="21"/>
          <w:szCs w:val="21"/>
          <w:lang w:eastAsia="zh-CN" w:bidi="ar-SA"/>
        </w:rPr>
      </w:pPr>
      <w:r>
        <w:rPr>
          <w:rFonts w:hint="eastAsia" w:ascii="宋体" w:hAnsi="宋体" w:eastAsia="宋体"/>
          <w:color w:val="auto"/>
          <w:kern w:val="2"/>
          <w:sz w:val="21"/>
          <w:szCs w:val="21"/>
          <w:lang w:eastAsia="zh-CN" w:bidi="ar-SA"/>
        </w:rPr>
        <w:t>第七条 监理人员变更</w:t>
      </w:r>
    </w:p>
    <w:p w14:paraId="766CEB96">
      <w:pPr>
        <w:spacing w:line="360" w:lineRule="auto"/>
        <w:ind w:firstLine="420"/>
        <w:jc w:val="both"/>
        <w:rPr>
          <w:rFonts w:hint="eastAsia" w:ascii="宋体" w:hAnsi="宋体" w:eastAsia="宋体"/>
          <w:color w:val="auto"/>
          <w:kern w:val="2"/>
          <w:sz w:val="21"/>
          <w:szCs w:val="21"/>
          <w:lang w:eastAsia="zh-CN" w:bidi="ar-SA"/>
        </w:rPr>
      </w:pPr>
      <w:r>
        <w:rPr>
          <w:rFonts w:hint="eastAsia" w:ascii="宋体" w:hAnsi="宋体" w:eastAsia="宋体"/>
          <w:color w:val="auto"/>
          <w:kern w:val="2"/>
          <w:sz w:val="21"/>
          <w:szCs w:val="21"/>
          <w:lang w:eastAsia="zh-CN" w:bidi="ar-SA"/>
        </w:rPr>
        <w:t>1、变更原则</w:t>
      </w:r>
    </w:p>
    <w:p w14:paraId="4B96D56C">
      <w:pPr>
        <w:spacing w:line="360" w:lineRule="auto"/>
        <w:ind w:firstLine="420"/>
        <w:jc w:val="both"/>
        <w:rPr>
          <w:rFonts w:hint="eastAsia" w:ascii="宋体" w:hAnsi="宋体" w:eastAsia="宋体"/>
          <w:color w:val="auto"/>
          <w:kern w:val="2"/>
          <w:sz w:val="21"/>
          <w:szCs w:val="21"/>
          <w:lang w:eastAsia="zh-CN" w:bidi="ar-SA"/>
        </w:rPr>
      </w:pPr>
      <w:r>
        <w:rPr>
          <w:rFonts w:hint="eastAsia" w:ascii="宋体" w:hAnsi="宋体" w:eastAsia="宋体"/>
          <w:color w:val="auto"/>
          <w:kern w:val="2"/>
          <w:sz w:val="21"/>
          <w:szCs w:val="21"/>
          <w:lang w:eastAsia="zh-CN" w:bidi="ar-SA"/>
        </w:rPr>
        <w:t>1）原则上专业监理工程师及以上人员不得变更。但因特殊情况需变更的，专业监理工程师及以上人员变更须经委托人批准。变更监理人员数量超过总人数的4</w:t>
      </w:r>
      <w:r>
        <w:rPr>
          <w:rFonts w:ascii="宋体" w:hAnsi="宋体" w:eastAsia="宋体"/>
          <w:color w:val="auto"/>
          <w:kern w:val="2"/>
          <w:sz w:val="21"/>
          <w:szCs w:val="21"/>
          <w:lang w:eastAsia="zh-CN" w:bidi="ar-SA"/>
        </w:rPr>
        <w:t>0</w:t>
      </w:r>
      <w:r>
        <w:rPr>
          <w:rFonts w:hint="eastAsia" w:ascii="宋体" w:hAnsi="宋体" w:eastAsia="宋体"/>
          <w:color w:val="auto"/>
          <w:kern w:val="2"/>
          <w:sz w:val="21"/>
          <w:szCs w:val="21"/>
          <w:lang w:eastAsia="zh-CN" w:bidi="ar-SA"/>
        </w:rPr>
        <w:t>%（委托人要求撤换的除外），委托人将按《违约金扣除标准》对监理人进行违约处罚。</w:t>
      </w:r>
    </w:p>
    <w:p w14:paraId="74867ADB">
      <w:pPr>
        <w:spacing w:line="360" w:lineRule="auto"/>
        <w:ind w:firstLine="420"/>
        <w:jc w:val="both"/>
        <w:rPr>
          <w:rFonts w:hint="eastAsia" w:ascii="宋体" w:hAnsi="宋体" w:eastAsia="宋体"/>
          <w:color w:val="auto"/>
          <w:kern w:val="2"/>
          <w:sz w:val="21"/>
          <w:szCs w:val="21"/>
          <w:lang w:eastAsia="zh-CN" w:bidi="ar-SA"/>
        </w:rPr>
      </w:pPr>
      <w:r>
        <w:rPr>
          <w:rFonts w:hint="eastAsia" w:ascii="宋体" w:hAnsi="宋体" w:eastAsia="宋体"/>
          <w:color w:val="auto"/>
          <w:kern w:val="2"/>
          <w:sz w:val="21"/>
          <w:szCs w:val="21"/>
          <w:lang w:eastAsia="zh-CN" w:bidi="ar-SA"/>
        </w:rPr>
        <w:t>2）监理人员如变更应符合下列条件：</w:t>
      </w:r>
    </w:p>
    <w:p w14:paraId="66240F9A">
      <w:pPr>
        <w:spacing w:line="360" w:lineRule="auto"/>
        <w:ind w:firstLine="420"/>
        <w:jc w:val="both"/>
        <w:rPr>
          <w:rFonts w:hint="eastAsia" w:ascii="宋体" w:hAnsi="宋体" w:eastAsia="宋体"/>
          <w:color w:val="auto"/>
          <w:kern w:val="2"/>
          <w:sz w:val="21"/>
          <w:szCs w:val="21"/>
          <w:lang w:eastAsia="zh-CN" w:bidi="ar-SA"/>
        </w:rPr>
      </w:pPr>
      <w:r>
        <w:rPr>
          <w:rFonts w:hint="eastAsia" w:ascii="宋体" w:hAnsi="宋体" w:eastAsia="宋体"/>
          <w:color w:val="auto"/>
          <w:kern w:val="2"/>
          <w:sz w:val="21"/>
          <w:szCs w:val="21"/>
          <w:lang w:eastAsia="zh-CN" w:bidi="ar-SA"/>
        </w:rPr>
        <w:t>①人员变更理由充分、合理；</w:t>
      </w:r>
    </w:p>
    <w:p w14:paraId="10778474">
      <w:pPr>
        <w:spacing w:line="360" w:lineRule="auto"/>
        <w:ind w:firstLine="420"/>
        <w:jc w:val="both"/>
        <w:rPr>
          <w:rFonts w:hint="eastAsia" w:ascii="宋体" w:hAnsi="宋体" w:eastAsia="宋体"/>
          <w:color w:val="auto"/>
          <w:kern w:val="2"/>
          <w:sz w:val="21"/>
          <w:szCs w:val="21"/>
          <w:lang w:eastAsia="zh-CN" w:bidi="ar-SA"/>
        </w:rPr>
      </w:pPr>
      <w:r>
        <w:rPr>
          <w:rFonts w:hint="eastAsia" w:ascii="宋体" w:hAnsi="宋体" w:eastAsia="宋体"/>
          <w:color w:val="auto"/>
          <w:kern w:val="2"/>
          <w:sz w:val="21"/>
          <w:szCs w:val="21"/>
          <w:lang w:eastAsia="zh-CN" w:bidi="ar-SA"/>
        </w:rPr>
        <w:t>②替换者的资质条件，包括学历、职称、执业资格、工作业绩等应符合合同要求。</w:t>
      </w:r>
    </w:p>
    <w:p w14:paraId="54211322">
      <w:pPr>
        <w:spacing w:line="360" w:lineRule="auto"/>
        <w:ind w:firstLine="420"/>
        <w:jc w:val="both"/>
        <w:rPr>
          <w:rFonts w:hint="eastAsia" w:ascii="宋体" w:hAnsi="宋体" w:eastAsia="宋体"/>
          <w:color w:val="auto"/>
          <w:kern w:val="2"/>
          <w:sz w:val="21"/>
          <w:szCs w:val="21"/>
          <w:lang w:eastAsia="zh-CN" w:bidi="ar-SA"/>
        </w:rPr>
      </w:pPr>
      <w:r>
        <w:rPr>
          <w:rFonts w:hint="eastAsia" w:ascii="宋体" w:hAnsi="宋体" w:eastAsia="宋体"/>
          <w:color w:val="auto"/>
          <w:kern w:val="2"/>
          <w:sz w:val="21"/>
          <w:szCs w:val="21"/>
          <w:lang w:eastAsia="zh-CN" w:bidi="ar-SA"/>
        </w:rPr>
        <w:t>2、人员变更审批程序</w:t>
      </w:r>
    </w:p>
    <w:p w14:paraId="13E7D3A6">
      <w:pPr>
        <w:spacing w:line="360" w:lineRule="auto"/>
        <w:ind w:firstLine="420"/>
        <w:jc w:val="both"/>
        <w:rPr>
          <w:rFonts w:hint="eastAsia" w:ascii="宋体" w:hAnsi="宋体" w:eastAsia="宋体"/>
          <w:color w:val="auto"/>
          <w:kern w:val="2"/>
          <w:sz w:val="21"/>
          <w:szCs w:val="21"/>
          <w:lang w:eastAsia="zh-CN" w:bidi="ar-SA"/>
        </w:rPr>
      </w:pPr>
      <w:r>
        <w:rPr>
          <w:rFonts w:hint="eastAsia" w:ascii="宋体" w:hAnsi="宋体" w:eastAsia="宋体"/>
          <w:color w:val="auto"/>
          <w:kern w:val="2"/>
          <w:sz w:val="21"/>
          <w:szCs w:val="21"/>
          <w:lang w:eastAsia="zh-CN" w:bidi="ar-SA"/>
        </w:rPr>
        <w:t>1）总监理工程师变更：由监理人法人单位书面提出正式变更申请，报委托人审批。</w:t>
      </w:r>
    </w:p>
    <w:p w14:paraId="3FAF480B">
      <w:pPr>
        <w:spacing w:line="360" w:lineRule="auto"/>
        <w:ind w:firstLine="420"/>
        <w:jc w:val="both"/>
        <w:rPr>
          <w:rFonts w:hint="eastAsia" w:ascii="宋体" w:hAnsi="宋体" w:eastAsia="宋体"/>
          <w:color w:val="auto"/>
          <w:kern w:val="2"/>
          <w:sz w:val="21"/>
          <w:szCs w:val="21"/>
          <w:lang w:eastAsia="zh-CN" w:bidi="ar-SA"/>
        </w:rPr>
      </w:pPr>
      <w:r>
        <w:rPr>
          <w:rFonts w:hint="eastAsia" w:ascii="宋体" w:hAnsi="宋体" w:eastAsia="宋体"/>
          <w:color w:val="auto"/>
          <w:kern w:val="2"/>
          <w:sz w:val="21"/>
          <w:szCs w:val="21"/>
          <w:lang w:eastAsia="zh-CN" w:bidi="ar-SA"/>
        </w:rPr>
        <w:t>2）专业监理工程师变更：由总监办书面提出正式变更申请，报委托人审批。</w:t>
      </w:r>
    </w:p>
    <w:p w14:paraId="426BA570">
      <w:pPr>
        <w:spacing w:line="360" w:lineRule="auto"/>
        <w:ind w:firstLine="420"/>
        <w:jc w:val="both"/>
        <w:rPr>
          <w:rFonts w:hint="eastAsia" w:ascii="宋体" w:hAnsi="宋体" w:eastAsia="宋体"/>
          <w:color w:val="auto"/>
          <w:kern w:val="2"/>
          <w:sz w:val="21"/>
          <w:szCs w:val="21"/>
          <w:lang w:eastAsia="zh-CN" w:bidi="ar-SA"/>
        </w:rPr>
      </w:pPr>
      <w:r>
        <w:rPr>
          <w:rFonts w:hint="eastAsia" w:ascii="宋体" w:hAnsi="宋体" w:eastAsia="宋体"/>
          <w:color w:val="auto"/>
          <w:kern w:val="2"/>
          <w:sz w:val="21"/>
          <w:szCs w:val="21"/>
          <w:lang w:eastAsia="zh-CN" w:bidi="ar-SA"/>
        </w:rPr>
        <w:t>3）其他监理人员变更报委托人备案。</w:t>
      </w:r>
    </w:p>
    <w:p w14:paraId="36B6928E">
      <w:pPr>
        <w:spacing w:line="360" w:lineRule="auto"/>
        <w:jc w:val="center"/>
        <w:outlineLvl w:val="2"/>
        <w:rPr>
          <w:rFonts w:hint="eastAsia" w:ascii="宋体" w:hAnsi="宋体" w:eastAsia="宋体"/>
          <w:b/>
          <w:color w:val="auto"/>
          <w:kern w:val="2"/>
          <w:sz w:val="21"/>
          <w:szCs w:val="21"/>
          <w:lang w:eastAsia="zh-CN" w:bidi="ar-SA"/>
        </w:rPr>
      </w:pPr>
      <w:bookmarkStart w:id="840" w:name="_Toc331595965"/>
      <w:bookmarkStart w:id="841" w:name="_Toc8859"/>
      <w:bookmarkStart w:id="842" w:name="_Toc331600877"/>
      <w:bookmarkStart w:id="843" w:name="_Toc330979782"/>
      <w:bookmarkStart w:id="844" w:name="_Toc329355426"/>
      <w:bookmarkStart w:id="845" w:name="_Toc224711267"/>
      <w:bookmarkStart w:id="846" w:name="_Toc228603984"/>
      <w:r>
        <w:rPr>
          <w:rFonts w:hint="eastAsia" w:ascii="宋体" w:hAnsi="宋体" w:eastAsia="宋体"/>
          <w:b/>
          <w:color w:val="auto"/>
          <w:kern w:val="2"/>
          <w:sz w:val="21"/>
          <w:szCs w:val="21"/>
          <w:lang w:eastAsia="zh-CN" w:bidi="ar-SA"/>
        </w:rPr>
        <w:t>第三章  违约金扣除标准</w:t>
      </w:r>
      <w:bookmarkEnd w:id="840"/>
      <w:bookmarkEnd w:id="841"/>
      <w:bookmarkEnd w:id="842"/>
      <w:bookmarkEnd w:id="843"/>
      <w:bookmarkEnd w:id="844"/>
      <w:bookmarkEnd w:id="845"/>
      <w:bookmarkEnd w:id="846"/>
    </w:p>
    <w:p w14:paraId="15211566">
      <w:pPr>
        <w:spacing w:line="360" w:lineRule="auto"/>
        <w:ind w:firstLine="420"/>
        <w:jc w:val="both"/>
        <w:rPr>
          <w:rFonts w:hint="eastAsia" w:ascii="宋体" w:hAnsi="宋体" w:eastAsia="宋体"/>
          <w:color w:val="auto"/>
          <w:kern w:val="2"/>
          <w:sz w:val="21"/>
          <w:szCs w:val="21"/>
          <w:lang w:eastAsia="zh-CN" w:bidi="ar-SA"/>
        </w:rPr>
      </w:pPr>
      <w:r>
        <w:rPr>
          <w:rFonts w:hint="eastAsia" w:ascii="宋体" w:hAnsi="宋体" w:eastAsia="宋体"/>
          <w:color w:val="auto"/>
          <w:kern w:val="2"/>
          <w:sz w:val="21"/>
          <w:szCs w:val="21"/>
          <w:lang w:eastAsia="zh-CN" w:bidi="ar-SA"/>
        </w:rPr>
        <w:t>第八条　监理人应承担的违约金的规则及额度按照下表执行，违约金在当期的监理服务费中直接扣除。</w:t>
      </w:r>
    </w:p>
    <w:p w14:paraId="313EAC4B">
      <w:pPr>
        <w:spacing w:line="360" w:lineRule="auto"/>
        <w:ind w:firstLine="105" w:firstLineChars="50"/>
        <w:jc w:val="center"/>
        <w:rPr>
          <w:rFonts w:hint="eastAsia" w:ascii="宋体" w:hAnsi="宋体" w:eastAsia="宋体"/>
          <w:b/>
          <w:color w:val="auto"/>
          <w:kern w:val="2"/>
          <w:sz w:val="21"/>
          <w:szCs w:val="21"/>
          <w:lang w:eastAsia="zh-CN" w:bidi="ar-SA"/>
        </w:rPr>
      </w:pPr>
      <w:r>
        <w:rPr>
          <w:rFonts w:hint="eastAsia" w:ascii="宋体" w:hAnsi="宋体" w:eastAsia="宋体"/>
          <w:b/>
          <w:color w:val="auto"/>
          <w:kern w:val="2"/>
          <w:sz w:val="21"/>
          <w:szCs w:val="21"/>
          <w:lang w:eastAsia="zh-CN" w:bidi="ar-SA"/>
        </w:rPr>
        <w:t>监理人违约金扣除标准</w:t>
      </w:r>
    </w:p>
    <w:tbl>
      <w:tblPr>
        <w:tblStyle w:val="47"/>
        <w:tblW w:w="8624" w:type="dxa"/>
        <w:jc w:val="center"/>
        <w:tblLayout w:type="fixed"/>
        <w:tblCellMar>
          <w:top w:w="0" w:type="dxa"/>
          <w:left w:w="0" w:type="dxa"/>
          <w:bottom w:w="0" w:type="dxa"/>
          <w:right w:w="0" w:type="dxa"/>
        </w:tblCellMar>
      </w:tblPr>
      <w:tblGrid>
        <w:gridCol w:w="477"/>
        <w:gridCol w:w="1710"/>
        <w:gridCol w:w="3543"/>
        <w:gridCol w:w="990"/>
        <w:gridCol w:w="1904"/>
      </w:tblGrid>
      <w:tr w14:paraId="05C0236B">
        <w:tblPrEx>
          <w:tblCellMar>
            <w:top w:w="0" w:type="dxa"/>
            <w:left w:w="0" w:type="dxa"/>
            <w:bottom w:w="0" w:type="dxa"/>
            <w:right w:w="0" w:type="dxa"/>
          </w:tblCellMar>
        </w:tblPrEx>
        <w:trPr>
          <w:trHeight w:val="680" w:hRule="atLeast"/>
          <w:tblHeader/>
          <w:jc w:val="center"/>
        </w:trPr>
        <w:tc>
          <w:tcPr>
            <w:tcW w:w="477" w:type="dxa"/>
            <w:tcBorders>
              <w:top w:val="single" w:color="auto" w:sz="4" w:space="0"/>
              <w:left w:val="single" w:color="auto" w:sz="4" w:space="0"/>
              <w:bottom w:val="single" w:color="auto" w:sz="4" w:space="0"/>
              <w:right w:val="single" w:color="auto" w:sz="4" w:space="0"/>
            </w:tcBorders>
            <w:vAlign w:val="center"/>
          </w:tcPr>
          <w:p w14:paraId="4C64829A">
            <w:pPr>
              <w:widowControl/>
              <w:spacing w:line="240" w:lineRule="exact"/>
              <w:jc w:val="center"/>
              <w:rPr>
                <w:rFonts w:hint="eastAsia" w:ascii="宋体" w:hAnsi="宋体" w:eastAsia="宋体"/>
                <w:color w:val="auto"/>
                <w:sz w:val="18"/>
                <w:szCs w:val="18"/>
                <w:lang w:eastAsia="zh-CN" w:bidi="ar-SA"/>
              </w:rPr>
            </w:pPr>
            <w:r>
              <w:rPr>
                <w:rFonts w:hint="eastAsia" w:ascii="宋体" w:hAnsi="宋体" w:eastAsia="宋体"/>
                <w:color w:val="auto"/>
                <w:sz w:val="18"/>
                <w:szCs w:val="18"/>
                <w:lang w:eastAsia="zh-CN" w:bidi="ar-SA"/>
              </w:rPr>
              <w:t>编号</w:t>
            </w:r>
          </w:p>
        </w:tc>
        <w:tc>
          <w:tcPr>
            <w:tcW w:w="1710" w:type="dxa"/>
            <w:tcBorders>
              <w:top w:val="single" w:color="auto" w:sz="4" w:space="0"/>
              <w:left w:val="single" w:color="auto" w:sz="4" w:space="0"/>
              <w:bottom w:val="single" w:color="auto" w:sz="4" w:space="0"/>
            </w:tcBorders>
            <w:vAlign w:val="center"/>
          </w:tcPr>
          <w:p w14:paraId="46F3211E">
            <w:pPr>
              <w:widowControl/>
              <w:spacing w:line="240" w:lineRule="exact"/>
              <w:jc w:val="center"/>
              <w:rPr>
                <w:rFonts w:hint="eastAsia" w:ascii="宋体" w:hAnsi="宋体" w:eastAsia="宋体"/>
                <w:color w:val="auto"/>
                <w:sz w:val="18"/>
                <w:szCs w:val="18"/>
                <w:lang w:eastAsia="zh-CN" w:bidi="ar-SA"/>
              </w:rPr>
            </w:pPr>
            <w:r>
              <w:rPr>
                <w:rFonts w:hint="eastAsia" w:ascii="宋体" w:hAnsi="宋体" w:eastAsia="宋体"/>
                <w:color w:val="auto"/>
                <w:sz w:val="18"/>
                <w:szCs w:val="18"/>
                <w:lang w:eastAsia="zh-CN" w:bidi="ar-SA"/>
              </w:rPr>
              <w:t>类别</w:t>
            </w:r>
          </w:p>
        </w:tc>
        <w:tc>
          <w:tcPr>
            <w:tcW w:w="3543" w:type="dxa"/>
            <w:tcBorders>
              <w:top w:val="single" w:color="auto" w:sz="4" w:space="0"/>
              <w:left w:val="single" w:color="auto" w:sz="4" w:space="0"/>
              <w:bottom w:val="single" w:color="auto" w:sz="4" w:space="0"/>
            </w:tcBorders>
            <w:vAlign w:val="center"/>
          </w:tcPr>
          <w:p w14:paraId="784A4733">
            <w:pPr>
              <w:widowControl/>
              <w:spacing w:line="240" w:lineRule="exact"/>
              <w:jc w:val="center"/>
              <w:rPr>
                <w:rFonts w:hint="eastAsia" w:ascii="宋体" w:hAnsi="宋体" w:eastAsia="宋体"/>
                <w:color w:val="auto"/>
                <w:sz w:val="18"/>
                <w:szCs w:val="18"/>
                <w:lang w:eastAsia="zh-CN" w:bidi="ar-SA"/>
              </w:rPr>
            </w:pPr>
            <w:r>
              <w:rPr>
                <w:rFonts w:hint="eastAsia" w:ascii="宋体" w:hAnsi="宋体" w:eastAsia="宋体"/>
                <w:color w:val="auto"/>
                <w:sz w:val="18"/>
                <w:szCs w:val="18"/>
                <w:lang w:eastAsia="zh-CN" w:bidi="ar-SA"/>
              </w:rPr>
              <w:t>违 约 内 容</w:t>
            </w:r>
          </w:p>
        </w:tc>
        <w:tc>
          <w:tcPr>
            <w:tcW w:w="990" w:type="dxa"/>
            <w:tcBorders>
              <w:top w:val="single" w:color="auto" w:sz="4" w:space="0"/>
              <w:left w:val="single" w:color="auto" w:sz="4" w:space="0"/>
              <w:bottom w:val="single" w:color="auto" w:sz="4" w:space="0"/>
              <w:right w:val="single" w:color="auto" w:sz="4" w:space="0"/>
            </w:tcBorders>
            <w:vAlign w:val="center"/>
          </w:tcPr>
          <w:p w14:paraId="549A5E6C">
            <w:pPr>
              <w:widowControl/>
              <w:spacing w:line="240" w:lineRule="exact"/>
              <w:jc w:val="center"/>
              <w:rPr>
                <w:rFonts w:hint="eastAsia" w:ascii="宋体" w:hAnsi="宋体" w:eastAsia="宋体"/>
                <w:color w:val="auto"/>
                <w:sz w:val="18"/>
                <w:szCs w:val="18"/>
                <w:lang w:eastAsia="zh-CN" w:bidi="ar-SA"/>
              </w:rPr>
            </w:pPr>
            <w:r>
              <w:rPr>
                <w:rFonts w:hint="eastAsia" w:ascii="宋体" w:hAnsi="宋体" w:eastAsia="宋体"/>
                <w:color w:val="auto"/>
                <w:sz w:val="18"/>
                <w:szCs w:val="18"/>
                <w:lang w:eastAsia="zh-CN" w:bidi="ar-SA"/>
              </w:rPr>
              <w:t>单 位</w:t>
            </w:r>
          </w:p>
        </w:tc>
        <w:tc>
          <w:tcPr>
            <w:tcW w:w="1904" w:type="dxa"/>
            <w:tcBorders>
              <w:top w:val="single" w:color="auto" w:sz="4" w:space="0"/>
              <w:left w:val="single" w:color="auto" w:sz="4" w:space="0"/>
              <w:bottom w:val="single" w:color="auto" w:sz="4" w:space="0"/>
              <w:right w:val="single" w:color="auto" w:sz="4" w:space="0"/>
            </w:tcBorders>
            <w:vAlign w:val="center"/>
          </w:tcPr>
          <w:p w14:paraId="4125287B">
            <w:pPr>
              <w:widowControl/>
              <w:spacing w:line="240" w:lineRule="exact"/>
              <w:jc w:val="center"/>
              <w:rPr>
                <w:rFonts w:hint="eastAsia" w:ascii="宋体" w:hAnsi="宋体" w:eastAsia="宋体"/>
                <w:color w:val="auto"/>
                <w:sz w:val="18"/>
                <w:szCs w:val="18"/>
                <w:lang w:eastAsia="zh-CN" w:bidi="ar-SA"/>
              </w:rPr>
            </w:pPr>
            <w:r>
              <w:rPr>
                <w:rFonts w:hint="eastAsia" w:ascii="宋体" w:hAnsi="宋体" w:eastAsia="宋体"/>
                <w:color w:val="auto"/>
                <w:sz w:val="18"/>
                <w:szCs w:val="18"/>
                <w:lang w:eastAsia="zh-CN" w:bidi="ar-SA"/>
              </w:rPr>
              <w:t>违约金</w:t>
            </w:r>
          </w:p>
          <w:p w14:paraId="498EC8F4">
            <w:pPr>
              <w:widowControl/>
              <w:spacing w:line="240" w:lineRule="exact"/>
              <w:jc w:val="center"/>
              <w:rPr>
                <w:rFonts w:hint="eastAsia" w:ascii="宋体" w:hAnsi="宋体" w:eastAsia="宋体"/>
                <w:color w:val="auto"/>
                <w:sz w:val="18"/>
                <w:szCs w:val="18"/>
                <w:lang w:eastAsia="zh-CN" w:bidi="ar-SA"/>
              </w:rPr>
            </w:pPr>
            <w:r>
              <w:rPr>
                <w:rFonts w:hint="eastAsia" w:ascii="宋体" w:hAnsi="宋体" w:eastAsia="宋体"/>
                <w:color w:val="auto"/>
                <w:sz w:val="18"/>
                <w:szCs w:val="18"/>
                <w:lang w:eastAsia="zh-CN" w:bidi="ar-SA"/>
              </w:rPr>
              <w:t>扣除标准（元）</w:t>
            </w:r>
          </w:p>
        </w:tc>
      </w:tr>
      <w:tr w14:paraId="10D1692B">
        <w:tblPrEx>
          <w:tblCellMar>
            <w:top w:w="0" w:type="dxa"/>
            <w:left w:w="0" w:type="dxa"/>
            <w:bottom w:w="0" w:type="dxa"/>
            <w:right w:w="0" w:type="dxa"/>
          </w:tblCellMar>
        </w:tblPrEx>
        <w:trPr>
          <w:trHeight w:val="737" w:hRule="atLeast"/>
          <w:jc w:val="center"/>
        </w:trPr>
        <w:tc>
          <w:tcPr>
            <w:tcW w:w="477" w:type="dxa"/>
            <w:vMerge w:val="restart"/>
            <w:tcBorders>
              <w:top w:val="nil"/>
              <w:left w:val="single" w:color="auto" w:sz="4" w:space="0"/>
              <w:right w:val="single" w:color="auto" w:sz="4" w:space="0"/>
            </w:tcBorders>
            <w:vAlign w:val="center"/>
          </w:tcPr>
          <w:p w14:paraId="371B6D21">
            <w:pPr>
              <w:pStyle w:val="94"/>
              <w:numPr>
                <w:ilvl w:val="0"/>
                <w:numId w:val="3"/>
              </w:numPr>
              <w:spacing w:line="240" w:lineRule="exact"/>
              <w:jc w:val="center"/>
              <w:rPr>
                <w:rFonts w:hint="eastAsia" w:ascii="宋体" w:hAnsi="宋体"/>
                <w:color w:val="auto"/>
                <w:kern w:val="2"/>
                <w:sz w:val="18"/>
                <w:szCs w:val="18"/>
              </w:rPr>
            </w:pPr>
          </w:p>
        </w:tc>
        <w:tc>
          <w:tcPr>
            <w:tcW w:w="1710" w:type="dxa"/>
            <w:vMerge w:val="restart"/>
            <w:tcBorders>
              <w:top w:val="nil"/>
              <w:left w:val="single" w:color="auto" w:sz="4" w:space="0"/>
              <w:right w:val="single" w:color="auto" w:sz="4" w:space="0"/>
            </w:tcBorders>
            <w:vAlign w:val="center"/>
          </w:tcPr>
          <w:p w14:paraId="323659BD">
            <w:pPr>
              <w:spacing w:line="240" w:lineRule="exact"/>
              <w:jc w:val="center"/>
              <w:rPr>
                <w:rFonts w:eastAsia="宋体"/>
                <w:color w:val="auto"/>
                <w:kern w:val="2"/>
                <w:sz w:val="18"/>
                <w:szCs w:val="18"/>
                <w:lang w:eastAsia="zh-CN" w:bidi="ar-SA"/>
              </w:rPr>
            </w:pPr>
            <w:r>
              <w:rPr>
                <w:rFonts w:hint="eastAsia" w:ascii="宋体" w:hAnsi="宋体" w:eastAsia="宋体"/>
                <w:color w:val="auto"/>
                <w:kern w:val="2"/>
                <w:sz w:val="18"/>
                <w:szCs w:val="18"/>
                <w:lang w:eastAsia="zh-CN" w:bidi="ar-SA"/>
              </w:rPr>
              <w:t>监理人员更换</w:t>
            </w:r>
          </w:p>
        </w:tc>
        <w:tc>
          <w:tcPr>
            <w:tcW w:w="3543" w:type="dxa"/>
            <w:tcBorders>
              <w:top w:val="nil"/>
              <w:left w:val="nil"/>
              <w:bottom w:val="single" w:color="auto" w:sz="4" w:space="0"/>
              <w:right w:val="single" w:color="auto" w:sz="4" w:space="0"/>
            </w:tcBorders>
            <w:vAlign w:val="center"/>
          </w:tcPr>
          <w:p w14:paraId="6A1D7DD3">
            <w:pPr>
              <w:spacing w:line="240" w:lineRule="exact"/>
              <w:jc w:val="both"/>
              <w:rPr>
                <w:rFonts w:eastAsia="宋体"/>
                <w:color w:val="auto"/>
                <w:kern w:val="2"/>
                <w:sz w:val="18"/>
                <w:szCs w:val="18"/>
                <w:lang w:eastAsia="zh-CN" w:bidi="ar-SA"/>
              </w:rPr>
            </w:pPr>
            <w:r>
              <w:rPr>
                <w:rFonts w:hint="eastAsia" w:ascii="宋体" w:hAnsi="宋体" w:eastAsia="宋体"/>
                <w:color w:val="auto"/>
                <w:kern w:val="2"/>
                <w:sz w:val="18"/>
                <w:szCs w:val="18"/>
                <w:lang w:eastAsia="zh-CN" w:bidi="ar-SA"/>
              </w:rPr>
              <w:t>1）监理人擅自更换总监理工程师</w:t>
            </w:r>
          </w:p>
        </w:tc>
        <w:tc>
          <w:tcPr>
            <w:tcW w:w="990" w:type="dxa"/>
            <w:tcBorders>
              <w:top w:val="nil"/>
              <w:left w:val="nil"/>
              <w:bottom w:val="single" w:color="auto" w:sz="4" w:space="0"/>
              <w:right w:val="single" w:color="auto" w:sz="4" w:space="0"/>
            </w:tcBorders>
            <w:vAlign w:val="center"/>
          </w:tcPr>
          <w:p w14:paraId="08710383">
            <w:pPr>
              <w:spacing w:line="240" w:lineRule="exact"/>
              <w:jc w:val="center"/>
              <w:rPr>
                <w:rFonts w:eastAsia="宋体"/>
                <w:color w:val="auto"/>
                <w:kern w:val="2"/>
                <w:sz w:val="18"/>
                <w:szCs w:val="18"/>
                <w:lang w:eastAsia="zh-CN" w:bidi="ar-SA"/>
              </w:rPr>
            </w:pPr>
            <w:r>
              <w:rPr>
                <w:rFonts w:hint="eastAsia" w:ascii="宋体" w:hAnsi="宋体" w:eastAsia="宋体"/>
                <w:color w:val="auto"/>
                <w:kern w:val="2"/>
                <w:sz w:val="18"/>
                <w:szCs w:val="18"/>
                <w:lang w:eastAsia="zh-CN" w:bidi="ar-SA"/>
              </w:rPr>
              <w:t>元/人·次</w:t>
            </w:r>
          </w:p>
        </w:tc>
        <w:tc>
          <w:tcPr>
            <w:tcW w:w="1904" w:type="dxa"/>
            <w:tcBorders>
              <w:top w:val="nil"/>
              <w:left w:val="single" w:color="auto" w:sz="4" w:space="0"/>
              <w:bottom w:val="single" w:color="auto" w:sz="4" w:space="0"/>
              <w:right w:val="single" w:color="auto" w:sz="4" w:space="0"/>
            </w:tcBorders>
            <w:vAlign w:val="center"/>
          </w:tcPr>
          <w:p w14:paraId="72A075BB">
            <w:pPr>
              <w:spacing w:line="240" w:lineRule="exact"/>
              <w:jc w:val="center"/>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50000</w:t>
            </w:r>
          </w:p>
        </w:tc>
      </w:tr>
      <w:tr w14:paraId="0D8519AE">
        <w:tblPrEx>
          <w:tblCellMar>
            <w:top w:w="0" w:type="dxa"/>
            <w:left w:w="0" w:type="dxa"/>
            <w:bottom w:w="0" w:type="dxa"/>
            <w:right w:w="0" w:type="dxa"/>
          </w:tblCellMar>
        </w:tblPrEx>
        <w:trPr>
          <w:trHeight w:val="737" w:hRule="atLeast"/>
          <w:jc w:val="center"/>
        </w:trPr>
        <w:tc>
          <w:tcPr>
            <w:tcW w:w="477" w:type="dxa"/>
            <w:vMerge w:val="continue"/>
            <w:tcBorders>
              <w:left w:val="single" w:color="auto" w:sz="4" w:space="0"/>
              <w:right w:val="single" w:color="auto" w:sz="4" w:space="0"/>
            </w:tcBorders>
            <w:vAlign w:val="center"/>
          </w:tcPr>
          <w:p w14:paraId="4CBC4F31">
            <w:pPr>
              <w:pStyle w:val="94"/>
              <w:numPr>
                <w:ilvl w:val="0"/>
                <w:numId w:val="3"/>
              </w:numPr>
              <w:spacing w:line="240" w:lineRule="exact"/>
              <w:jc w:val="center"/>
              <w:rPr>
                <w:rFonts w:hint="eastAsia" w:ascii="宋体" w:hAnsi="宋体"/>
                <w:color w:val="auto"/>
                <w:kern w:val="2"/>
                <w:sz w:val="18"/>
                <w:szCs w:val="18"/>
              </w:rPr>
            </w:pPr>
          </w:p>
        </w:tc>
        <w:tc>
          <w:tcPr>
            <w:tcW w:w="1710" w:type="dxa"/>
            <w:vMerge w:val="continue"/>
            <w:tcBorders>
              <w:left w:val="single" w:color="auto" w:sz="4" w:space="0"/>
              <w:right w:val="single" w:color="auto" w:sz="4" w:space="0"/>
            </w:tcBorders>
            <w:vAlign w:val="center"/>
          </w:tcPr>
          <w:p w14:paraId="6F36E9F5">
            <w:pPr>
              <w:spacing w:line="240" w:lineRule="exact"/>
              <w:jc w:val="center"/>
              <w:rPr>
                <w:rFonts w:hint="eastAsia" w:ascii="宋体" w:hAnsi="宋体" w:eastAsia="宋体"/>
                <w:color w:val="auto"/>
                <w:kern w:val="2"/>
                <w:sz w:val="18"/>
                <w:szCs w:val="18"/>
                <w:lang w:eastAsia="zh-CN" w:bidi="ar-SA"/>
              </w:rPr>
            </w:pPr>
          </w:p>
        </w:tc>
        <w:tc>
          <w:tcPr>
            <w:tcW w:w="3543" w:type="dxa"/>
            <w:tcBorders>
              <w:top w:val="nil"/>
              <w:left w:val="nil"/>
              <w:bottom w:val="single" w:color="auto" w:sz="4" w:space="0"/>
              <w:right w:val="single" w:color="auto" w:sz="4" w:space="0"/>
            </w:tcBorders>
            <w:vAlign w:val="center"/>
          </w:tcPr>
          <w:p w14:paraId="28BA5012">
            <w:pPr>
              <w:spacing w:line="240" w:lineRule="exact"/>
              <w:jc w:val="both"/>
              <w:rPr>
                <w:rFonts w:eastAsia="宋体"/>
                <w:color w:val="auto"/>
                <w:kern w:val="2"/>
                <w:sz w:val="18"/>
                <w:szCs w:val="18"/>
                <w:lang w:eastAsia="zh-CN" w:bidi="ar-SA"/>
              </w:rPr>
            </w:pPr>
            <w:r>
              <w:rPr>
                <w:rFonts w:hint="eastAsia" w:ascii="宋体" w:hAnsi="宋体" w:eastAsia="宋体"/>
                <w:color w:val="auto"/>
                <w:kern w:val="2"/>
                <w:sz w:val="18"/>
                <w:szCs w:val="18"/>
                <w:lang w:eastAsia="zh-CN" w:bidi="ar-SA"/>
              </w:rPr>
              <w:t>2）监理人擅自更换专业监理工程师</w:t>
            </w:r>
          </w:p>
        </w:tc>
        <w:tc>
          <w:tcPr>
            <w:tcW w:w="990" w:type="dxa"/>
            <w:tcBorders>
              <w:top w:val="nil"/>
              <w:left w:val="nil"/>
              <w:bottom w:val="single" w:color="auto" w:sz="4" w:space="0"/>
              <w:right w:val="single" w:color="auto" w:sz="4" w:space="0"/>
            </w:tcBorders>
            <w:vAlign w:val="center"/>
          </w:tcPr>
          <w:p w14:paraId="0E9E83F4">
            <w:pPr>
              <w:spacing w:line="240" w:lineRule="exact"/>
              <w:jc w:val="center"/>
              <w:rPr>
                <w:rFonts w:eastAsia="宋体"/>
                <w:color w:val="auto"/>
                <w:kern w:val="2"/>
                <w:sz w:val="18"/>
                <w:szCs w:val="18"/>
                <w:lang w:eastAsia="zh-CN" w:bidi="ar-SA"/>
              </w:rPr>
            </w:pPr>
            <w:r>
              <w:rPr>
                <w:rFonts w:hint="eastAsia" w:ascii="宋体" w:hAnsi="宋体" w:eastAsia="宋体"/>
                <w:color w:val="auto"/>
                <w:kern w:val="2"/>
                <w:sz w:val="18"/>
                <w:szCs w:val="18"/>
                <w:lang w:eastAsia="zh-CN" w:bidi="ar-SA"/>
              </w:rPr>
              <w:t>元/人·次</w:t>
            </w:r>
          </w:p>
        </w:tc>
        <w:tc>
          <w:tcPr>
            <w:tcW w:w="1904" w:type="dxa"/>
            <w:tcBorders>
              <w:top w:val="nil"/>
              <w:left w:val="single" w:color="auto" w:sz="4" w:space="0"/>
              <w:bottom w:val="single" w:color="auto" w:sz="4" w:space="0"/>
              <w:right w:val="single" w:color="auto" w:sz="4" w:space="0"/>
            </w:tcBorders>
            <w:vAlign w:val="center"/>
          </w:tcPr>
          <w:p w14:paraId="7238F111">
            <w:pPr>
              <w:spacing w:line="240" w:lineRule="exact"/>
              <w:jc w:val="center"/>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10000</w:t>
            </w:r>
          </w:p>
        </w:tc>
      </w:tr>
      <w:tr w14:paraId="528F963E">
        <w:tblPrEx>
          <w:tblCellMar>
            <w:top w:w="0" w:type="dxa"/>
            <w:left w:w="0" w:type="dxa"/>
            <w:bottom w:w="0" w:type="dxa"/>
            <w:right w:w="0" w:type="dxa"/>
          </w:tblCellMar>
        </w:tblPrEx>
        <w:trPr>
          <w:trHeight w:val="737" w:hRule="atLeast"/>
          <w:jc w:val="center"/>
        </w:trPr>
        <w:tc>
          <w:tcPr>
            <w:tcW w:w="477" w:type="dxa"/>
            <w:vMerge w:val="continue"/>
            <w:tcBorders>
              <w:left w:val="single" w:color="auto" w:sz="4" w:space="0"/>
              <w:right w:val="single" w:color="auto" w:sz="4" w:space="0"/>
            </w:tcBorders>
            <w:vAlign w:val="center"/>
          </w:tcPr>
          <w:p w14:paraId="4636EF78">
            <w:pPr>
              <w:pStyle w:val="94"/>
              <w:numPr>
                <w:ilvl w:val="0"/>
                <w:numId w:val="3"/>
              </w:numPr>
              <w:spacing w:line="240" w:lineRule="exact"/>
              <w:jc w:val="center"/>
              <w:rPr>
                <w:rFonts w:hint="eastAsia" w:ascii="宋体" w:hAnsi="宋体"/>
                <w:color w:val="auto"/>
                <w:kern w:val="2"/>
                <w:sz w:val="18"/>
                <w:szCs w:val="18"/>
              </w:rPr>
            </w:pPr>
          </w:p>
        </w:tc>
        <w:tc>
          <w:tcPr>
            <w:tcW w:w="1710" w:type="dxa"/>
            <w:vMerge w:val="continue"/>
            <w:tcBorders>
              <w:left w:val="single" w:color="auto" w:sz="4" w:space="0"/>
              <w:right w:val="single" w:color="auto" w:sz="4" w:space="0"/>
            </w:tcBorders>
            <w:vAlign w:val="center"/>
          </w:tcPr>
          <w:p w14:paraId="448D9E78">
            <w:pPr>
              <w:spacing w:line="240" w:lineRule="exact"/>
              <w:jc w:val="center"/>
              <w:rPr>
                <w:rFonts w:hint="eastAsia" w:ascii="宋体" w:hAnsi="宋体" w:eastAsia="宋体"/>
                <w:color w:val="auto"/>
                <w:kern w:val="2"/>
                <w:sz w:val="18"/>
                <w:szCs w:val="18"/>
                <w:lang w:eastAsia="zh-CN" w:bidi="ar-SA"/>
              </w:rPr>
            </w:pPr>
          </w:p>
        </w:tc>
        <w:tc>
          <w:tcPr>
            <w:tcW w:w="3543" w:type="dxa"/>
            <w:tcBorders>
              <w:top w:val="nil"/>
              <w:left w:val="nil"/>
              <w:bottom w:val="single" w:color="auto" w:sz="4" w:space="0"/>
              <w:right w:val="single" w:color="auto" w:sz="4" w:space="0"/>
            </w:tcBorders>
            <w:vAlign w:val="center"/>
          </w:tcPr>
          <w:p w14:paraId="08052D33">
            <w:pPr>
              <w:spacing w:line="240" w:lineRule="exact"/>
              <w:jc w:val="both"/>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3）变更监理人员数量超过总人数的4</w:t>
            </w:r>
            <w:r>
              <w:rPr>
                <w:rFonts w:ascii="宋体" w:hAnsi="宋体" w:eastAsia="宋体"/>
                <w:color w:val="auto"/>
                <w:kern w:val="2"/>
                <w:sz w:val="18"/>
                <w:szCs w:val="18"/>
                <w:lang w:eastAsia="zh-CN" w:bidi="ar-SA"/>
              </w:rPr>
              <w:t>0</w:t>
            </w:r>
            <w:r>
              <w:rPr>
                <w:rFonts w:hint="eastAsia" w:ascii="宋体" w:hAnsi="宋体" w:eastAsia="宋体"/>
                <w:color w:val="auto"/>
                <w:kern w:val="2"/>
                <w:sz w:val="18"/>
                <w:szCs w:val="18"/>
                <w:lang w:eastAsia="zh-CN" w:bidi="ar-SA"/>
              </w:rPr>
              <w:t>%</w:t>
            </w:r>
          </w:p>
        </w:tc>
        <w:tc>
          <w:tcPr>
            <w:tcW w:w="990" w:type="dxa"/>
            <w:tcBorders>
              <w:top w:val="nil"/>
              <w:left w:val="nil"/>
              <w:bottom w:val="single" w:color="auto" w:sz="4" w:space="0"/>
              <w:right w:val="single" w:color="auto" w:sz="4" w:space="0"/>
            </w:tcBorders>
            <w:vAlign w:val="center"/>
          </w:tcPr>
          <w:p w14:paraId="49A3BB91">
            <w:pPr>
              <w:spacing w:line="240" w:lineRule="exact"/>
              <w:jc w:val="center"/>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元/每超过1人</w:t>
            </w:r>
          </w:p>
        </w:tc>
        <w:tc>
          <w:tcPr>
            <w:tcW w:w="1904" w:type="dxa"/>
            <w:tcBorders>
              <w:top w:val="nil"/>
              <w:left w:val="single" w:color="auto" w:sz="4" w:space="0"/>
              <w:bottom w:val="single" w:color="auto" w:sz="4" w:space="0"/>
              <w:right w:val="single" w:color="auto" w:sz="4" w:space="0"/>
            </w:tcBorders>
            <w:vAlign w:val="center"/>
          </w:tcPr>
          <w:p w14:paraId="295F92CD">
            <w:pPr>
              <w:spacing w:line="240" w:lineRule="exact"/>
              <w:jc w:val="center"/>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1</w:t>
            </w:r>
            <w:r>
              <w:rPr>
                <w:rFonts w:ascii="宋体" w:hAnsi="宋体" w:eastAsia="宋体"/>
                <w:color w:val="auto"/>
                <w:kern w:val="2"/>
                <w:sz w:val="18"/>
                <w:szCs w:val="18"/>
                <w:lang w:eastAsia="zh-CN" w:bidi="ar-SA"/>
              </w:rPr>
              <w:t>0000</w:t>
            </w:r>
          </w:p>
        </w:tc>
      </w:tr>
      <w:tr w14:paraId="5D1FE970">
        <w:tblPrEx>
          <w:tblCellMar>
            <w:top w:w="0" w:type="dxa"/>
            <w:left w:w="0" w:type="dxa"/>
            <w:bottom w:w="0" w:type="dxa"/>
            <w:right w:w="0" w:type="dxa"/>
          </w:tblCellMar>
        </w:tblPrEx>
        <w:trPr>
          <w:trHeight w:val="737" w:hRule="atLeast"/>
          <w:jc w:val="center"/>
        </w:trPr>
        <w:tc>
          <w:tcPr>
            <w:tcW w:w="477" w:type="dxa"/>
            <w:vMerge w:val="restart"/>
            <w:tcBorders>
              <w:top w:val="single" w:color="auto" w:sz="4" w:space="0"/>
              <w:left w:val="single" w:color="auto" w:sz="4" w:space="0"/>
              <w:right w:val="single" w:color="auto" w:sz="4" w:space="0"/>
            </w:tcBorders>
            <w:vAlign w:val="center"/>
          </w:tcPr>
          <w:p w14:paraId="6983A535">
            <w:pPr>
              <w:pStyle w:val="94"/>
              <w:numPr>
                <w:ilvl w:val="0"/>
                <w:numId w:val="3"/>
              </w:numPr>
              <w:spacing w:line="240" w:lineRule="exact"/>
              <w:jc w:val="center"/>
              <w:rPr>
                <w:rFonts w:hint="eastAsia" w:ascii="宋体" w:hAnsi="宋体"/>
                <w:color w:val="auto"/>
                <w:kern w:val="2"/>
                <w:sz w:val="18"/>
                <w:szCs w:val="18"/>
              </w:rPr>
            </w:pPr>
          </w:p>
        </w:tc>
        <w:tc>
          <w:tcPr>
            <w:tcW w:w="1710" w:type="dxa"/>
            <w:vMerge w:val="restart"/>
            <w:tcBorders>
              <w:top w:val="single" w:color="auto" w:sz="4" w:space="0"/>
              <w:left w:val="nil"/>
              <w:right w:val="single" w:color="auto" w:sz="4" w:space="0"/>
            </w:tcBorders>
            <w:vAlign w:val="center"/>
          </w:tcPr>
          <w:p w14:paraId="7A65D68A">
            <w:pPr>
              <w:spacing w:line="240" w:lineRule="exact"/>
              <w:jc w:val="center"/>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监理人员考勤及考核</w:t>
            </w:r>
          </w:p>
        </w:tc>
        <w:tc>
          <w:tcPr>
            <w:tcW w:w="3543" w:type="dxa"/>
            <w:tcBorders>
              <w:top w:val="nil"/>
              <w:left w:val="nil"/>
              <w:bottom w:val="single" w:color="auto" w:sz="4" w:space="0"/>
              <w:right w:val="single" w:color="auto" w:sz="4" w:space="0"/>
            </w:tcBorders>
            <w:vAlign w:val="center"/>
          </w:tcPr>
          <w:p w14:paraId="2FE468BD">
            <w:pPr>
              <w:spacing w:line="240" w:lineRule="exact"/>
              <w:jc w:val="both"/>
              <w:rPr>
                <w:rFonts w:eastAsia="宋体"/>
                <w:color w:val="auto"/>
                <w:kern w:val="2"/>
                <w:sz w:val="18"/>
                <w:szCs w:val="18"/>
                <w:lang w:eastAsia="zh-CN" w:bidi="ar-SA"/>
              </w:rPr>
            </w:pPr>
            <w:r>
              <w:rPr>
                <w:rFonts w:hint="eastAsia" w:ascii="宋体" w:hAnsi="宋体" w:eastAsia="宋体"/>
                <w:color w:val="auto"/>
                <w:kern w:val="2"/>
                <w:sz w:val="18"/>
                <w:szCs w:val="18"/>
                <w:lang w:eastAsia="zh-CN" w:bidi="ar-SA"/>
              </w:rPr>
              <w:t>1）监理人在</w:t>
            </w:r>
            <w:r>
              <w:rPr>
                <w:rFonts w:hint="eastAsia" w:ascii="宋体" w:hAnsi="宋体" w:eastAsia="宋体"/>
                <w:color w:val="auto"/>
                <w:kern w:val="2"/>
                <w:sz w:val="18"/>
                <w:szCs w:val="18"/>
                <w:lang w:val="en-US" w:eastAsia="zh-CN" w:bidi="ar-SA"/>
              </w:rPr>
              <w:t>签订</w:t>
            </w:r>
            <w:bookmarkStart w:id="978" w:name="_GoBack"/>
            <w:bookmarkEnd w:id="978"/>
            <w:r>
              <w:rPr>
                <w:rFonts w:hint="eastAsia" w:ascii="宋体" w:hAnsi="宋体" w:eastAsia="宋体"/>
                <w:color w:val="auto"/>
                <w:kern w:val="2"/>
                <w:sz w:val="18"/>
                <w:szCs w:val="18"/>
                <w:lang w:eastAsia="zh-CN" w:bidi="ar-SA"/>
              </w:rPr>
              <w:t>合同协议书后7天内，未按投标书的承诺开展前期准备工作</w:t>
            </w:r>
          </w:p>
        </w:tc>
        <w:tc>
          <w:tcPr>
            <w:tcW w:w="990" w:type="dxa"/>
            <w:tcBorders>
              <w:top w:val="nil"/>
              <w:left w:val="nil"/>
              <w:bottom w:val="single" w:color="auto" w:sz="4" w:space="0"/>
              <w:right w:val="single" w:color="auto" w:sz="4" w:space="0"/>
            </w:tcBorders>
            <w:vAlign w:val="center"/>
          </w:tcPr>
          <w:p w14:paraId="6892F732">
            <w:pPr>
              <w:spacing w:line="240" w:lineRule="exact"/>
              <w:jc w:val="center"/>
              <w:rPr>
                <w:rFonts w:eastAsia="宋体"/>
                <w:color w:val="auto"/>
                <w:kern w:val="2"/>
                <w:sz w:val="18"/>
                <w:szCs w:val="18"/>
                <w:lang w:eastAsia="zh-CN" w:bidi="ar-SA"/>
              </w:rPr>
            </w:pPr>
            <w:r>
              <w:rPr>
                <w:rFonts w:hint="eastAsia" w:ascii="宋体" w:hAnsi="宋体" w:eastAsia="宋体"/>
                <w:color w:val="auto"/>
                <w:kern w:val="2"/>
                <w:sz w:val="18"/>
                <w:szCs w:val="18"/>
                <w:lang w:eastAsia="zh-CN" w:bidi="ar-SA"/>
              </w:rPr>
              <w:t>元/天</w:t>
            </w:r>
          </w:p>
        </w:tc>
        <w:tc>
          <w:tcPr>
            <w:tcW w:w="1904" w:type="dxa"/>
            <w:tcBorders>
              <w:top w:val="nil"/>
              <w:left w:val="single" w:color="auto" w:sz="4" w:space="0"/>
              <w:bottom w:val="single" w:color="auto" w:sz="4" w:space="0"/>
              <w:right w:val="single" w:color="auto" w:sz="4" w:space="0"/>
            </w:tcBorders>
            <w:vAlign w:val="center"/>
          </w:tcPr>
          <w:p w14:paraId="69221F84">
            <w:pPr>
              <w:spacing w:line="240" w:lineRule="exact"/>
              <w:jc w:val="center"/>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1000</w:t>
            </w:r>
          </w:p>
        </w:tc>
      </w:tr>
      <w:tr w14:paraId="1E55B985">
        <w:tblPrEx>
          <w:tblCellMar>
            <w:top w:w="0" w:type="dxa"/>
            <w:left w:w="0" w:type="dxa"/>
            <w:bottom w:w="0" w:type="dxa"/>
            <w:right w:w="0" w:type="dxa"/>
          </w:tblCellMar>
        </w:tblPrEx>
        <w:trPr>
          <w:trHeight w:val="737" w:hRule="atLeast"/>
          <w:jc w:val="center"/>
        </w:trPr>
        <w:tc>
          <w:tcPr>
            <w:tcW w:w="477" w:type="dxa"/>
            <w:vMerge w:val="continue"/>
            <w:tcBorders>
              <w:left w:val="single" w:color="auto" w:sz="4" w:space="0"/>
              <w:right w:val="single" w:color="auto" w:sz="4" w:space="0"/>
            </w:tcBorders>
            <w:vAlign w:val="center"/>
          </w:tcPr>
          <w:p w14:paraId="2C4B4967">
            <w:pPr>
              <w:pStyle w:val="94"/>
              <w:numPr>
                <w:ilvl w:val="0"/>
                <w:numId w:val="3"/>
              </w:numPr>
              <w:spacing w:line="240" w:lineRule="exact"/>
              <w:jc w:val="center"/>
              <w:rPr>
                <w:rFonts w:hint="eastAsia" w:ascii="宋体" w:hAnsi="宋体"/>
                <w:color w:val="auto"/>
                <w:kern w:val="2"/>
                <w:sz w:val="18"/>
                <w:szCs w:val="18"/>
              </w:rPr>
            </w:pPr>
          </w:p>
        </w:tc>
        <w:tc>
          <w:tcPr>
            <w:tcW w:w="1710" w:type="dxa"/>
            <w:vMerge w:val="continue"/>
            <w:tcBorders>
              <w:left w:val="nil"/>
              <w:right w:val="single" w:color="auto" w:sz="4" w:space="0"/>
            </w:tcBorders>
            <w:vAlign w:val="center"/>
          </w:tcPr>
          <w:p w14:paraId="5F4BB47B">
            <w:pPr>
              <w:spacing w:line="240" w:lineRule="exact"/>
              <w:jc w:val="center"/>
              <w:rPr>
                <w:rFonts w:hint="eastAsia" w:ascii="宋体" w:hAnsi="宋体" w:eastAsia="宋体"/>
                <w:color w:val="auto"/>
                <w:kern w:val="2"/>
                <w:sz w:val="18"/>
                <w:szCs w:val="18"/>
                <w:lang w:eastAsia="zh-CN" w:bidi="ar-SA"/>
              </w:rPr>
            </w:pPr>
          </w:p>
        </w:tc>
        <w:tc>
          <w:tcPr>
            <w:tcW w:w="3543" w:type="dxa"/>
            <w:tcBorders>
              <w:top w:val="nil"/>
              <w:left w:val="nil"/>
              <w:bottom w:val="single" w:color="auto" w:sz="4" w:space="0"/>
              <w:right w:val="single" w:color="auto" w:sz="4" w:space="0"/>
            </w:tcBorders>
            <w:vAlign w:val="center"/>
          </w:tcPr>
          <w:p w14:paraId="7657B822">
            <w:pPr>
              <w:spacing w:line="240" w:lineRule="exact"/>
              <w:jc w:val="both"/>
              <w:rPr>
                <w:rFonts w:eastAsia="宋体"/>
                <w:color w:val="auto"/>
                <w:kern w:val="2"/>
                <w:sz w:val="18"/>
                <w:szCs w:val="18"/>
                <w:lang w:eastAsia="zh-CN" w:bidi="ar-SA"/>
              </w:rPr>
            </w:pPr>
            <w:r>
              <w:rPr>
                <w:rFonts w:hint="eastAsia" w:ascii="宋体" w:hAnsi="宋体" w:eastAsia="宋体"/>
                <w:color w:val="auto"/>
                <w:kern w:val="2"/>
                <w:sz w:val="18"/>
                <w:szCs w:val="18"/>
                <w:lang w:eastAsia="zh-CN" w:bidi="ar-SA"/>
              </w:rPr>
              <w:t>2）总监理工程师擅自离开工地</w:t>
            </w:r>
          </w:p>
        </w:tc>
        <w:tc>
          <w:tcPr>
            <w:tcW w:w="990" w:type="dxa"/>
            <w:tcBorders>
              <w:top w:val="nil"/>
              <w:left w:val="nil"/>
              <w:bottom w:val="single" w:color="auto" w:sz="4" w:space="0"/>
              <w:right w:val="single" w:color="auto" w:sz="4" w:space="0"/>
            </w:tcBorders>
            <w:vAlign w:val="center"/>
          </w:tcPr>
          <w:p w14:paraId="1E3FEE4F">
            <w:pPr>
              <w:spacing w:line="240" w:lineRule="exact"/>
              <w:jc w:val="center"/>
              <w:rPr>
                <w:rFonts w:eastAsia="宋体"/>
                <w:color w:val="auto"/>
                <w:kern w:val="2"/>
                <w:sz w:val="18"/>
                <w:szCs w:val="18"/>
                <w:lang w:eastAsia="zh-CN" w:bidi="ar-SA"/>
              </w:rPr>
            </w:pPr>
            <w:r>
              <w:rPr>
                <w:rFonts w:hint="eastAsia" w:ascii="宋体" w:hAnsi="宋体" w:eastAsia="宋体"/>
                <w:color w:val="auto"/>
                <w:kern w:val="2"/>
                <w:sz w:val="18"/>
                <w:szCs w:val="18"/>
                <w:lang w:eastAsia="zh-CN" w:bidi="ar-SA"/>
              </w:rPr>
              <w:t>元/人·天</w:t>
            </w:r>
          </w:p>
        </w:tc>
        <w:tc>
          <w:tcPr>
            <w:tcW w:w="1904" w:type="dxa"/>
            <w:tcBorders>
              <w:top w:val="nil"/>
              <w:left w:val="single" w:color="auto" w:sz="4" w:space="0"/>
              <w:bottom w:val="single" w:color="auto" w:sz="4" w:space="0"/>
              <w:right w:val="single" w:color="auto" w:sz="4" w:space="0"/>
            </w:tcBorders>
            <w:vAlign w:val="center"/>
          </w:tcPr>
          <w:p w14:paraId="15A60D37">
            <w:pPr>
              <w:spacing w:line="240" w:lineRule="exact"/>
              <w:jc w:val="center"/>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1000</w:t>
            </w:r>
          </w:p>
        </w:tc>
      </w:tr>
      <w:tr w14:paraId="190CE67B">
        <w:tblPrEx>
          <w:tblCellMar>
            <w:top w:w="0" w:type="dxa"/>
            <w:left w:w="0" w:type="dxa"/>
            <w:bottom w:w="0" w:type="dxa"/>
            <w:right w:w="0" w:type="dxa"/>
          </w:tblCellMar>
        </w:tblPrEx>
        <w:trPr>
          <w:trHeight w:val="737" w:hRule="atLeast"/>
          <w:jc w:val="center"/>
        </w:trPr>
        <w:tc>
          <w:tcPr>
            <w:tcW w:w="477" w:type="dxa"/>
            <w:vMerge w:val="continue"/>
            <w:tcBorders>
              <w:left w:val="single" w:color="auto" w:sz="4" w:space="0"/>
              <w:right w:val="single" w:color="auto" w:sz="4" w:space="0"/>
            </w:tcBorders>
            <w:vAlign w:val="center"/>
          </w:tcPr>
          <w:p w14:paraId="59BAE22E">
            <w:pPr>
              <w:pStyle w:val="94"/>
              <w:numPr>
                <w:ilvl w:val="0"/>
                <w:numId w:val="3"/>
              </w:numPr>
              <w:spacing w:line="240" w:lineRule="exact"/>
              <w:jc w:val="center"/>
              <w:rPr>
                <w:rFonts w:hint="eastAsia" w:ascii="宋体" w:hAnsi="宋体"/>
                <w:color w:val="auto"/>
                <w:kern w:val="2"/>
                <w:sz w:val="18"/>
                <w:szCs w:val="18"/>
              </w:rPr>
            </w:pPr>
          </w:p>
        </w:tc>
        <w:tc>
          <w:tcPr>
            <w:tcW w:w="1710" w:type="dxa"/>
            <w:vMerge w:val="continue"/>
            <w:tcBorders>
              <w:left w:val="nil"/>
              <w:right w:val="single" w:color="auto" w:sz="4" w:space="0"/>
            </w:tcBorders>
            <w:vAlign w:val="center"/>
          </w:tcPr>
          <w:p w14:paraId="7183E7C2">
            <w:pPr>
              <w:spacing w:line="240" w:lineRule="exact"/>
              <w:jc w:val="center"/>
              <w:rPr>
                <w:rFonts w:hint="eastAsia" w:ascii="宋体" w:hAnsi="宋体" w:eastAsia="宋体"/>
                <w:color w:val="auto"/>
                <w:kern w:val="2"/>
                <w:sz w:val="18"/>
                <w:szCs w:val="18"/>
                <w:lang w:eastAsia="zh-CN" w:bidi="ar-SA"/>
              </w:rPr>
            </w:pPr>
          </w:p>
        </w:tc>
        <w:tc>
          <w:tcPr>
            <w:tcW w:w="3543" w:type="dxa"/>
            <w:tcBorders>
              <w:top w:val="single" w:color="auto" w:sz="4" w:space="0"/>
              <w:left w:val="nil"/>
              <w:bottom w:val="single" w:color="auto" w:sz="4" w:space="0"/>
              <w:right w:val="single" w:color="auto" w:sz="4" w:space="0"/>
            </w:tcBorders>
            <w:vAlign w:val="center"/>
          </w:tcPr>
          <w:p w14:paraId="6C5EF0A4">
            <w:pPr>
              <w:spacing w:line="240" w:lineRule="exact"/>
              <w:jc w:val="both"/>
              <w:rPr>
                <w:rFonts w:eastAsia="宋体"/>
                <w:color w:val="auto"/>
                <w:kern w:val="2"/>
                <w:sz w:val="18"/>
                <w:szCs w:val="18"/>
                <w:lang w:eastAsia="zh-CN" w:bidi="ar-SA"/>
              </w:rPr>
            </w:pPr>
            <w:r>
              <w:rPr>
                <w:rFonts w:hint="eastAsia" w:ascii="宋体" w:hAnsi="宋体" w:eastAsia="宋体"/>
                <w:color w:val="auto"/>
                <w:kern w:val="2"/>
                <w:sz w:val="18"/>
                <w:szCs w:val="18"/>
                <w:lang w:eastAsia="zh-CN" w:bidi="ar-SA"/>
              </w:rPr>
              <w:t>3）专业监理工程师擅自离开工地</w:t>
            </w:r>
          </w:p>
        </w:tc>
        <w:tc>
          <w:tcPr>
            <w:tcW w:w="990" w:type="dxa"/>
            <w:tcBorders>
              <w:top w:val="single" w:color="auto" w:sz="4" w:space="0"/>
              <w:left w:val="nil"/>
              <w:bottom w:val="single" w:color="auto" w:sz="4" w:space="0"/>
              <w:right w:val="single" w:color="auto" w:sz="4" w:space="0"/>
            </w:tcBorders>
            <w:vAlign w:val="center"/>
          </w:tcPr>
          <w:p w14:paraId="1142A477">
            <w:pPr>
              <w:spacing w:line="240" w:lineRule="exact"/>
              <w:jc w:val="center"/>
              <w:rPr>
                <w:rFonts w:eastAsia="宋体"/>
                <w:color w:val="auto"/>
                <w:kern w:val="2"/>
                <w:sz w:val="18"/>
                <w:szCs w:val="18"/>
                <w:lang w:eastAsia="zh-CN" w:bidi="ar-SA"/>
              </w:rPr>
            </w:pPr>
            <w:r>
              <w:rPr>
                <w:rFonts w:hint="eastAsia" w:ascii="宋体" w:hAnsi="宋体" w:eastAsia="宋体"/>
                <w:color w:val="auto"/>
                <w:kern w:val="2"/>
                <w:sz w:val="18"/>
                <w:szCs w:val="18"/>
                <w:lang w:eastAsia="zh-CN" w:bidi="ar-SA"/>
              </w:rPr>
              <w:t>元/人·天</w:t>
            </w:r>
          </w:p>
        </w:tc>
        <w:tc>
          <w:tcPr>
            <w:tcW w:w="1904" w:type="dxa"/>
            <w:tcBorders>
              <w:top w:val="single" w:color="auto" w:sz="4" w:space="0"/>
              <w:left w:val="single" w:color="auto" w:sz="4" w:space="0"/>
              <w:bottom w:val="single" w:color="auto" w:sz="4" w:space="0"/>
              <w:right w:val="single" w:color="auto" w:sz="4" w:space="0"/>
            </w:tcBorders>
            <w:vAlign w:val="center"/>
          </w:tcPr>
          <w:p w14:paraId="44AC1776">
            <w:pPr>
              <w:spacing w:line="240" w:lineRule="exact"/>
              <w:jc w:val="center"/>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500</w:t>
            </w:r>
          </w:p>
        </w:tc>
      </w:tr>
      <w:tr w14:paraId="6A211AA3">
        <w:tblPrEx>
          <w:tblCellMar>
            <w:top w:w="0" w:type="dxa"/>
            <w:left w:w="0" w:type="dxa"/>
            <w:bottom w:w="0" w:type="dxa"/>
            <w:right w:w="0" w:type="dxa"/>
          </w:tblCellMar>
        </w:tblPrEx>
        <w:trPr>
          <w:trHeight w:val="737" w:hRule="atLeast"/>
          <w:jc w:val="center"/>
        </w:trPr>
        <w:tc>
          <w:tcPr>
            <w:tcW w:w="477" w:type="dxa"/>
            <w:vMerge w:val="continue"/>
            <w:tcBorders>
              <w:left w:val="single" w:color="auto" w:sz="4" w:space="0"/>
              <w:bottom w:val="single" w:color="auto" w:sz="4" w:space="0"/>
              <w:right w:val="single" w:color="auto" w:sz="4" w:space="0"/>
            </w:tcBorders>
            <w:vAlign w:val="center"/>
          </w:tcPr>
          <w:p w14:paraId="1EF2C3A5">
            <w:pPr>
              <w:pStyle w:val="94"/>
              <w:numPr>
                <w:ilvl w:val="0"/>
                <w:numId w:val="3"/>
              </w:numPr>
              <w:spacing w:line="240" w:lineRule="exact"/>
              <w:jc w:val="center"/>
              <w:rPr>
                <w:rFonts w:hint="eastAsia" w:ascii="宋体" w:hAnsi="宋体"/>
                <w:color w:val="auto"/>
                <w:kern w:val="2"/>
                <w:sz w:val="18"/>
                <w:szCs w:val="18"/>
              </w:rPr>
            </w:pPr>
          </w:p>
        </w:tc>
        <w:tc>
          <w:tcPr>
            <w:tcW w:w="1710" w:type="dxa"/>
            <w:vMerge w:val="continue"/>
            <w:tcBorders>
              <w:left w:val="nil"/>
              <w:bottom w:val="single" w:color="auto" w:sz="4" w:space="0"/>
              <w:right w:val="single" w:color="auto" w:sz="4" w:space="0"/>
            </w:tcBorders>
            <w:vAlign w:val="center"/>
          </w:tcPr>
          <w:p w14:paraId="624844F1">
            <w:pPr>
              <w:spacing w:line="240" w:lineRule="exact"/>
              <w:jc w:val="center"/>
              <w:rPr>
                <w:rFonts w:hint="eastAsia" w:ascii="宋体" w:hAnsi="宋体" w:eastAsia="宋体"/>
                <w:color w:val="auto"/>
                <w:kern w:val="2"/>
                <w:sz w:val="18"/>
                <w:szCs w:val="18"/>
                <w:lang w:eastAsia="zh-CN" w:bidi="ar-SA"/>
              </w:rPr>
            </w:pPr>
          </w:p>
        </w:tc>
        <w:tc>
          <w:tcPr>
            <w:tcW w:w="3543" w:type="dxa"/>
            <w:tcBorders>
              <w:top w:val="single" w:color="auto" w:sz="4" w:space="0"/>
              <w:left w:val="nil"/>
              <w:bottom w:val="single" w:color="auto" w:sz="4" w:space="0"/>
              <w:right w:val="single" w:color="auto" w:sz="4" w:space="0"/>
            </w:tcBorders>
            <w:vAlign w:val="center"/>
          </w:tcPr>
          <w:p w14:paraId="0989ADA4">
            <w:pPr>
              <w:spacing w:line="240" w:lineRule="exact"/>
              <w:jc w:val="both"/>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4）总监理工程师无故缺席项目办或指挥部专项会议</w:t>
            </w:r>
          </w:p>
        </w:tc>
        <w:tc>
          <w:tcPr>
            <w:tcW w:w="990" w:type="dxa"/>
            <w:tcBorders>
              <w:top w:val="single" w:color="auto" w:sz="4" w:space="0"/>
              <w:left w:val="nil"/>
              <w:bottom w:val="single" w:color="auto" w:sz="4" w:space="0"/>
              <w:right w:val="single" w:color="auto" w:sz="4" w:space="0"/>
            </w:tcBorders>
            <w:vAlign w:val="center"/>
          </w:tcPr>
          <w:p w14:paraId="01D72920">
            <w:pPr>
              <w:spacing w:line="240" w:lineRule="exact"/>
              <w:jc w:val="center"/>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元/人·次</w:t>
            </w:r>
          </w:p>
        </w:tc>
        <w:tc>
          <w:tcPr>
            <w:tcW w:w="1904" w:type="dxa"/>
            <w:tcBorders>
              <w:top w:val="single" w:color="auto" w:sz="4" w:space="0"/>
              <w:left w:val="single" w:color="auto" w:sz="4" w:space="0"/>
              <w:bottom w:val="single" w:color="auto" w:sz="4" w:space="0"/>
              <w:right w:val="single" w:color="auto" w:sz="4" w:space="0"/>
            </w:tcBorders>
            <w:vAlign w:val="center"/>
          </w:tcPr>
          <w:p w14:paraId="36515B1C">
            <w:pPr>
              <w:spacing w:line="240" w:lineRule="exact"/>
              <w:jc w:val="center"/>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2</w:t>
            </w:r>
            <w:r>
              <w:rPr>
                <w:rFonts w:ascii="宋体" w:hAnsi="宋体" w:eastAsia="宋体"/>
                <w:color w:val="auto"/>
                <w:kern w:val="2"/>
                <w:sz w:val="18"/>
                <w:szCs w:val="18"/>
                <w:lang w:eastAsia="zh-CN" w:bidi="ar-SA"/>
              </w:rPr>
              <w:t>000</w:t>
            </w:r>
          </w:p>
        </w:tc>
      </w:tr>
      <w:tr w14:paraId="66AE2BB6">
        <w:tblPrEx>
          <w:tblCellMar>
            <w:top w:w="0" w:type="dxa"/>
            <w:left w:w="0" w:type="dxa"/>
            <w:bottom w:w="0" w:type="dxa"/>
            <w:right w:w="0" w:type="dxa"/>
          </w:tblCellMar>
        </w:tblPrEx>
        <w:trPr>
          <w:trHeight w:val="737" w:hRule="atLeast"/>
          <w:jc w:val="center"/>
        </w:trPr>
        <w:tc>
          <w:tcPr>
            <w:tcW w:w="477" w:type="dxa"/>
            <w:vMerge w:val="restart"/>
            <w:tcBorders>
              <w:top w:val="single" w:color="auto" w:sz="4" w:space="0"/>
              <w:left w:val="single" w:color="auto" w:sz="4" w:space="0"/>
              <w:bottom w:val="single" w:color="auto" w:sz="4" w:space="0"/>
              <w:right w:val="single" w:color="auto" w:sz="4" w:space="0"/>
            </w:tcBorders>
            <w:vAlign w:val="center"/>
          </w:tcPr>
          <w:p w14:paraId="1307CB6A">
            <w:pPr>
              <w:pStyle w:val="94"/>
              <w:numPr>
                <w:ilvl w:val="0"/>
                <w:numId w:val="3"/>
              </w:numPr>
              <w:spacing w:line="240" w:lineRule="exact"/>
              <w:jc w:val="center"/>
              <w:rPr>
                <w:rFonts w:hint="eastAsia" w:ascii="宋体" w:hAnsi="宋体"/>
                <w:color w:val="auto"/>
                <w:kern w:val="2"/>
                <w:sz w:val="18"/>
                <w:szCs w:val="18"/>
              </w:rPr>
            </w:pPr>
          </w:p>
        </w:tc>
        <w:tc>
          <w:tcPr>
            <w:tcW w:w="1710" w:type="dxa"/>
            <w:vMerge w:val="restart"/>
            <w:tcBorders>
              <w:top w:val="single" w:color="auto" w:sz="4" w:space="0"/>
              <w:left w:val="nil"/>
              <w:bottom w:val="single" w:color="auto" w:sz="4" w:space="0"/>
              <w:right w:val="single" w:color="auto" w:sz="4" w:space="0"/>
            </w:tcBorders>
            <w:vAlign w:val="center"/>
          </w:tcPr>
          <w:p w14:paraId="2D136013">
            <w:pPr>
              <w:spacing w:line="240" w:lineRule="exact"/>
              <w:jc w:val="center"/>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办公、生活、交通、试验检测仪器设备</w:t>
            </w:r>
          </w:p>
        </w:tc>
        <w:tc>
          <w:tcPr>
            <w:tcW w:w="3543" w:type="dxa"/>
            <w:tcBorders>
              <w:top w:val="single" w:color="auto" w:sz="4" w:space="0"/>
              <w:left w:val="nil"/>
              <w:bottom w:val="single" w:color="auto" w:sz="4" w:space="0"/>
              <w:right w:val="single" w:color="auto" w:sz="4" w:space="0"/>
            </w:tcBorders>
            <w:vAlign w:val="center"/>
          </w:tcPr>
          <w:p w14:paraId="5B598614">
            <w:pPr>
              <w:spacing w:before="100" w:beforeAutospacing="1" w:after="100" w:afterAutospacing="1" w:line="240" w:lineRule="exact"/>
              <w:jc w:val="both"/>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1）监理人不按投标文件的承诺配备办公设备</w:t>
            </w:r>
          </w:p>
        </w:tc>
        <w:tc>
          <w:tcPr>
            <w:tcW w:w="990" w:type="dxa"/>
            <w:tcBorders>
              <w:top w:val="single" w:color="auto" w:sz="4" w:space="0"/>
              <w:left w:val="nil"/>
              <w:bottom w:val="single" w:color="auto" w:sz="4" w:space="0"/>
              <w:right w:val="single" w:color="auto" w:sz="4" w:space="0"/>
            </w:tcBorders>
            <w:vAlign w:val="center"/>
          </w:tcPr>
          <w:p w14:paraId="14798A8E">
            <w:pPr>
              <w:spacing w:line="240" w:lineRule="exact"/>
              <w:jc w:val="center"/>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台（套）</w:t>
            </w:r>
          </w:p>
        </w:tc>
        <w:tc>
          <w:tcPr>
            <w:tcW w:w="1904" w:type="dxa"/>
            <w:vMerge w:val="restart"/>
            <w:tcBorders>
              <w:top w:val="single" w:color="auto" w:sz="4" w:space="0"/>
              <w:left w:val="nil"/>
              <w:right w:val="single" w:color="auto" w:sz="4" w:space="0"/>
            </w:tcBorders>
            <w:vAlign w:val="center"/>
          </w:tcPr>
          <w:p w14:paraId="15C52289">
            <w:pPr>
              <w:spacing w:line="240" w:lineRule="exact"/>
              <w:jc w:val="center"/>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1000～5000</w:t>
            </w:r>
          </w:p>
          <w:p w14:paraId="46CA970B">
            <w:pPr>
              <w:spacing w:line="240" w:lineRule="exact"/>
              <w:jc w:val="center"/>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且委托人有权自行或授权第三方代为配置，并按实际发生费用在监理服务费用中扣除。</w:t>
            </w:r>
          </w:p>
          <w:p w14:paraId="65116074">
            <w:pPr>
              <w:spacing w:line="240" w:lineRule="exact"/>
              <w:jc w:val="center"/>
              <w:rPr>
                <w:rFonts w:hint="eastAsia" w:ascii="宋体" w:hAnsi="宋体" w:eastAsia="宋体"/>
                <w:color w:val="auto"/>
                <w:kern w:val="2"/>
                <w:sz w:val="18"/>
                <w:szCs w:val="18"/>
                <w:lang w:eastAsia="zh-CN" w:bidi="ar-SA"/>
              </w:rPr>
            </w:pPr>
          </w:p>
        </w:tc>
      </w:tr>
      <w:tr w14:paraId="2DFC5432">
        <w:tblPrEx>
          <w:tblCellMar>
            <w:top w:w="0" w:type="dxa"/>
            <w:left w:w="0" w:type="dxa"/>
            <w:bottom w:w="0" w:type="dxa"/>
            <w:right w:w="0" w:type="dxa"/>
          </w:tblCellMar>
        </w:tblPrEx>
        <w:trPr>
          <w:trHeight w:val="737" w:hRule="atLeast"/>
          <w:jc w:val="center"/>
        </w:trPr>
        <w:tc>
          <w:tcPr>
            <w:tcW w:w="477" w:type="dxa"/>
            <w:vMerge w:val="continue"/>
            <w:tcBorders>
              <w:top w:val="single" w:color="auto" w:sz="4" w:space="0"/>
              <w:left w:val="single" w:color="auto" w:sz="4" w:space="0"/>
              <w:bottom w:val="single" w:color="auto" w:sz="4" w:space="0"/>
              <w:right w:val="single" w:color="auto" w:sz="4" w:space="0"/>
            </w:tcBorders>
            <w:vAlign w:val="center"/>
          </w:tcPr>
          <w:p w14:paraId="42CFE2B2">
            <w:pPr>
              <w:pStyle w:val="94"/>
              <w:numPr>
                <w:ilvl w:val="0"/>
                <w:numId w:val="3"/>
              </w:numPr>
              <w:spacing w:line="240" w:lineRule="exact"/>
              <w:jc w:val="center"/>
              <w:rPr>
                <w:rFonts w:hint="eastAsia" w:ascii="宋体" w:hAnsi="宋体"/>
                <w:color w:val="auto"/>
                <w:kern w:val="2"/>
                <w:sz w:val="18"/>
                <w:szCs w:val="18"/>
              </w:rPr>
            </w:pPr>
          </w:p>
        </w:tc>
        <w:tc>
          <w:tcPr>
            <w:tcW w:w="1710" w:type="dxa"/>
            <w:vMerge w:val="continue"/>
            <w:tcBorders>
              <w:top w:val="single" w:color="auto" w:sz="4" w:space="0"/>
              <w:left w:val="nil"/>
              <w:bottom w:val="single" w:color="auto" w:sz="4" w:space="0"/>
              <w:right w:val="single" w:color="auto" w:sz="4" w:space="0"/>
            </w:tcBorders>
            <w:vAlign w:val="center"/>
          </w:tcPr>
          <w:p w14:paraId="3C38B0FD">
            <w:pPr>
              <w:spacing w:line="240" w:lineRule="exact"/>
              <w:jc w:val="center"/>
              <w:rPr>
                <w:rFonts w:hint="eastAsia" w:ascii="宋体" w:hAnsi="宋体" w:eastAsia="宋体"/>
                <w:color w:val="auto"/>
                <w:kern w:val="2"/>
                <w:sz w:val="18"/>
                <w:szCs w:val="18"/>
                <w:lang w:eastAsia="zh-CN" w:bidi="ar-SA"/>
              </w:rPr>
            </w:pPr>
          </w:p>
        </w:tc>
        <w:tc>
          <w:tcPr>
            <w:tcW w:w="3543" w:type="dxa"/>
            <w:tcBorders>
              <w:top w:val="nil"/>
              <w:left w:val="nil"/>
              <w:bottom w:val="single" w:color="auto" w:sz="4" w:space="0"/>
              <w:right w:val="single" w:color="auto" w:sz="4" w:space="0"/>
            </w:tcBorders>
            <w:vAlign w:val="center"/>
          </w:tcPr>
          <w:p w14:paraId="65EAAA15">
            <w:pPr>
              <w:spacing w:line="240" w:lineRule="exact"/>
              <w:jc w:val="both"/>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2）监理人不按投标文件的承诺配备试验检测仪器等设备</w:t>
            </w:r>
          </w:p>
        </w:tc>
        <w:tc>
          <w:tcPr>
            <w:tcW w:w="990" w:type="dxa"/>
            <w:tcBorders>
              <w:top w:val="nil"/>
              <w:left w:val="nil"/>
              <w:bottom w:val="single" w:color="auto" w:sz="4" w:space="0"/>
              <w:right w:val="single" w:color="auto" w:sz="4" w:space="0"/>
            </w:tcBorders>
            <w:vAlign w:val="center"/>
          </w:tcPr>
          <w:p w14:paraId="768BCF1A">
            <w:pPr>
              <w:spacing w:line="240" w:lineRule="exact"/>
              <w:jc w:val="center"/>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台（套）</w:t>
            </w:r>
          </w:p>
        </w:tc>
        <w:tc>
          <w:tcPr>
            <w:tcW w:w="1904" w:type="dxa"/>
            <w:vMerge w:val="continue"/>
            <w:tcBorders>
              <w:left w:val="single" w:color="auto" w:sz="4" w:space="0"/>
              <w:right w:val="single" w:color="auto" w:sz="4" w:space="0"/>
            </w:tcBorders>
            <w:vAlign w:val="center"/>
          </w:tcPr>
          <w:p w14:paraId="6C9512BA">
            <w:pPr>
              <w:spacing w:line="240" w:lineRule="exact"/>
              <w:jc w:val="center"/>
              <w:rPr>
                <w:rFonts w:hint="eastAsia" w:ascii="宋体" w:hAnsi="宋体" w:eastAsia="宋体"/>
                <w:color w:val="auto"/>
                <w:kern w:val="2"/>
                <w:sz w:val="18"/>
                <w:szCs w:val="18"/>
                <w:lang w:eastAsia="zh-CN" w:bidi="ar-SA"/>
              </w:rPr>
            </w:pPr>
          </w:p>
        </w:tc>
      </w:tr>
      <w:tr w14:paraId="4C565314">
        <w:tblPrEx>
          <w:tblCellMar>
            <w:top w:w="0" w:type="dxa"/>
            <w:left w:w="0" w:type="dxa"/>
            <w:bottom w:w="0" w:type="dxa"/>
            <w:right w:w="0" w:type="dxa"/>
          </w:tblCellMar>
        </w:tblPrEx>
        <w:trPr>
          <w:trHeight w:val="737" w:hRule="atLeast"/>
          <w:jc w:val="center"/>
        </w:trPr>
        <w:tc>
          <w:tcPr>
            <w:tcW w:w="477" w:type="dxa"/>
            <w:vMerge w:val="continue"/>
            <w:tcBorders>
              <w:top w:val="single" w:color="auto" w:sz="4" w:space="0"/>
              <w:left w:val="single" w:color="auto" w:sz="4" w:space="0"/>
              <w:bottom w:val="single" w:color="auto" w:sz="4" w:space="0"/>
              <w:right w:val="single" w:color="auto" w:sz="4" w:space="0"/>
            </w:tcBorders>
            <w:vAlign w:val="center"/>
          </w:tcPr>
          <w:p w14:paraId="4436C7EC">
            <w:pPr>
              <w:pStyle w:val="94"/>
              <w:numPr>
                <w:ilvl w:val="0"/>
                <w:numId w:val="3"/>
              </w:numPr>
              <w:spacing w:line="240" w:lineRule="exact"/>
              <w:jc w:val="center"/>
              <w:rPr>
                <w:rFonts w:hint="eastAsia" w:ascii="宋体" w:hAnsi="宋体"/>
                <w:color w:val="auto"/>
                <w:kern w:val="2"/>
                <w:sz w:val="18"/>
                <w:szCs w:val="18"/>
              </w:rPr>
            </w:pPr>
          </w:p>
        </w:tc>
        <w:tc>
          <w:tcPr>
            <w:tcW w:w="1710" w:type="dxa"/>
            <w:vMerge w:val="continue"/>
            <w:tcBorders>
              <w:top w:val="single" w:color="auto" w:sz="4" w:space="0"/>
              <w:left w:val="nil"/>
              <w:bottom w:val="single" w:color="auto" w:sz="4" w:space="0"/>
              <w:right w:val="single" w:color="auto" w:sz="4" w:space="0"/>
            </w:tcBorders>
            <w:vAlign w:val="center"/>
          </w:tcPr>
          <w:p w14:paraId="04A086B3">
            <w:pPr>
              <w:spacing w:line="240" w:lineRule="exact"/>
              <w:jc w:val="center"/>
              <w:rPr>
                <w:rFonts w:hint="eastAsia" w:ascii="宋体" w:hAnsi="宋体" w:eastAsia="宋体"/>
                <w:color w:val="auto"/>
                <w:kern w:val="2"/>
                <w:sz w:val="18"/>
                <w:szCs w:val="18"/>
                <w:lang w:eastAsia="zh-CN" w:bidi="ar-SA"/>
              </w:rPr>
            </w:pPr>
          </w:p>
        </w:tc>
        <w:tc>
          <w:tcPr>
            <w:tcW w:w="3543" w:type="dxa"/>
            <w:tcBorders>
              <w:top w:val="single" w:color="auto" w:sz="4" w:space="0"/>
              <w:left w:val="nil"/>
              <w:bottom w:val="single" w:color="auto" w:sz="4" w:space="0"/>
              <w:right w:val="single" w:color="auto" w:sz="4" w:space="0"/>
            </w:tcBorders>
            <w:vAlign w:val="center"/>
          </w:tcPr>
          <w:p w14:paraId="1D5C2BF7">
            <w:pPr>
              <w:spacing w:line="240" w:lineRule="exact"/>
              <w:jc w:val="both"/>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3）监理人不按投标文件的承诺配备交通工具</w:t>
            </w:r>
          </w:p>
        </w:tc>
        <w:tc>
          <w:tcPr>
            <w:tcW w:w="990" w:type="dxa"/>
            <w:tcBorders>
              <w:top w:val="single" w:color="auto" w:sz="4" w:space="0"/>
              <w:left w:val="single" w:color="auto" w:sz="4" w:space="0"/>
              <w:bottom w:val="single" w:color="auto" w:sz="4" w:space="0"/>
              <w:right w:val="single" w:color="auto" w:sz="4" w:space="0"/>
            </w:tcBorders>
            <w:vAlign w:val="center"/>
          </w:tcPr>
          <w:p w14:paraId="740F5947">
            <w:pPr>
              <w:spacing w:line="240" w:lineRule="exact"/>
              <w:jc w:val="center"/>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台</w:t>
            </w:r>
          </w:p>
        </w:tc>
        <w:tc>
          <w:tcPr>
            <w:tcW w:w="1904" w:type="dxa"/>
            <w:vMerge w:val="continue"/>
            <w:tcBorders>
              <w:left w:val="single" w:color="auto" w:sz="4" w:space="0"/>
              <w:bottom w:val="single" w:color="auto" w:sz="4" w:space="0"/>
              <w:right w:val="single" w:color="auto" w:sz="4" w:space="0"/>
            </w:tcBorders>
            <w:vAlign w:val="center"/>
          </w:tcPr>
          <w:p w14:paraId="0BE0DBA0">
            <w:pPr>
              <w:spacing w:line="240" w:lineRule="exact"/>
              <w:jc w:val="center"/>
              <w:rPr>
                <w:rFonts w:hint="eastAsia" w:ascii="宋体" w:hAnsi="宋体" w:eastAsia="宋体"/>
                <w:color w:val="auto"/>
                <w:kern w:val="2"/>
                <w:sz w:val="18"/>
                <w:szCs w:val="18"/>
                <w:lang w:eastAsia="zh-CN" w:bidi="ar-SA"/>
              </w:rPr>
            </w:pPr>
          </w:p>
        </w:tc>
      </w:tr>
      <w:tr w14:paraId="21CF41A0">
        <w:tblPrEx>
          <w:tblCellMar>
            <w:top w:w="0" w:type="dxa"/>
            <w:left w:w="0" w:type="dxa"/>
            <w:bottom w:w="0" w:type="dxa"/>
            <w:right w:w="0" w:type="dxa"/>
          </w:tblCellMar>
        </w:tblPrEx>
        <w:trPr>
          <w:trHeight w:val="737" w:hRule="atLeast"/>
          <w:jc w:val="center"/>
        </w:trPr>
        <w:tc>
          <w:tcPr>
            <w:tcW w:w="477" w:type="dxa"/>
            <w:vMerge w:val="continue"/>
            <w:tcBorders>
              <w:top w:val="single" w:color="auto" w:sz="4" w:space="0"/>
              <w:left w:val="single" w:color="auto" w:sz="4" w:space="0"/>
              <w:bottom w:val="single" w:color="auto" w:sz="4" w:space="0"/>
              <w:right w:val="single" w:color="auto" w:sz="4" w:space="0"/>
            </w:tcBorders>
            <w:vAlign w:val="center"/>
          </w:tcPr>
          <w:p w14:paraId="26BE0AD2">
            <w:pPr>
              <w:pStyle w:val="94"/>
              <w:numPr>
                <w:ilvl w:val="0"/>
                <w:numId w:val="3"/>
              </w:numPr>
              <w:spacing w:line="240" w:lineRule="exact"/>
              <w:jc w:val="center"/>
              <w:rPr>
                <w:rFonts w:hint="eastAsia" w:ascii="宋体" w:hAnsi="宋体"/>
                <w:color w:val="auto"/>
                <w:kern w:val="2"/>
                <w:sz w:val="18"/>
                <w:szCs w:val="18"/>
              </w:rPr>
            </w:pPr>
          </w:p>
        </w:tc>
        <w:tc>
          <w:tcPr>
            <w:tcW w:w="1710" w:type="dxa"/>
            <w:vMerge w:val="continue"/>
            <w:tcBorders>
              <w:top w:val="single" w:color="auto" w:sz="4" w:space="0"/>
              <w:left w:val="nil"/>
              <w:bottom w:val="single" w:color="auto" w:sz="4" w:space="0"/>
              <w:right w:val="single" w:color="auto" w:sz="4" w:space="0"/>
            </w:tcBorders>
            <w:vAlign w:val="center"/>
          </w:tcPr>
          <w:p w14:paraId="63B1EAFC">
            <w:pPr>
              <w:spacing w:line="240" w:lineRule="exact"/>
              <w:jc w:val="center"/>
              <w:rPr>
                <w:rFonts w:hint="eastAsia" w:ascii="宋体" w:hAnsi="宋体" w:eastAsia="宋体"/>
                <w:color w:val="auto"/>
                <w:kern w:val="2"/>
                <w:sz w:val="18"/>
                <w:szCs w:val="18"/>
                <w:lang w:eastAsia="zh-CN" w:bidi="ar-SA"/>
              </w:rPr>
            </w:pPr>
          </w:p>
        </w:tc>
        <w:tc>
          <w:tcPr>
            <w:tcW w:w="3543" w:type="dxa"/>
            <w:tcBorders>
              <w:top w:val="single" w:color="auto" w:sz="4" w:space="0"/>
              <w:left w:val="nil"/>
              <w:bottom w:val="single" w:color="auto" w:sz="4" w:space="0"/>
              <w:right w:val="single" w:color="auto" w:sz="4" w:space="0"/>
            </w:tcBorders>
            <w:vAlign w:val="center"/>
          </w:tcPr>
          <w:p w14:paraId="3B90B770">
            <w:pPr>
              <w:spacing w:line="240" w:lineRule="exact"/>
              <w:jc w:val="both"/>
              <w:rPr>
                <w:rFonts w:hint="eastAsia" w:ascii="宋体" w:hAnsi="宋体" w:eastAsia="宋体"/>
                <w:color w:val="auto"/>
                <w:kern w:val="2"/>
                <w:sz w:val="18"/>
                <w:szCs w:val="18"/>
                <w:lang w:eastAsia="zh-CN" w:bidi="ar-SA"/>
              </w:rPr>
            </w:pPr>
            <w:r>
              <w:rPr>
                <w:rFonts w:ascii="宋体" w:hAnsi="宋体" w:eastAsia="宋体"/>
                <w:color w:val="auto"/>
                <w:kern w:val="2"/>
                <w:sz w:val="18"/>
                <w:szCs w:val="18"/>
                <w:lang w:eastAsia="zh-CN" w:bidi="ar-SA"/>
              </w:rPr>
              <w:t>4</w:t>
            </w:r>
            <w:r>
              <w:rPr>
                <w:rFonts w:hint="eastAsia" w:ascii="宋体" w:hAnsi="宋体" w:eastAsia="宋体"/>
                <w:color w:val="auto"/>
                <w:kern w:val="2"/>
                <w:sz w:val="18"/>
                <w:szCs w:val="18"/>
                <w:lang w:eastAsia="zh-CN" w:bidi="ar-SA"/>
              </w:rPr>
              <w:t>）监理人擅自撤离交通工具、办公设备、试验检测仪器</w:t>
            </w:r>
          </w:p>
        </w:tc>
        <w:tc>
          <w:tcPr>
            <w:tcW w:w="990" w:type="dxa"/>
            <w:tcBorders>
              <w:top w:val="single" w:color="auto" w:sz="4" w:space="0"/>
              <w:left w:val="single" w:color="auto" w:sz="4" w:space="0"/>
              <w:bottom w:val="single" w:color="auto" w:sz="4" w:space="0"/>
              <w:right w:val="single" w:color="auto" w:sz="4" w:space="0"/>
            </w:tcBorders>
            <w:vAlign w:val="center"/>
          </w:tcPr>
          <w:p w14:paraId="39DA2120">
            <w:pPr>
              <w:spacing w:line="240" w:lineRule="exact"/>
              <w:jc w:val="center"/>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元/台·天</w:t>
            </w:r>
          </w:p>
        </w:tc>
        <w:tc>
          <w:tcPr>
            <w:tcW w:w="1904" w:type="dxa"/>
            <w:tcBorders>
              <w:top w:val="single" w:color="auto" w:sz="4" w:space="0"/>
              <w:left w:val="single" w:color="auto" w:sz="4" w:space="0"/>
              <w:bottom w:val="single" w:color="auto" w:sz="4" w:space="0"/>
              <w:right w:val="single" w:color="auto" w:sz="4" w:space="0"/>
            </w:tcBorders>
            <w:vAlign w:val="center"/>
          </w:tcPr>
          <w:p w14:paraId="00358F83">
            <w:pPr>
              <w:spacing w:line="240" w:lineRule="exact"/>
              <w:jc w:val="center"/>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100～1000</w:t>
            </w:r>
          </w:p>
        </w:tc>
      </w:tr>
      <w:tr w14:paraId="5CA9AF40">
        <w:tblPrEx>
          <w:tblCellMar>
            <w:top w:w="0" w:type="dxa"/>
            <w:left w:w="0" w:type="dxa"/>
            <w:bottom w:w="0" w:type="dxa"/>
            <w:right w:w="0" w:type="dxa"/>
          </w:tblCellMar>
        </w:tblPrEx>
        <w:trPr>
          <w:trHeight w:val="737" w:hRule="atLeast"/>
          <w:jc w:val="center"/>
        </w:trPr>
        <w:tc>
          <w:tcPr>
            <w:tcW w:w="477" w:type="dxa"/>
            <w:vMerge w:val="restart"/>
            <w:tcBorders>
              <w:top w:val="single" w:color="auto" w:sz="4" w:space="0"/>
              <w:left w:val="single" w:color="auto" w:sz="4" w:space="0"/>
              <w:right w:val="single" w:color="auto" w:sz="4" w:space="0"/>
            </w:tcBorders>
            <w:vAlign w:val="center"/>
          </w:tcPr>
          <w:p w14:paraId="271550F9">
            <w:pPr>
              <w:pStyle w:val="94"/>
              <w:numPr>
                <w:ilvl w:val="0"/>
                <w:numId w:val="3"/>
              </w:numPr>
              <w:spacing w:line="240" w:lineRule="exact"/>
              <w:jc w:val="center"/>
              <w:rPr>
                <w:rFonts w:hint="eastAsia" w:ascii="宋体" w:hAnsi="宋体"/>
                <w:color w:val="auto"/>
                <w:kern w:val="2"/>
                <w:sz w:val="18"/>
                <w:szCs w:val="18"/>
              </w:rPr>
            </w:pPr>
          </w:p>
        </w:tc>
        <w:tc>
          <w:tcPr>
            <w:tcW w:w="1710" w:type="dxa"/>
            <w:vMerge w:val="restart"/>
            <w:tcBorders>
              <w:top w:val="single" w:color="auto" w:sz="4" w:space="0"/>
              <w:left w:val="nil"/>
              <w:right w:val="single" w:color="auto" w:sz="4" w:space="0"/>
            </w:tcBorders>
            <w:vAlign w:val="center"/>
          </w:tcPr>
          <w:p w14:paraId="77D02B02">
            <w:pPr>
              <w:spacing w:line="240" w:lineRule="exact"/>
              <w:jc w:val="center"/>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质量控制</w:t>
            </w:r>
          </w:p>
        </w:tc>
        <w:tc>
          <w:tcPr>
            <w:tcW w:w="3543" w:type="dxa"/>
            <w:tcBorders>
              <w:top w:val="single" w:color="auto" w:sz="4" w:space="0"/>
              <w:left w:val="nil"/>
              <w:bottom w:val="single" w:color="auto" w:sz="4" w:space="0"/>
              <w:right w:val="single" w:color="auto" w:sz="4" w:space="0"/>
            </w:tcBorders>
            <w:vAlign w:val="center"/>
          </w:tcPr>
          <w:p w14:paraId="080EE1AB">
            <w:pPr>
              <w:spacing w:line="240" w:lineRule="exact"/>
              <w:jc w:val="both"/>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1）监理人员与承包人串通，弄虚作假，降低工程质量；或签认不合格的工程、材料、配件和设备</w:t>
            </w:r>
          </w:p>
        </w:tc>
        <w:tc>
          <w:tcPr>
            <w:tcW w:w="990" w:type="dxa"/>
            <w:tcBorders>
              <w:top w:val="single" w:color="auto" w:sz="4" w:space="0"/>
              <w:left w:val="nil"/>
              <w:bottom w:val="single" w:color="auto" w:sz="4" w:space="0"/>
              <w:right w:val="single" w:color="auto" w:sz="4" w:space="0"/>
            </w:tcBorders>
            <w:vAlign w:val="center"/>
          </w:tcPr>
          <w:p w14:paraId="3DF40D00">
            <w:pPr>
              <w:spacing w:line="240" w:lineRule="exact"/>
              <w:jc w:val="center"/>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元/处</w:t>
            </w:r>
          </w:p>
        </w:tc>
        <w:tc>
          <w:tcPr>
            <w:tcW w:w="1904" w:type="dxa"/>
            <w:tcBorders>
              <w:top w:val="single" w:color="auto" w:sz="4" w:space="0"/>
              <w:left w:val="single" w:color="auto" w:sz="4" w:space="0"/>
              <w:bottom w:val="single" w:color="auto" w:sz="4" w:space="0"/>
              <w:right w:val="single" w:color="auto" w:sz="4" w:space="0"/>
            </w:tcBorders>
            <w:vAlign w:val="center"/>
          </w:tcPr>
          <w:p w14:paraId="56A39576">
            <w:pPr>
              <w:spacing w:line="240" w:lineRule="exact"/>
              <w:jc w:val="center"/>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5000～10000</w:t>
            </w:r>
          </w:p>
        </w:tc>
      </w:tr>
      <w:tr w14:paraId="109C9D8F">
        <w:tblPrEx>
          <w:tblCellMar>
            <w:top w:w="0" w:type="dxa"/>
            <w:left w:w="0" w:type="dxa"/>
            <w:bottom w:w="0" w:type="dxa"/>
            <w:right w:w="0" w:type="dxa"/>
          </w:tblCellMar>
        </w:tblPrEx>
        <w:trPr>
          <w:trHeight w:val="642" w:hRule="atLeast"/>
          <w:jc w:val="center"/>
        </w:trPr>
        <w:tc>
          <w:tcPr>
            <w:tcW w:w="477" w:type="dxa"/>
            <w:vMerge w:val="continue"/>
            <w:tcBorders>
              <w:left w:val="single" w:color="auto" w:sz="4" w:space="0"/>
              <w:right w:val="single" w:color="auto" w:sz="4" w:space="0"/>
            </w:tcBorders>
            <w:vAlign w:val="center"/>
          </w:tcPr>
          <w:p w14:paraId="74B50CDA">
            <w:pPr>
              <w:pStyle w:val="94"/>
              <w:numPr>
                <w:ilvl w:val="0"/>
                <w:numId w:val="3"/>
              </w:numPr>
              <w:spacing w:line="240" w:lineRule="exact"/>
              <w:jc w:val="center"/>
              <w:rPr>
                <w:rFonts w:hint="eastAsia" w:ascii="宋体" w:hAnsi="宋体"/>
                <w:color w:val="auto"/>
                <w:kern w:val="2"/>
                <w:sz w:val="18"/>
                <w:szCs w:val="18"/>
              </w:rPr>
            </w:pPr>
          </w:p>
        </w:tc>
        <w:tc>
          <w:tcPr>
            <w:tcW w:w="1710" w:type="dxa"/>
            <w:vMerge w:val="continue"/>
            <w:tcBorders>
              <w:left w:val="nil"/>
              <w:right w:val="single" w:color="auto" w:sz="4" w:space="0"/>
            </w:tcBorders>
            <w:vAlign w:val="center"/>
          </w:tcPr>
          <w:p w14:paraId="60BB08E5">
            <w:pPr>
              <w:spacing w:line="240" w:lineRule="exact"/>
              <w:jc w:val="center"/>
              <w:rPr>
                <w:rFonts w:hint="eastAsia" w:ascii="宋体" w:hAnsi="宋体" w:eastAsia="宋体"/>
                <w:color w:val="auto"/>
                <w:kern w:val="2"/>
                <w:sz w:val="18"/>
                <w:szCs w:val="18"/>
                <w:lang w:eastAsia="zh-CN" w:bidi="ar-SA"/>
              </w:rPr>
            </w:pPr>
          </w:p>
        </w:tc>
        <w:tc>
          <w:tcPr>
            <w:tcW w:w="3543" w:type="dxa"/>
            <w:tcBorders>
              <w:top w:val="nil"/>
              <w:left w:val="nil"/>
              <w:bottom w:val="single" w:color="auto" w:sz="4" w:space="0"/>
              <w:right w:val="single" w:color="auto" w:sz="4" w:space="0"/>
            </w:tcBorders>
            <w:vAlign w:val="center"/>
          </w:tcPr>
          <w:p w14:paraId="02512338">
            <w:pPr>
              <w:spacing w:line="240" w:lineRule="exact"/>
              <w:jc w:val="both"/>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2）监理人所管辖标段出现质量事故，经调查监理人负有责任</w:t>
            </w:r>
          </w:p>
        </w:tc>
        <w:tc>
          <w:tcPr>
            <w:tcW w:w="990" w:type="dxa"/>
            <w:tcBorders>
              <w:top w:val="nil"/>
              <w:left w:val="nil"/>
              <w:bottom w:val="single" w:color="auto" w:sz="4" w:space="0"/>
              <w:right w:val="single" w:color="auto" w:sz="4" w:space="0"/>
            </w:tcBorders>
            <w:vAlign w:val="center"/>
          </w:tcPr>
          <w:p w14:paraId="7DC0CFA4">
            <w:pPr>
              <w:spacing w:line="240" w:lineRule="exact"/>
              <w:jc w:val="center"/>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次</w:t>
            </w:r>
          </w:p>
        </w:tc>
        <w:tc>
          <w:tcPr>
            <w:tcW w:w="1904" w:type="dxa"/>
            <w:tcBorders>
              <w:top w:val="nil"/>
              <w:left w:val="single" w:color="auto" w:sz="4" w:space="0"/>
              <w:bottom w:val="single" w:color="auto" w:sz="4" w:space="0"/>
              <w:right w:val="single" w:color="auto" w:sz="4" w:space="0"/>
            </w:tcBorders>
            <w:vAlign w:val="center"/>
          </w:tcPr>
          <w:p w14:paraId="68EABE8A">
            <w:pPr>
              <w:spacing w:line="240" w:lineRule="exact"/>
              <w:jc w:val="center"/>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1</w:t>
            </w:r>
            <w:r>
              <w:rPr>
                <w:rFonts w:ascii="宋体" w:hAnsi="宋体" w:eastAsia="宋体"/>
                <w:color w:val="auto"/>
                <w:kern w:val="2"/>
                <w:sz w:val="18"/>
                <w:szCs w:val="18"/>
                <w:lang w:eastAsia="zh-CN" w:bidi="ar-SA"/>
              </w:rPr>
              <w:t>0000</w:t>
            </w:r>
            <w:r>
              <w:rPr>
                <w:rFonts w:hint="eastAsia" w:ascii="宋体" w:hAnsi="宋体" w:eastAsia="宋体"/>
                <w:color w:val="auto"/>
                <w:kern w:val="2"/>
                <w:sz w:val="18"/>
                <w:szCs w:val="18"/>
                <w:lang w:eastAsia="zh-CN" w:bidi="ar-SA"/>
              </w:rPr>
              <w:t>～50000</w:t>
            </w:r>
          </w:p>
        </w:tc>
      </w:tr>
      <w:tr w14:paraId="2DB055B1">
        <w:tblPrEx>
          <w:tblCellMar>
            <w:top w:w="0" w:type="dxa"/>
            <w:left w:w="0" w:type="dxa"/>
            <w:bottom w:w="0" w:type="dxa"/>
            <w:right w:w="0" w:type="dxa"/>
          </w:tblCellMar>
        </w:tblPrEx>
        <w:trPr>
          <w:trHeight w:val="893" w:hRule="atLeast"/>
          <w:jc w:val="center"/>
        </w:trPr>
        <w:tc>
          <w:tcPr>
            <w:tcW w:w="477" w:type="dxa"/>
            <w:vMerge w:val="continue"/>
            <w:tcBorders>
              <w:left w:val="single" w:color="auto" w:sz="4" w:space="0"/>
              <w:right w:val="single" w:color="auto" w:sz="4" w:space="0"/>
            </w:tcBorders>
            <w:vAlign w:val="center"/>
          </w:tcPr>
          <w:p w14:paraId="6355403A">
            <w:pPr>
              <w:pStyle w:val="94"/>
              <w:numPr>
                <w:ilvl w:val="0"/>
                <w:numId w:val="3"/>
              </w:numPr>
              <w:spacing w:line="240" w:lineRule="exact"/>
              <w:jc w:val="center"/>
              <w:rPr>
                <w:rFonts w:hint="eastAsia" w:ascii="宋体" w:hAnsi="宋体"/>
                <w:color w:val="auto"/>
                <w:kern w:val="2"/>
                <w:sz w:val="18"/>
                <w:szCs w:val="18"/>
              </w:rPr>
            </w:pPr>
          </w:p>
        </w:tc>
        <w:tc>
          <w:tcPr>
            <w:tcW w:w="1710" w:type="dxa"/>
            <w:vMerge w:val="continue"/>
            <w:tcBorders>
              <w:left w:val="nil"/>
              <w:right w:val="single" w:color="auto" w:sz="4" w:space="0"/>
            </w:tcBorders>
            <w:vAlign w:val="center"/>
          </w:tcPr>
          <w:p w14:paraId="588DE3A2">
            <w:pPr>
              <w:spacing w:line="240" w:lineRule="exact"/>
              <w:jc w:val="center"/>
              <w:rPr>
                <w:rFonts w:hint="eastAsia" w:ascii="宋体" w:hAnsi="宋体" w:eastAsia="宋体"/>
                <w:color w:val="auto"/>
                <w:kern w:val="2"/>
                <w:sz w:val="18"/>
                <w:szCs w:val="18"/>
                <w:lang w:eastAsia="zh-CN" w:bidi="ar-SA"/>
              </w:rPr>
            </w:pPr>
          </w:p>
        </w:tc>
        <w:tc>
          <w:tcPr>
            <w:tcW w:w="3543" w:type="dxa"/>
            <w:tcBorders>
              <w:top w:val="nil"/>
              <w:left w:val="nil"/>
              <w:bottom w:val="single" w:color="auto" w:sz="4" w:space="0"/>
              <w:right w:val="single" w:color="auto" w:sz="4" w:space="0"/>
            </w:tcBorders>
            <w:vAlign w:val="center"/>
          </w:tcPr>
          <w:p w14:paraId="5662B3A3">
            <w:pPr>
              <w:spacing w:line="240" w:lineRule="exact"/>
              <w:jc w:val="both"/>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3）监理人所管辖标段出现质量问题（含永久性外观质量缺陷），经调查监理人员不作为，监理人负有责任</w:t>
            </w:r>
          </w:p>
        </w:tc>
        <w:tc>
          <w:tcPr>
            <w:tcW w:w="990" w:type="dxa"/>
            <w:tcBorders>
              <w:top w:val="nil"/>
              <w:left w:val="nil"/>
              <w:bottom w:val="single" w:color="auto" w:sz="4" w:space="0"/>
              <w:right w:val="single" w:color="auto" w:sz="4" w:space="0"/>
            </w:tcBorders>
            <w:vAlign w:val="center"/>
          </w:tcPr>
          <w:p w14:paraId="239262BC">
            <w:pPr>
              <w:spacing w:line="240" w:lineRule="exact"/>
              <w:jc w:val="center"/>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元/处</w:t>
            </w:r>
          </w:p>
        </w:tc>
        <w:tc>
          <w:tcPr>
            <w:tcW w:w="1904" w:type="dxa"/>
            <w:tcBorders>
              <w:top w:val="nil"/>
              <w:left w:val="single" w:color="auto" w:sz="4" w:space="0"/>
              <w:bottom w:val="single" w:color="auto" w:sz="4" w:space="0"/>
              <w:right w:val="single" w:color="auto" w:sz="4" w:space="0"/>
            </w:tcBorders>
            <w:vAlign w:val="center"/>
          </w:tcPr>
          <w:p w14:paraId="41E29D10">
            <w:pPr>
              <w:spacing w:line="240" w:lineRule="exact"/>
              <w:jc w:val="center"/>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1000～</w:t>
            </w:r>
            <w:r>
              <w:rPr>
                <w:rFonts w:ascii="宋体" w:hAnsi="宋体" w:eastAsia="宋体"/>
                <w:color w:val="auto"/>
                <w:kern w:val="2"/>
                <w:sz w:val="18"/>
                <w:szCs w:val="18"/>
                <w:lang w:eastAsia="zh-CN" w:bidi="ar-SA"/>
              </w:rPr>
              <w:t>1</w:t>
            </w:r>
            <w:r>
              <w:rPr>
                <w:rFonts w:hint="eastAsia" w:ascii="宋体" w:hAnsi="宋体" w:eastAsia="宋体"/>
                <w:color w:val="auto"/>
                <w:kern w:val="2"/>
                <w:sz w:val="18"/>
                <w:szCs w:val="18"/>
                <w:lang w:eastAsia="zh-CN" w:bidi="ar-SA"/>
              </w:rPr>
              <w:t>0000</w:t>
            </w:r>
          </w:p>
        </w:tc>
      </w:tr>
      <w:tr w14:paraId="57EF6B6E">
        <w:tblPrEx>
          <w:tblCellMar>
            <w:top w:w="0" w:type="dxa"/>
            <w:left w:w="0" w:type="dxa"/>
            <w:bottom w:w="0" w:type="dxa"/>
            <w:right w:w="0" w:type="dxa"/>
          </w:tblCellMar>
        </w:tblPrEx>
        <w:trPr>
          <w:trHeight w:val="851" w:hRule="atLeast"/>
          <w:jc w:val="center"/>
        </w:trPr>
        <w:tc>
          <w:tcPr>
            <w:tcW w:w="477" w:type="dxa"/>
            <w:vMerge w:val="continue"/>
            <w:tcBorders>
              <w:left w:val="single" w:color="auto" w:sz="4" w:space="0"/>
              <w:right w:val="single" w:color="auto" w:sz="4" w:space="0"/>
            </w:tcBorders>
            <w:vAlign w:val="center"/>
          </w:tcPr>
          <w:p w14:paraId="60D429D6">
            <w:pPr>
              <w:pStyle w:val="94"/>
              <w:numPr>
                <w:ilvl w:val="0"/>
                <w:numId w:val="3"/>
              </w:numPr>
              <w:spacing w:line="240" w:lineRule="exact"/>
              <w:jc w:val="center"/>
              <w:rPr>
                <w:rFonts w:hint="eastAsia" w:ascii="宋体" w:hAnsi="宋体"/>
                <w:color w:val="auto"/>
                <w:kern w:val="2"/>
                <w:sz w:val="18"/>
                <w:szCs w:val="18"/>
              </w:rPr>
            </w:pPr>
          </w:p>
        </w:tc>
        <w:tc>
          <w:tcPr>
            <w:tcW w:w="1710" w:type="dxa"/>
            <w:vMerge w:val="continue"/>
            <w:tcBorders>
              <w:left w:val="nil"/>
              <w:right w:val="single" w:color="auto" w:sz="4" w:space="0"/>
            </w:tcBorders>
            <w:vAlign w:val="center"/>
          </w:tcPr>
          <w:p w14:paraId="4655DBF8">
            <w:pPr>
              <w:spacing w:line="240" w:lineRule="exact"/>
              <w:jc w:val="center"/>
              <w:rPr>
                <w:rFonts w:hint="eastAsia" w:ascii="宋体" w:hAnsi="宋体" w:eastAsia="宋体"/>
                <w:color w:val="auto"/>
                <w:kern w:val="2"/>
                <w:sz w:val="18"/>
                <w:szCs w:val="18"/>
                <w:lang w:eastAsia="zh-CN" w:bidi="ar-SA"/>
              </w:rPr>
            </w:pPr>
          </w:p>
        </w:tc>
        <w:tc>
          <w:tcPr>
            <w:tcW w:w="3543" w:type="dxa"/>
            <w:tcBorders>
              <w:top w:val="nil"/>
              <w:left w:val="nil"/>
              <w:bottom w:val="single" w:color="auto" w:sz="4" w:space="0"/>
              <w:right w:val="single" w:color="auto" w:sz="4" w:space="0"/>
            </w:tcBorders>
            <w:vAlign w:val="center"/>
          </w:tcPr>
          <w:p w14:paraId="66E4A224">
            <w:pPr>
              <w:spacing w:line="240" w:lineRule="exact"/>
              <w:jc w:val="both"/>
              <w:rPr>
                <w:rFonts w:eastAsia="宋体"/>
                <w:color w:val="auto"/>
                <w:kern w:val="2"/>
                <w:sz w:val="18"/>
                <w:szCs w:val="18"/>
                <w:lang w:eastAsia="zh-CN" w:bidi="ar-SA"/>
              </w:rPr>
            </w:pPr>
            <w:r>
              <w:rPr>
                <w:rFonts w:ascii="宋体" w:hAnsi="宋体" w:eastAsia="宋体"/>
                <w:color w:val="auto"/>
                <w:kern w:val="2"/>
                <w:sz w:val="18"/>
                <w:szCs w:val="18"/>
                <w:lang w:eastAsia="zh-CN" w:bidi="ar-SA"/>
              </w:rPr>
              <w:t>4</w:t>
            </w:r>
            <w:r>
              <w:rPr>
                <w:rFonts w:hint="eastAsia" w:ascii="宋体" w:hAnsi="宋体" w:eastAsia="宋体"/>
                <w:color w:val="auto"/>
                <w:kern w:val="2"/>
                <w:sz w:val="18"/>
                <w:szCs w:val="18"/>
                <w:lang w:eastAsia="zh-CN" w:bidi="ar-SA"/>
              </w:rPr>
              <w:t>）施工期间监理人在关键工程或工程重要部位未按规定进行旁站，或监理人在接到承包人施工旁站项目的通知后未能及时到场</w:t>
            </w:r>
          </w:p>
        </w:tc>
        <w:tc>
          <w:tcPr>
            <w:tcW w:w="990" w:type="dxa"/>
            <w:tcBorders>
              <w:top w:val="nil"/>
              <w:left w:val="nil"/>
              <w:bottom w:val="single" w:color="auto" w:sz="4" w:space="0"/>
              <w:right w:val="single" w:color="auto" w:sz="4" w:space="0"/>
            </w:tcBorders>
            <w:vAlign w:val="center"/>
          </w:tcPr>
          <w:p w14:paraId="6C2D323E">
            <w:pPr>
              <w:spacing w:line="240" w:lineRule="exact"/>
              <w:jc w:val="center"/>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元/人·次</w:t>
            </w:r>
          </w:p>
        </w:tc>
        <w:tc>
          <w:tcPr>
            <w:tcW w:w="1904" w:type="dxa"/>
            <w:tcBorders>
              <w:top w:val="nil"/>
              <w:left w:val="single" w:color="auto" w:sz="4" w:space="0"/>
              <w:bottom w:val="single" w:color="auto" w:sz="4" w:space="0"/>
              <w:right w:val="single" w:color="auto" w:sz="4" w:space="0"/>
            </w:tcBorders>
            <w:vAlign w:val="center"/>
          </w:tcPr>
          <w:p w14:paraId="1CED5555">
            <w:pPr>
              <w:spacing w:line="240" w:lineRule="exact"/>
              <w:jc w:val="center"/>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1000</w:t>
            </w:r>
          </w:p>
        </w:tc>
      </w:tr>
      <w:tr w14:paraId="4CC81FE2">
        <w:tblPrEx>
          <w:tblCellMar>
            <w:top w:w="0" w:type="dxa"/>
            <w:left w:w="0" w:type="dxa"/>
            <w:bottom w:w="0" w:type="dxa"/>
            <w:right w:w="0" w:type="dxa"/>
          </w:tblCellMar>
        </w:tblPrEx>
        <w:trPr>
          <w:trHeight w:val="663" w:hRule="atLeast"/>
          <w:jc w:val="center"/>
        </w:trPr>
        <w:tc>
          <w:tcPr>
            <w:tcW w:w="477" w:type="dxa"/>
            <w:vMerge w:val="continue"/>
            <w:tcBorders>
              <w:left w:val="single" w:color="auto" w:sz="4" w:space="0"/>
              <w:right w:val="single" w:color="auto" w:sz="4" w:space="0"/>
            </w:tcBorders>
            <w:vAlign w:val="center"/>
          </w:tcPr>
          <w:p w14:paraId="16F934BA">
            <w:pPr>
              <w:pStyle w:val="94"/>
              <w:numPr>
                <w:ilvl w:val="0"/>
                <w:numId w:val="3"/>
              </w:numPr>
              <w:spacing w:line="240" w:lineRule="exact"/>
              <w:jc w:val="center"/>
              <w:rPr>
                <w:rFonts w:hint="eastAsia" w:ascii="宋体" w:hAnsi="宋体"/>
                <w:color w:val="auto"/>
                <w:kern w:val="2"/>
                <w:sz w:val="18"/>
                <w:szCs w:val="18"/>
              </w:rPr>
            </w:pPr>
          </w:p>
        </w:tc>
        <w:tc>
          <w:tcPr>
            <w:tcW w:w="1710" w:type="dxa"/>
            <w:vMerge w:val="continue"/>
            <w:tcBorders>
              <w:left w:val="nil"/>
              <w:right w:val="single" w:color="auto" w:sz="4" w:space="0"/>
            </w:tcBorders>
            <w:vAlign w:val="center"/>
          </w:tcPr>
          <w:p w14:paraId="71688E45">
            <w:pPr>
              <w:spacing w:line="240" w:lineRule="exact"/>
              <w:jc w:val="center"/>
              <w:rPr>
                <w:rFonts w:hint="eastAsia" w:ascii="宋体" w:hAnsi="宋体" w:eastAsia="宋体"/>
                <w:color w:val="auto"/>
                <w:kern w:val="2"/>
                <w:sz w:val="18"/>
                <w:szCs w:val="18"/>
                <w:lang w:eastAsia="zh-CN" w:bidi="ar-SA"/>
              </w:rPr>
            </w:pPr>
          </w:p>
        </w:tc>
        <w:tc>
          <w:tcPr>
            <w:tcW w:w="3543" w:type="dxa"/>
            <w:tcBorders>
              <w:top w:val="nil"/>
              <w:left w:val="nil"/>
              <w:bottom w:val="single" w:color="auto" w:sz="4" w:space="0"/>
              <w:right w:val="single" w:color="auto" w:sz="4" w:space="0"/>
            </w:tcBorders>
            <w:vAlign w:val="center"/>
          </w:tcPr>
          <w:p w14:paraId="5326F0F0">
            <w:pPr>
              <w:spacing w:line="240" w:lineRule="exact"/>
              <w:jc w:val="both"/>
              <w:rPr>
                <w:rFonts w:hint="eastAsia" w:ascii="宋体" w:hAnsi="宋体" w:eastAsia="宋体"/>
                <w:color w:val="auto"/>
                <w:kern w:val="2"/>
                <w:sz w:val="18"/>
                <w:szCs w:val="18"/>
                <w:lang w:eastAsia="zh-CN" w:bidi="ar-SA"/>
              </w:rPr>
            </w:pPr>
            <w:r>
              <w:rPr>
                <w:rFonts w:ascii="宋体" w:hAnsi="宋体" w:eastAsia="宋体"/>
                <w:color w:val="auto"/>
                <w:kern w:val="2"/>
                <w:sz w:val="18"/>
                <w:szCs w:val="18"/>
                <w:lang w:eastAsia="zh-CN" w:bidi="ar-SA"/>
              </w:rPr>
              <w:t>5</w:t>
            </w:r>
            <w:r>
              <w:rPr>
                <w:rFonts w:hint="eastAsia" w:ascii="宋体" w:hAnsi="宋体" w:eastAsia="宋体"/>
                <w:color w:val="auto"/>
                <w:kern w:val="2"/>
                <w:sz w:val="18"/>
                <w:szCs w:val="18"/>
                <w:lang w:eastAsia="zh-CN" w:bidi="ar-SA"/>
              </w:rPr>
              <w:t>）委托人检查中发现承包人违规施工，监理人员未及时制止的</w:t>
            </w:r>
          </w:p>
        </w:tc>
        <w:tc>
          <w:tcPr>
            <w:tcW w:w="990" w:type="dxa"/>
            <w:tcBorders>
              <w:top w:val="nil"/>
              <w:left w:val="nil"/>
              <w:bottom w:val="single" w:color="auto" w:sz="4" w:space="0"/>
              <w:right w:val="single" w:color="auto" w:sz="4" w:space="0"/>
            </w:tcBorders>
            <w:vAlign w:val="center"/>
          </w:tcPr>
          <w:p w14:paraId="17F61B67">
            <w:pPr>
              <w:spacing w:line="240" w:lineRule="exact"/>
              <w:jc w:val="center"/>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元/处</w:t>
            </w:r>
          </w:p>
        </w:tc>
        <w:tc>
          <w:tcPr>
            <w:tcW w:w="1904" w:type="dxa"/>
            <w:tcBorders>
              <w:top w:val="nil"/>
              <w:left w:val="single" w:color="auto" w:sz="4" w:space="0"/>
              <w:bottom w:val="single" w:color="auto" w:sz="4" w:space="0"/>
              <w:right w:val="single" w:color="auto" w:sz="4" w:space="0"/>
            </w:tcBorders>
            <w:vAlign w:val="center"/>
          </w:tcPr>
          <w:p w14:paraId="57860DB1">
            <w:pPr>
              <w:spacing w:line="240" w:lineRule="exact"/>
              <w:jc w:val="center"/>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500～5000</w:t>
            </w:r>
          </w:p>
        </w:tc>
      </w:tr>
      <w:tr w14:paraId="44CA4AAA">
        <w:tblPrEx>
          <w:tblCellMar>
            <w:top w:w="0" w:type="dxa"/>
            <w:left w:w="0" w:type="dxa"/>
            <w:bottom w:w="0" w:type="dxa"/>
            <w:right w:w="0" w:type="dxa"/>
          </w:tblCellMar>
        </w:tblPrEx>
        <w:trPr>
          <w:trHeight w:val="843" w:hRule="atLeast"/>
          <w:jc w:val="center"/>
        </w:trPr>
        <w:tc>
          <w:tcPr>
            <w:tcW w:w="477" w:type="dxa"/>
            <w:vMerge w:val="continue"/>
            <w:tcBorders>
              <w:left w:val="single" w:color="auto" w:sz="4" w:space="0"/>
              <w:bottom w:val="single" w:color="auto" w:sz="4" w:space="0"/>
              <w:right w:val="single" w:color="auto" w:sz="4" w:space="0"/>
            </w:tcBorders>
            <w:vAlign w:val="center"/>
          </w:tcPr>
          <w:p w14:paraId="347C001D">
            <w:pPr>
              <w:pStyle w:val="94"/>
              <w:numPr>
                <w:ilvl w:val="0"/>
                <w:numId w:val="3"/>
              </w:numPr>
              <w:spacing w:line="240" w:lineRule="exact"/>
              <w:jc w:val="center"/>
              <w:rPr>
                <w:rFonts w:hint="eastAsia" w:ascii="宋体" w:hAnsi="宋体"/>
                <w:color w:val="auto"/>
                <w:kern w:val="2"/>
                <w:sz w:val="18"/>
                <w:szCs w:val="18"/>
              </w:rPr>
            </w:pPr>
          </w:p>
        </w:tc>
        <w:tc>
          <w:tcPr>
            <w:tcW w:w="1710" w:type="dxa"/>
            <w:vMerge w:val="continue"/>
            <w:tcBorders>
              <w:left w:val="nil"/>
              <w:bottom w:val="single" w:color="auto" w:sz="4" w:space="0"/>
              <w:right w:val="single" w:color="auto" w:sz="4" w:space="0"/>
            </w:tcBorders>
            <w:vAlign w:val="center"/>
          </w:tcPr>
          <w:p w14:paraId="141D184D">
            <w:pPr>
              <w:spacing w:line="240" w:lineRule="exact"/>
              <w:jc w:val="center"/>
              <w:rPr>
                <w:rFonts w:hint="eastAsia" w:ascii="宋体" w:hAnsi="宋体" w:eastAsia="宋体"/>
                <w:color w:val="auto"/>
                <w:kern w:val="2"/>
                <w:sz w:val="18"/>
                <w:szCs w:val="18"/>
                <w:lang w:eastAsia="zh-CN" w:bidi="ar-SA"/>
              </w:rPr>
            </w:pPr>
          </w:p>
        </w:tc>
        <w:tc>
          <w:tcPr>
            <w:tcW w:w="3543" w:type="dxa"/>
            <w:tcBorders>
              <w:top w:val="nil"/>
              <w:left w:val="nil"/>
              <w:bottom w:val="single" w:color="auto" w:sz="4" w:space="0"/>
              <w:right w:val="single" w:color="auto" w:sz="4" w:space="0"/>
            </w:tcBorders>
            <w:vAlign w:val="center"/>
          </w:tcPr>
          <w:p w14:paraId="3B3A0B8E">
            <w:pPr>
              <w:spacing w:line="240" w:lineRule="exact"/>
              <w:jc w:val="both"/>
              <w:rPr>
                <w:rFonts w:hint="eastAsia" w:ascii="宋体" w:hAnsi="宋体" w:eastAsia="宋体"/>
                <w:color w:val="auto"/>
                <w:kern w:val="2"/>
                <w:sz w:val="18"/>
                <w:szCs w:val="18"/>
                <w:lang w:eastAsia="zh-CN" w:bidi="ar-SA"/>
              </w:rPr>
            </w:pPr>
            <w:r>
              <w:rPr>
                <w:rFonts w:ascii="宋体" w:hAnsi="宋体" w:eastAsia="宋体"/>
                <w:color w:val="auto"/>
                <w:kern w:val="2"/>
                <w:sz w:val="18"/>
                <w:szCs w:val="18"/>
                <w:lang w:eastAsia="zh-CN" w:bidi="ar-SA"/>
              </w:rPr>
              <w:t>6</w:t>
            </w:r>
            <w:r>
              <w:rPr>
                <w:rFonts w:hint="eastAsia" w:ascii="宋体" w:hAnsi="宋体" w:eastAsia="宋体"/>
                <w:color w:val="auto"/>
                <w:kern w:val="2"/>
                <w:sz w:val="18"/>
                <w:szCs w:val="18"/>
                <w:lang w:eastAsia="zh-CN" w:bidi="ar-SA"/>
              </w:rPr>
              <w:t>）质量监督机构或上级单位检查中发现工程质量不合格或违规施工并已通报，监理人负有监理不到位责任的</w:t>
            </w:r>
          </w:p>
        </w:tc>
        <w:tc>
          <w:tcPr>
            <w:tcW w:w="990" w:type="dxa"/>
            <w:tcBorders>
              <w:top w:val="nil"/>
              <w:left w:val="nil"/>
              <w:bottom w:val="single" w:color="auto" w:sz="4" w:space="0"/>
              <w:right w:val="single" w:color="auto" w:sz="4" w:space="0"/>
            </w:tcBorders>
            <w:vAlign w:val="center"/>
          </w:tcPr>
          <w:p w14:paraId="3CDA084C">
            <w:pPr>
              <w:spacing w:line="240" w:lineRule="exact"/>
              <w:jc w:val="center"/>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元/处</w:t>
            </w:r>
          </w:p>
        </w:tc>
        <w:tc>
          <w:tcPr>
            <w:tcW w:w="1904" w:type="dxa"/>
            <w:tcBorders>
              <w:top w:val="nil"/>
              <w:left w:val="single" w:color="auto" w:sz="4" w:space="0"/>
              <w:bottom w:val="single" w:color="auto" w:sz="4" w:space="0"/>
              <w:right w:val="single" w:color="auto" w:sz="4" w:space="0"/>
            </w:tcBorders>
            <w:vAlign w:val="center"/>
          </w:tcPr>
          <w:p w14:paraId="137D30EA">
            <w:pPr>
              <w:spacing w:line="240" w:lineRule="exact"/>
              <w:jc w:val="center"/>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2000～10000</w:t>
            </w:r>
          </w:p>
        </w:tc>
      </w:tr>
      <w:tr w14:paraId="48D8B0D1">
        <w:tblPrEx>
          <w:tblCellMar>
            <w:top w:w="0" w:type="dxa"/>
            <w:left w:w="0" w:type="dxa"/>
            <w:bottom w:w="0" w:type="dxa"/>
            <w:right w:w="0" w:type="dxa"/>
          </w:tblCellMar>
        </w:tblPrEx>
        <w:trPr>
          <w:trHeight w:val="737" w:hRule="atLeast"/>
          <w:jc w:val="center"/>
        </w:trPr>
        <w:tc>
          <w:tcPr>
            <w:tcW w:w="477" w:type="dxa"/>
            <w:vMerge w:val="restart"/>
            <w:tcBorders>
              <w:top w:val="single" w:color="auto" w:sz="4" w:space="0"/>
              <w:left w:val="single" w:color="auto" w:sz="4" w:space="0"/>
              <w:right w:val="single" w:color="auto" w:sz="4" w:space="0"/>
            </w:tcBorders>
            <w:vAlign w:val="center"/>
          </w:tcPr>
          <w:p w14:paraId="1F9F2471">
            <w:pPr>
              <w:pStyle w:val="94"/>
              <w:numPr>
                <w:ilvl w:val="0"/>
                <w:numId w:val="3"/>
              </w:numPr>
              <w:spacing w:line="240" w:lineRule="exact"/>
              <w:jc w:val="center"/>
              <w:rPr>
                <w:rFonts w:hint="eastAsia" w:ascii="宋体" w:hAnsi="宋体"/>
                <w:color w:val="auto"/>
                <w:kern w:val="2"/>
                <w:sz w:val="18"/>
                <w:szCs w:val="18"/>
              </w:rPr>
            </w:pPr>
          </w:p>
        </w:tc>
        <w:tc>
          <w:tcPr>
            <w:tcW w:w="1710" w:type="dxa"/>
            <w:vMerge w:val="restart"/>
            <w:tcBorders>
              <w:top w:val="single" w:color="auto" w:sz="4" w:space="0"/>
              <w:left w:val="single" w:color="auto" w:sz="4" w:space="0"/>
              <w:right w:val="single" w:color="auto" w:sz="4" w:space="0"/>
            </w:tcBorders>
            <w:vAlign w:val="center"/>
          </w:tcPr>
          <w:p w14:paraId="3745BDDF">
            <w:pPr>
              <w:spacing w:line="240" w:lineRule="exact"/>
              <w:jc w:val="center"/>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进度控制</w:t>
            </w:r>
          </w:p>
        </w:tc>
        <w:tc>
          <w:tcPr>
            <w:tcW w:w="3543" w:type="dxa"/>
            <w:tcBorders>
              <w:top w:val="single" w:color="auto" w:sz="4" w:space="0"/>
              <w:left w:val="nil"/>
              <w:bottom w:val="single" w:color="auto" w:sz="4" w:space="0"/>
              <w:right w:val="single" w:color="auto" w:sz="4" w:space="0"/>
            </w:tcBorders>
            <w:vAlign w:val="center"/>
          </w:tcPr>
          <w:p w14:paraId="0991DE0B">
            <w:pPr>
              <w:spacing w:line="240" w:lineRule="exact"/>
              <w:jc w:val="both"/>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1）监理人所管辖标段月度进度未完成，监理人负有进度控制不到位责任的</w:t>
            </w:r>
          </w:p>
        </w:tc>
        <w:tc>
          <w:tcPr>
            <w:tcW w:w="990" w:type="dxa"/>
            <w:tcBorders>
              <w:top w:val="single" w:color="auto" w:sz="4" w:space="0"/>
              <w:left w:val="nil"/>
              <w:bottom w:val="single" w:color="auto" w:sz="4" w:space="0"/>
              <w:right w:val="single" w:color="auto" w:sz="4" w:space="0"/>
            </w:tcBorders>
            <w:vAlign w:val="center"/>
          </w:tcPr>
          <w:p w14:paraId="3C001128">
            <w:pPr>
              <w:spacing w:line="240" w:lineRule="exact"/>
              <w:jc w:val="center"/>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元/次·</w:t>
            </w:r>
          </w:p>
          <w:p w14:paraId="699EF81B">
            <w:pPr>
              <w:spacing w:line="240" w:lineRule="exact"/>
              <w:jc w:val="center"/>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标段</w:t>
            </w:r>
          </w:p>
        </w:tc>
        <w:tc>
          <w:tcPr>
            <w:tcW w:w="1904" w:type="dxa"/>
            <w:tcBorders>
              <w:top w:val="single" w:color="auto" w:sz="4" w:space="0"/>
              <w:left w:val="single" w:color="auto" w:sz="4" w:space="0"/>
              <w:bottom w:val="single" w:color="auto" w:sz="4" w:space="0"/>
              <w:right w:val="single" w:color="auto" w:sz="4" w:space="0"/>
            </w:tcBorders>
            <w:vAlign w:val="center"/>
          </w:tcPr>
          <w:p w14:paraId="12A11614">
            <w:pPr>
              <w:spacing w:line="240" w:lineRule="exact"/>
              <w:jc w:val="center"/>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1000～3000</w:t>
            </w:r>
          </w:p>
        </w:tc>
      </w:tr>
      <w:tr w14:paraId="4A50FBEA">
        <w:tblPrEx>
          <w:tblCellMar>
            <w:top w:w="0" w:type="dxa"/>
            <w:left w:w="0" w:type="dxa"/>
            <w:bottom w:w="0" w:type="dxa"/>
            <w:right w:w="0" w:type="dxa"/>
          </w:tblCellMar>
        </w:tblPrEx>
        <w:trPr>
          <w:trHeight w:val="737" w:hRule="atLeast"/>
          <w:jc w:val="center"/>
        </w:trPr>
        <w:tc>
          <w:tcPr>
            <w:tcW w:w="477" w:type="dxa"/>
            <w:vMerge w:val="continue"/>
            <w:tcBorders>
              <w:top w:val="single" w:color="auto" w:sz="4" w:space="0"/>
              <w:left w:val="single" w:color="auto" w:sz="4" w:space="0"/>
              <w:right w:val="single" w:color="auto" w:sz="4" w:space="0"/>
            </w:tcBorders>
            <w:vAlign w:val="center"/>
          </w:tcPr>
          <w:p w14:paraId="3C041A91">
            <w:pPr>
              <w:pStyle w:val="94"/>
              <w:numPr>
                <w:ilvl w:val="0"/>
                <w:numId w:val="3"/>
              </w:numPr>
              <w:spacing w:line="240" w:lineRule="exact"/>
              <w:jc w:val="center"/>
              <w:rPr>
                <w:rFonts w:hint="eastAsia" w:ascii="宋体" w:hAnsi="宋体"/>
                <w:color w:val="auto"/>
                <w:kern w:val="2"/>
                <w:sz w:val="18"/>
                <w:szCs w:val="18"/>
              </w:rPr>
            </w:pPr>
          </w:p>
        </w:tc>
        <w:tc>
          <w:tcPr>
            <w:tcW w:w="1710" w:type="dxa"/>
            <w:vMerge w:val="continue"/>
            <w:tcBorders>
              <w:top w:val="single" w:color="auto" w:sz="4" w:space="0"/>
              <w:left w:val="single" w:color="auto" w:sz="4" w:space="0"/>
              <w:right w:val="single" w:color="auto" w:sz="4" w:space="0"/>
            </w:tcBorders>
            <w:vAlign w:val="center"/>
          </w:tcPr>
          <w:p w14:paraId="047C01F3">
            <w:pPr>
              <w:spacing w:line="240" w:lineRule="exact"/>
              <w:jc w:val="center"/>
              <w:rPr>
                <w:rFonts w:hint="eastAsia" w:ascii="宋体" w:hAnsi="宋体" w:eastAsia="宋体"/>
                <w:color w:val="auto"/>
                <w:kern w:val="2"/>
                <w:sz w:val="18"/>
                <w:szCs w:val="18"/>
                <w:lang w:eastAsia="zh-CN" w:bidi="ar-SA"/>
              </w:rPr>
            </w:pPr>
          </w:p>
        </w:tc>
        <w:tc>
          <w:tcPr>
            <w:tcW w:w="3543" w:type="dxa"/>
            <w:tcBorders>
              <w:top w:val="single" w:color="auto" w:sz="4" w:space="0"/>
              <w:left w:val="nil"/>
              <w:bottom w:val="single" w:color="auto" w:sz="4" w:space="0"/>
              <w:right w:val="single" w:color="auto" w:sz="4" w:space="0"/>
            </w:tcBorders>
            <w:vAlign w:val="center"/>
          </w:tcPr>
          <w:p w14:paraId="24636F84">
            <w:pPr>
              <w:spacing w:line="240" w:lineRule="exact"/>
              <w:jc w:val="both"/>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2）监理人所管辖标段季度进度未完成，监理人负有进度控制不到位责任的</w:t>
            </w:r>
          </w:p>
        </w:tc>
        <w:tc>
          <w:tcPr>
            <w:tcW w:w="990" w:type="dxa"/>
            <w:tcBorders>
              <w:top w:val="single" w:color="auto" w:sz="4" w:space="0"/>
              <w:left w:val="nil"/>
              <w:bottom w:val="single" w:color="auto" w:sz="4" w:space="0"/>
              <w:right w:val="single" w:color="auto" w:sz="4" w:space="0"/>
            </w:tcBorders>
            <w:vAlign w:val="center"/>
          </w:tcPr>
          <w:p w14:paraId="15B9E330">
            <w:pPr>
              <w:spacing w:line="240" w:lineRule="exact"/>
              <w:jc w:val="center"/>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元/次·</w:t>
            </w:r>
          </w:p>
          <w:p w14:paraId="174D5FD0">
            <w:pPr>
              <w:spacing w:line="240" w:lineRule="exact"/>
              <w:jc w:val="center"/>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标段</w:t>
            </w:r>
          </w:p>
        </w:tc>
        <w:tc>
          <w:tcPr>
            <w:tcW w:w="1904" w:type="dxa"/>
            <w:tcBorders>
              <w:top w:val="single" w:color="auto" w:sz="4" w:space="0"/>
              <w:left w:val="single" w:color="auto" w:sz="4" w:space="0"/>
              <w:bottom w:val="single" w:color="auto" w:sz="4" w:space="0"/>
              <w:right w:val="single" w:color="auto" w:sz="4" w:space="0"/>
            </w:tcBorders>
            <w:vAlign w:val="center"/>
          </w:tcPr>
          <w:p w14:paraId="0E616AF5">
            <w:pPr>
              <w:spacing w:line="240" w:lineRule="exact"/>
              <w:jc w:val="center"/>
              <w:rPr>
                <w:rFonts w:hint="eastAsia" w:ascii="宋体" w:hAnsi="宋体" w:eastAsia="宋体"/>
                <w:color w:val="auto"/>
                <w:kern w:val="2"/>
                <w:sz w:val="18"/>
                <w:szCs w:val="18"/>
                <w:lang w:eastAsia="zh-CN" w:bidi="ar-SA"/>
              </w:rPr>
            </w:pPr>
            <w:r>
              <w:rPr>
                <w:rFonts w:ascii="宋体" w:hAnsi="宋体" w:eastAsia="宋体"/>
                <w:color w:val="auto"/>
                <w:kern w:val="2"/>
                <w:sz w:val="18"/>
                <w:szCs w:val="18"/>
                <w:lang w:eastAsia="zh-CN" w:bidi="ar-SA"/>
              </w:rPr>
              <w:t>3</w:t>
            </w:r>
            <w:r>
              <w:rPr>
                <w:rFonts w:hint="eastAsia" w:ascii="宋体" w:hAnsi="宋体" w:eastAsia="宋体"/>
                <w:color w:val="auto"/>
                <w:kern w:val="2"/>
                <w:sz w:val="18"/>
                <w:szCs w:val="18"/>
                <w:lang w:eastAsia="zh-CN" w:bidi="ar-SA"/>
              </w:rPr>
              <w:t>000～5000</w:t>
            </w:r>
          </w:p>
        </w:tc>
      </w:tr>
      <w:tr w14:paraId="2ABFF7EE">
        <w:tblPrEx>
          <w:tblCellMar>
            <w:top w:w="0" w:type="dxa"/>
            <w:left w:w="0" w:type="dxa"/>
            <w:bottom w:w="0" w:type="dxa"/>
            <w:right w:w="0" w:type="dxa"/>
          </w:tblCellMar>
        </w:tblPrEx>
        <w:trPr>
          <w:trHeight w:val="737" w:hRule="atLeast"/>
          <w:jc w:val="center"/>
        </w:trPr>
        <w:tc>
          <w:tcPr>
            <w:tcW w:w="477" w:type="dxa"/>
            <w:vMerge w:val="continue"/>
            <w:tcBorders>
              <w:top w:val="single" w:color="auto" w:sz="4" w:space="0"/>
              <w:left w:val="single" w:color="auto" w:sz="4" w:space="0"/>
              <w:right w:val="single" w:color="auto" w:sz="4" w:space="0"/>
            </w:tcBorders>
            <w:vAlign w:val="center"/>
          </w:tcPr>
          <w:p w14:paraId="1FDD21B7">
            <w:pPr>
              <w:pStyle w:val="94"/>
              <w:numPr>
                <w:ilvl w:val="0"/>
                <w:numId w:val="3"/>
              </w:numPr>
              <w:spacing w:line="240" w:lineRule="exact"/>
              <w:jc w:val="center"/>
              <w:rPr>
                <w:rFonts w:hint="eastAsia" w:ascii="宋体" w:hAnsi="宋体"/>
                <w:color w:val="auto"/>
                <w:kern w:val="2"/>
                <w:sz w:val="18"/>
                <w:szCs w:val="18"/>
              </w:rPr>
            </w:pPr>
          </w:p>
        </w:tc>
        <w:tc>
          <w:tcPr>
            <w:tcW w:w="1710" w:type="dxa"/>
            <w:vMerge w:val="continue"/>
            <w:tcBorders>
              <w:top w:val="single" w:color="auto" w:sz="4" w:space="0"/>
              <w:left w:val="single" w:color="auto" w:sz="4" w:space="0"/>
              <w:right w:val="single" w:color="auto" w:sz="4" w:space="0"/>
            </w:tcBorders>
            <w:vAlign w:val="center"/>
          </w:tcPr>
          <w:p w14:paraId="01633DEE">
            <w:pPr>
              <w:spacing w:line="240" w:lineRule="exact"/>
              <w:jc w:val="center"/>
              <w:rPr>
                <w:rFonts w:hint="eastAsia" w:ascii="宋体" w:hAnsi="宋体" w:eastAsia="宋体"/>
                <w:color w:val="auto"/>
                <w:kern w:val="2"/>
                <w:sz w:val="18"/>
                <w:szCs w:val="18"/>
                <w:lang w:eastAsia="zh-CN" w:bidi="ar-SA"/>
              </w:rPr>
            </w:pPr>
          </w:p>
        </w:tc>
        <w:tc>
          <w:tcPr>
            <w:tcW w:w="3543" w:type="dxa"/>
            <w:tcBorders>
              <w:top w:val="single" w:color="auto" w:sz="4" w:space="0"/>
              <w:left w:val="nil"/>
              <w:bottom w:val="single" w:color="auto" w:sz="4" w:space="0"/>
              <w:right w:val="single" w:color="auto" w:sz="4" w:space="0"/>
            </w:tcBorders>
            <w:vAlign w:val="center"/>
          </w:tcPr>
          <w:p w14:paraId="574B7BC5">
            <w:pPr>
              <w:spacing w:line="240" w:lineRule="exact"/>
              <w:jc w:val="both"/>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3）监理人所管辖标段阶段或年度进度未完成，监理人负有进度控制不到位责任的</w:t>
            </w:r>
          </w:p>
        </w:tc>
        <w:tc>
          <w:tcPr>
            <w:tcW w:w="990" w:type="dxa"/>
            <w:tcBorders>
              <w:top w:val="single" w:color="auto" w:sz="4" w:space="0"/>
              <w:left w:val="nil"/>
              <w:bottom w:val="single" w:color="auto" w:sz="4" w:space="0"/>
              <w:right w:val="single" w:color="auto" w:sz="4" w:space="0"/>
            </w:tcBorders>
            <w:vAlign w:val="center"/>
          </w:tcPr>
          <w:p w14:paraId="05D82A22">
            <w:pPr>
              <w:spacing w:line="240" w:lineRule="exact"/>
              <w:jc w:val="center"/>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元/次·</w:t>
            </w:r>
          </w:p>
          <w:p w14:paraId="50D51911">
            <w:pPr>
              <w:spacing w:line="240" w:lineRule="exact"/>
              <w:jc w:val="center"/>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标段</w:t>
            </w:r>
          </w:p>
        </w:tc>
        <w:tc>
          <w:tcPr>
            <w:tcW w:w="1904" w:type="dxa"/>
            <w:tcBorders>
              <w:top w:val="single" w:color="auto" w:sz="4" w:space="0"/>
              <w:left w:val="single" w:color="auto" w:sz="4" w:space="0"/>
              <w:bottom w:val="single" w:color="auto" w:sz="4" w:space="0"/>
              <w:right w:val="single" w:color="auto" w:sz="4" w:space="0"/>
            </w:tcBorders>
            <w:vAlign w:val="center"/>
          </w:tcPr>
          <w:p w14:paraId="1A2F7C4B">
            <w:pPr>
              <w:spacing w:line="240" w:lineRule="exact"/>
              <w:jc w:val="center"/>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5000～10000</w:t>
            </w:r>
          </w:p>
        </w:tc>
      </w:tr>
      <w:tr w14:paraId="5441C481">
        <w:tblPrEx>
          <w:tblCellMar>
            <w:top w:w="0" w:type="dxa"/>
            <w:left w:w="0" w:type="dxa"/>
            <w:bottom w:w="0" w:type="dxa"/>
            <w:right w:w="0" w:type="dxa"/>
          </w:tblCellMar>
        </w:tblPrEx>
        <w:trPr>
          <w:trHeight w:val="568" w:hRule="atLeast"/>
          <w:jc w:val="center"/>
        </w:trPr>
        <w:tc>
          <w:tcPr>
            <w:tcW w:w="477" w:type="dxa"/>
            <w:vMerge w:val="continue"/>
            <w:tcBorders>
              <w:left w:val="single" w:color="auto" w:sz="4" w:space="0"/>
              <w:right w:val="single" w:color="auto" w:sz="4" w:space="0"/>
            </w:tcBorders>
            <w:vAlign w:val="center"/>
          </w:tcPr>
          <w:p w14:paraId="21971F28">
            <w:pPr>
              <w:pStyle w:val="94"/>
              <w:numPr>
                <w:ilvl w:val="0"/>
                <w:numId w:val="3"/>
              </w:numPr>
              <w:spacing w:line="240" w:lineRule="exact"/>
              <w:jc w:val="center"/>
              <w:rPr>
                <w:rFonts w:hint="eastAsia" w:ascii="宋体" w:hAnsi="宋体"/>
                <w:color w:val="auto"/>
                <w:kern w:val="2"/>
                <w:sz w:val="18"/>
                <w:szCs w:val="18"/>
              </w:rPr>
            </w:pPr>
          </w:p>
        </w:tc>
        <w:tc>
          <w:tcPr>
            <w:tcW w:w="1710" w:type="dxa"/>
            <w:vMerge w:val="continue"/>
            <w:tcBorders>
              <w:left w:val="single" w:color="auto" w:sz="4" w:space="0"/>
              <w:right w:val="single" w:color="auto" w:sz="4" w:space="0"/>
            </w:tcBorders>
            <w:vAlign w:val="center"/>
          </w:tcPr>
          <w:p w14:paraId="3D931620">
            <w:pPr>
              <w:spacing w:line="240" w:lineRule="exact"/>
              <w:jc w:val="center"/>
              <w:rPr>
                <w:rFonts w:hint="eastAsia" w:ascii="宋体" w:hAnsi="宋体" w:eastAsia="宋体"/>
                <w:color w:val="auto"/>
                <w:kern w:val="2"/>
                <w:sz w:val="18"/>
                <w:szCs w:val="18"/>
                <w:lang w:eastAsia="zh-CN" w:bidi="ar-SA"/>
              </w:rPr>
            </w:pPr>
          </w:p>
        </w:tc>
        <w:tc>
          <w:tcPr>
            <w:tcW w:w="3543" w:type="dxa"/>
            <w:tcBorders>
              <w:top w:val="nil"/>
              <w:left w:val="nil"/>
              <w:bottom w:val="single" w:color="auto" w:sz="4" w:space="0"/>
              <w:right w:val="single" w:color="auto" w:sz="4" w:space="0"/>
            </w:tcBorders>
            <w:vAlign w:val="center"/>
          </w:tcPr>
          <w:p w14:paraId="4EC4A63C">
            <w:pPr>
              <w:spacing w:line="240" w:lineRule="exact"/>
              <w:jc w:val="both"/>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4）监理人对承包人进度报表审核不严，与事实不符或上报不及时</w:t>
            </w:r>
          </w:p>
        </w:tc>
        <w:tc>
          <w:tcPr>
            <w:tcW w:w="990" w:type="dxa"/>
            <w:tcBorders>
              <w:top w:val="nil"/>
              <w:left w:val="nil"/>
              <w:bottom w:val="single" w:color="auto" w:sz="4" w:space="0"/>
              <w:right w:val="single" w:color="auto" w:sz="4" w:space="0"/>
            </w:tcBorders>
            <w:vAlign w:val="center"/>
          </w:tcPr>
          <w:p w14:paraId="692A391D">
            <w:pPr>
              <w:spacing w:line="240" w:lineRule="exact"/>
              <w:jc w:val="center"/>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元/次·</w:t>
            </w:r>
          </w:p>
          <w:p w14:paraId="13DE0E44">
            <w:pPr>
              <w:spacing w:line="240" w:lineRule="exact"/>
              <w:jc w:val="center"/>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标段</w:t>
            </w:r>
          </w:p>
        </w:tc>
        <w:tc>
          <w:tcPr>
            <w:tcW w:w="1904" w:type="dxa"/>
            <w:tcBorders>
              <w:top w:val="nil"/>
              <w:left w:val="single" w:color="auto" w:sz="4" w:space="0"/>
              <w:bottom w:val="single" w:color="auto" w:sz="4" w:space="0"/>
              <w:right w:val="single" w:color="auto" w:sz="4" w:space="0"/>
            </w:tcBorders>
            <w:vAlign w:val="center"/>
          </w:tcPr>
          <w:p w14:paraId="48D5FC6D">
            <w:pPr>
              <w:spacing w:line="240" w:lineRule="exact"/>
              <w:jc w:val="center"/>
              <w:rPr>
                <w:rFonts w:hint="eastAsia" w:ascii="宋体" w:hAnsi="宋体" w:eastAsia="宋体"/>
                <w:color w:val="auto"/>
                <w:kern w:val="2"/>
                <w:sz w:val="18"/>
                <w:szCs w:val="18"/>
                <w:lang w:eastAsia="zh-CN" w:bidi="ar-SA"/>
              </w:rPr>
            </w:pPr>
            <w:r>
              <w:rPr>
                <w:rFonts w:ascii="宋体" w:hAnsi="宋体" w:eastAsia="宋体"/>
                <w:color w:val="auto"/>
                <w:kern w:val="2"/>
                <w:sz w:val="18"/>
                <w:szCs w:val="18"/>
                <w:lang w:eastAsia="zh-CN" w:bidi="ar-SA"/>
              </w:rPr>
              <w:t>1000</w:t>
            </w:r>
            <w:r>
              <w:rPr>
                <w:rFonts w:hint="eastAsia" w:ascii="宋体" w:hAnsi="宋体" w:eastAsia="宋体"/>
                <w:color w:val="auto"/>
                <w:kern w:val="2"/>
                <w:sz w:val="18"/>
                <w:szCs w:val="18"/>
                <w:lang w:eastAsia="zh-CN" w:bidi="ar-SA"/>
              </w:rPr>
              <w:t>～</w:t>
            </w:r>
            <w:r>
              <w:rPr>
                <w:rFonts w:ascii="宋体" w:hAnsi="宋体" w:eastAsia="宋体"/>
                <w:color w:val="auto"/>
                <w:kern w:val="2"/>
                <w:sz w:val="18"/>
                <w:szCs w:val="18"/>
                <w:lang w:eastAsia="zh-CN" w:bidi="ar-SA"/>
              </w:rPr>
              <w:t>2</w:t>
            </w:r>
            <w:r>
              <w:rPr>
                <w:rFonts w:hint="eastAsia" w:ascii="宋体" w:hAnsi="宋体" w:eastAsia="宋体"/>
                <w:color w:val="auto"/>
                <w:kern w:val="2"/>
                <w:sz w:val="18"/>
                <w:szCs w:val="18"/>
                <w:lang w:eastAsia="zh-CN" w:bidi="ar-SA"/>
              </w:rPr>
              <w:t>000</w:t>
            </w:r>
          </w:p>
        </w:tc>
      </w:tr>
      <w:tr w14:paraId="2320C948">
        <w:tblPrEx>
          <w:tblCellMar>
            <w:top w:w="0" w:type="dxa"/>
            <w:left w:w="0" w:type="dxa"/>
            <w:bottom w:w="0" w:type="dxa"/>
            <w:right w:w="0" w:type="dxa"/>
          </w:tblCellMar>
        </w:tblPrEx>
        <w:trPr>
          <w:trHeight w:val="677" w:hRule="atLeast"/>
          <w:jc w:val="center"/>
        </w:trPr>
        <w:tc>
          <w:tcPr>
            <w:tcW w:w="477" w:type="dxa"/>
            <w:vMerge w:val="restart"/>
            <w:tcBorders>
              <w:top w:val="single" w:color="auto" w:sz="4" w:space="0"/>
              <w:left w:val="single" w:color="auto" w:sz="4" w:space="0"/>
              <w:bottom w:val="single" w:color="auto" w:sz="4" w:space="0"/>
              <w:right w:val="single" w:color="auto" w:sz="4" w:space="0"/>
            </w:tcBorders>
            <w:vAlign w:val="center"/>
          </w:tcPr>
          <w:p w14:paraId="7A1C59B5">
            <w:pPr>
              <w:pStyle w:val="94"/>
              <w:numPr>
                <w:ilvl w:val="0"/>
                <w:numId w:val="3"/>
              </w:numPr>
              <w:spacing w:line="240" w:lineRule="exact"/>
              <w:jc w:val="center"/>
              <w:rPr>
                <w:rFonts w:hint="eastAsia" w:ascii="宋体" w:hAnsi="宋体"/>
                <w:color w:val="auto"/>
                <w:kern w:val="2"/>
                <w:sz w:val="18"/>
                <w:szCs w:val="18"/>
              </w:rPr>
            </w:pPr>
          </w:p>
        </w:tc>
        <w:tc>
          <w:tcPr>
            <w:tcW w:w="1710" w:type="dxa"/>
            <w:vMerge w:val="restart"/>
            <w:tcBorders>
              <w:top w:val="single" w:color="auto" w:sz="4" w:space="0"/>
              <w:left w:val="nil"/>
              <w:bottom w:val="single" w:color="auto" w:sz="4" w:space="0"/>
              <w:right w:val="single" w:color="auto" w:sz="4" w:space="0"/>
            </w:tcBorders>
            <w:vAlign w:val="center"/>
          </w:tcPr>
          <w:p w14:paraId="2CAA7495">
            <w:pPr>
              <w:spacing w:line="240" w:lineRule="exact"/>
              <w:jc w:val="center"/>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费用控制</w:t>
            </w:r>
          </w:p>
        </w:tc>
        <w:tc>
          <w:tcPr>
            <w:tcW w:w="3543" w:type="dxa"/>
            <w:tcBorders>
              <w:top w:val="nil"/>
              <w:left w:val="nil"/>
              <w:bottom w:val="single" w:color="auto" w:sz="4" w:space="0"/>
              <w:right w:val="single" w:color="auto" w:sz="4" w:space="0"/>
            </w:tcBorders>
            <w:vAlign w:val="center"/>
          </w:tcPr>
          <w:p w14:paraId="22474D79">
            <w:pPr>
              <w:spacing w:line="240" w:lineRule="exact"/>
              <w:jc w:val="both"/>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1）监理人对工程计量和费用支付的审核结果出现偏差、错计、漏计、重计</w:t>
            </w:r>
          </w:p>
        </w:tc>
        <w:tc>
          <w:tcPr>
            <w:tcW w:w="990" w:type="dxa"/>
            <w:tcBorders>
              <w:top w:val="nil"/>
              <w:left w:val="nil"/>
              <w:bottom w:val="single" w:color="auto" w:sz="4" w:space="0"/>
              <w:right w:val="single" w:color="auto" w:sz="4" w:space="0"/>
            </w:tcBorders>
            <w:vAlign w:val="center"/>
          </w:tcPr>
          <w:p w14:paraId="2473F087">
            <w:pPr>
              <w:spacing w:line="240" w:lineRule="exact"/>
              <w:jc w:val="center"/>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元/次</w:t>
            </w:r>
          </w:p>
        </w:tc>
        <w:tc>
          <w:tcPr>
            <w:tcW w:w="1904" w:type="dxa"/>
            <w:tcBorders>
              <w:top w:val="nil"/>
              <w:left w:val="single" w:color="auto" w:sz="4" w:space="0"/>
              <w:bottom w:val="single" w:color="auto" w:sz="4" w:space="0"/>
              <w:right w:val="single" w:color="auto" w:sz="4" w:space="0"/>
            </w:tcBorders>
            <w:vAlign w:val="center"/>
          </w:tcPr>
          <w:p w14:paraId="0EDF2F28">
            <w:pPr>
              <w:spacing w:line="240" w:lineRule="exact"/>
              <w:jc w:val="center"/>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500～5000</w:t>
            </w:r>
          </w:p>
        </w:tc>
      </w:tr>
      <w:tr w14:paraId="13C0AE3F">
        <w:tblPrEx>
          <w:tblCellMar>
            <w:top w:w="0" w:type="dxa"/>
            <w:left w:w="0" w:type="dxa"/>
            <w:bottom w:w="0" w:type="dxa"/>
            <w:right w:w="0" w:type="dxa"/>
          </w:tblCellMar>
        </w:tblPrEx>
        <w:trPr>
          <w:trHeight w:val="737" w:hRule="atLeast"/>
          <w:jc w:val="center"/>
        </w:trPr>
        <w:tc>
          <w:tcPr>
            <w:tcW w:w="477" w:type="dxa"/>
            <w:vMerge w:val="continue"/>
            <w:tcBorders>
              <w:left w:val="single" w:color="auto" w:sz="4" w:space="0"/>
              <w:bottom w:val="single" w:color="auto" w:sz="4" w:space="0"/>
              <w:right w:val="single" w:color="auto" w:sz="4" w:space="0"/>
            </w:tcBorders>
            <w:vAlign w:val="center"/>
          </w:tcPr>
          <w:p w14:paraId="3BD68807">
            <w:pPr>
              <w:pStyle w:val="94"/>
              <w:numPr>
                <w:ilvl w:val="0"/>
                <w:numId w:val="3"/>
              </w:numPr>
              <w:spacing w:line="240" w:lineRule="exact"/>
              <w:jc w:val="center"/>
              <w:rPr>
                <w:rFonts w:hint="eastAsia" w:ascii="宋体" w:hAnsi="宋体"/>
                <w:color w:val="auto"/>
                <w:kern w:val="2"/>
                <w:sz w:val="18"/>
                <w:szCs w:val="18"/>
              </w:rPr>
            </w:pPr>
          </w:p>
        </w:tc>
        <w:tc>
          <w:tcPr>
            <w:tcW w:w="1710" w:type="dxa"/>
            <w:vMerge w:val="continue"/>
            <w:tcBorders>
              <w:left w:val="nil"/>
              <w:bottom w:val="single" w:color="auto" w:sz="4" w:space="0"/>
              <w:right w:val="single" w:color="auto" w:sz="4" w:space="0"/>
            </w:tcBorders>
            <w:vAlign w:val="center"/>
          </w:tcPr>
          <w:p w14:paraId="302D4937">
            <w:pPr>
              <w:spacing w:line="240" w:lineRule="exact"/>
              <w:jc w:val="center"/>
              <w:rPr>
                <w:rFonts w:hint="eastAsia" w:ascii="宋体" w:hAnsi="宋体" w:eastAsia="宋体"/>
                <w:color w:val="auto"/>
                <w:kern w:val="2"/>
                <w:sz w:val="18"/>
                <w:szCs w:val="18"/>
                <w:lang w:eastAsia="zh-CN" w:bidi="ar-SA"/>
              </w:rPr>
            </w:pPr>
          </w:p>
        </w:tc>
        <w:tc>
          <w:tcPr>
            <w:tcW w:w="3543" w:type="dxa"/>
            <w:tcBorders>
              <w:top w:val="nil"/>
              <w:left w:val="nil"/>
              <w:bottom w:val="single" w:color="auto" w:sz="4" w:space="0"/>
              <w:right w:val="single" w:color="auto" w:sz="4" w:space="0"/>
            </w:tcBorders>
            <w:vAlign w:val="center"/>
          </w:tcPr>
          <w:p w14:paraId="545E8032">
            <w:pPr>
              <w:spacing w:line="240" w:lineRule="exact"/>
              <w:jc w:val="both"/>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2）监理人员在变更工作中签认工程量与实际严重不符</w:t>
            </w:r>
          </w:p>
        </w:tc>
        <w:tc>
          <w:tcPr>
            <w:tcW w:w="990" w:type="dxa"/>
            <w:tcBorders>
              <w:top w:val="nil"/>
              <w:left w:val="nil"/>
              <w:bottom w:val="single" w:color="auto" w:sz="4" w:space="0"/>
              <w:right w:val="single" w:color="auto" w:sz="4" w:space="0"/>
            </w:tcBorders>
            <w:vAlign w:val="center"/>
          </w:tcPr>
          <w:p w14:paraId="4868E75D">
            <w:pPr>
              <w:spacing w:line="240" w:lineRule="exact"/>
              <w:jc w:val="center"/>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元/次</w:t>
            </w:r>
          </w:p>
        </w:tc>
        <w:tc>
          <w:tcPr>
            <w:tcW w:w="1904" w:type="dxa"/>
            <w:tcBorders>
              <w:top w:val="nil"/>
              <w:left w:val="single" w:color="auto" w:sz="4" w:space="0"/>
              <w:bottom w:val="single" w:color="auto" w:sz="4" w:space="0"/>
              <w:right w:val="single" w:color="auto" w:sz="4" w:space="0"/>
            </w:tcBorders>
            <w:vAlign w:val="center"/>
          </w:tcPr>
          <w:p w14:paraId="7B80B585">
            <w:pPr>
              <w:spacing w:line="240" w:lineRule="exact"/>
              <w:jc w:val="center"/>
              <w:rPr>
                <w:rFonts w:hint="eastAsia" w:ascii="宋体" w:hAnsi="宋体" w:eastAsia="宋体"/>
                <w:color w:val="auto"/>
                <w:kern w:val="2"/>
                <w:sz w:val="18"/>
                <w:szCs w:val="18"/>
                <w:lang w:eastAsia="zh-CN" w:bidi="ar-SA"/>
              </w:rPr>
            </w:pPr>
            <w:r>
              <w:rPr>
                <w:rFonts w:ascii="宋体" w:hAnsi="宋体" w:eastAsia="宋体"/>
                <w:color w:val="auto"/>
                <w:kern w:val="2"/>
                <w:sz w:val="18"/>
                <w:szCs w:val="18"/>
                <w:lang w:eastAsia="zh-CN" w:bidi="ar-SA"/>
              </w:rPr>
              <w:t>5</w:t>
            </w:r>
            <w:r>
              <w:rPr>
                <w:rFonts w:hint="eastAsia" w:ascii="宋体" w:hAnsi="宋体" w:eastAsia="宋体"/>
                <w:color w:val="auto"/>
                <w:kern w:val="2"/>
                <w:sz w:val="18"/>
                <w:szCs w:val="18"/>
                <w:lang w:eastAsia="zh-CN" w:bidi="ar-SA"/>
              </w:rPr>
              <w:t>000～</w:t>
            </w:r>
            <w:r>
              <w:rPr>
                <w:rFonts w:ascii="宋体" w:hAnsi="宋体" w:eastAsia="宋体"/>
                <w:color w:val="auto"/>
                <w:kern w:val="2"/>
                <w:sz w:val="18"/>
                <w:szCs w:val="18"/>
                <w:lang w:eastAsia="zh-CN" w:bidi="ar-SA"/>
              </w:rPr>
              <w:t>2</w:t>
            </w:r>
            <w:r>
              <w:rPr>
                <w:rFonts w:hint="eastAsia" w:ascii="宋体" w:hAnsi="宋体" w:eastAsia="宋体"/>
                <w:color w:val="auto"/>
                <w:kern w:val="2"/>
                <w:sz w:val="18"/>
                <w:szCs w:val="18"/>
                <w:lang w:eastAsia="zh-CN" w:bidi="ar-SA"/>
              </w:rPr>
              <w:t>0000</w:t>
            </w:r>
          </w:p>
        </w:tc>
      </w:tr>
      <w:tr w14:paraId="38C4FF6C">
        <w:tblPrEx>
          <w:tblCellMar>
            <w:top w:w="0" w:type="dxa"/>
            <w:left w:w="0" w:type="dxa"/>
            <w:bottom w:w="0" w:type="dxa"/>
            <w:right w:w="0" w:type="dxa"/>
          </w:tblCellMar>
        </w:tblPrEx>
        <w:trPr>
          <w:trHeight w:val="737" w:hRule="atLeast"/>
          <w:jc w:val="center"/>
        </w:trPr>
        <w:tc>
          <w:tcPr>
            <w:tcW w:w="477" w:type="dxa"/>
            <w:vMerge w:val="restart"/>
            <w:tcBorders>
              <w:top w:val="single" w:color="auto" w:sz="4" w:space="0"/>
              <w:left w:val="single" w:color="auto" w:sz="4" w:space="0"/>
              <w:bottom w:val="single" w:color="auto" w:sz="4" w:space="0"/>
              <w:right w:val="single" w:color="auto" w:sz="4" w:space="0"/>
            </w:tcBorders>
            <w:vAlign w:val="center"/>
          </w:tcPr>
          <w:p w14:paraId="61E97556">
            <w:pPr>
              <w:pStyle w:val="94"/>
              <w:numPr>
                <w:ilvl w:val="0"/>
                <w:numId w:val="3"/>
              </w:numPr>
              <w:spacing w:line="240" w:lineRule="exact"/>
              <w:jc w:val="center"/>
              <w:rPr>
                <w:rFonts w:hint="eastAsia" w:ascii="宋体" w:hAnsi="宋体"/>
                <w:color w:val="auto"/>
                <w:kern w:val="2"/>
                <w:sz w:val="18"/>
                <w:szCs w:val="18"/>
              </w:rPr>
            </w:pPr>
          </w:p>
        </w:tc>
        <w:tc>
          <w:tcPr>
            <w:tcW w:w="1710" w:type="dxa"/>
            <w:vMerge w:val="restart"/>
            <w:tcBorders>
              <w:top w:val="single" w:color="auto" w:sz="4" w:space="0"/>
              <w:left w:val="nil"/>
              <w:bottom w:val="single" w:color="auto" w:sz="4" w:space="0"/>
              <w:right w:val="single" w:color="auto" w:sz="4" w:space="0"/>
            </w:tcBorders>
            <w:vAlign w:val="center"/>
          </w:tcPr>
          <w:p w14:paraId="544744E6">
            <w:pPr>
              <w:spacing w:line="240" w:lineRule="exact"/>
              <w:jc w:val="center"/>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内业资料</w:t>
            </w:r>
          </w:p>
        </w:tc>
        <w:tc>
          <w:tcPr>
            <w:tcW w:w="3543" w:type="dxa"/>
            <w:tcBorders>
              <w:top w:val="nil"/>
              <w:left w:val="nil"/>
              <w:bottom w:val="single" w:color="auto" w:sz="4" w:space="0"/>
              <w:right w:val="single" w:color="auto" w:sz="4" w:space="0"/>
            </w:tcBorders>
            <w:vAlign w:val="center"/>
          </w:tcPr>
          <w:p w14:paraId="4D2B1188">
            <w:pPr>
              <w:spacing w:line="240" w:lineRule="exact"/>
              <w:jc w:val="both"/>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1）监理人内业资料不完整、不齐全；或归档不及时、分类不准确</w:t>
            </w:r>
          </w:p>
        </w:tc>
        <w:tc>
          <w:tcPr>
            <w:tcW w:w="990" w:type="dxa"/>
            <w:tcBorders>
              <w:top w:val="nil"/>
              <w:left w:val="nil"/>
              <w:bottom w:val="single" w:color="auto" w:sz="4" w:space="0"/>
              <w:right w:val="single" w:color="auto" w:sz="4" w:space="0"/>
            </w:tcBorders>
            <w:vAlign w:val="center"/>
          </w:tcPr>
          <w:p w14:paraId="084C706B">
            <w:pPr>
              <w:spacing w:line="240" w:lineRule="exact"/>
              <w:jc w:val="center"/>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元/次</w:t>
            </w:r>
          </w:p>
        </w:tc>
        <w:tc>
          <w:tcPr>
            <w:tcW w:w="1904" w:type="dxa"/>
            <w:tcBorders>
              <w:top w:val="nil"/>
              <w:left w:val="single" w:color="auto" w:sz="4" w:space="0"/>
              <w:bottom w:val="single" w:color="auto" w:sz="4" w:space="0"/>
              <w:right w:val="single" w:color="auto" w:sz="4" w:space="0"/>
            </w:tcBorders>
            <w:vAlign w:val="center"/>
          </w:tcPr>
          <w:p w14:paraId="77815C75">
            <w:pPr>
              <w:spacing w:line="240" w:lineRule="exact"/>
              <w:jc w:val="center"/>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1000～5000</w:t>
            </w:r>
          </w:p>
        </w:tc>
      </w:tr>
      <w:tr w14:paraId="73E77A39">
        <w:tblPrEx>
          <w:tblCellMar>
            <w:top w:w="0" w:type="dxa"/>
            <w:left w:w="0" w:type="dxa"/>
            <w:bottom w:w="0" w:type="dxa"/>
            <w:right w:w="0" w:type="dxa"/>
          </w:tblCellMar>
        </w:tblPrEx>
        <w:trPr>
          <w:trHeight w:val="495" w:hRule="atLeast"/>
          <w:jc w:val="center"/>
        </w:trPr>
        <w:tc>
          <w:tcPr>
            <w:tcW w:w="477" w:type="dxa"/>
            <w:vMerge w:val="continue"/>
            <w:tcBorders>
              <w:top w:val="single" w:color="auto" w:sz="4" w:space="0"/>
              <w:left w:val="single" w:color="auto" w:sz="4" w:space="0"/>
              <w:bottom w:val="single" w:color="auto" w:sz="4" w:space="0"/>
              <w:right w:val="single" w:color="auto" w:sz="4" w:space="0"/>
            </w:tcBorders>
            <w:vAlign w:val="center"/>
          </w:tcPr>
          <w:p w14:paraId="7887A314">
            <w:pPr>
              <w:pStyle w:val="94"/>
              <w:numPr>
                <w:ilvl w:val="0"/>
                <w:numId w:val="3"/>
              </w:numPr>
              <w:spacing w:line="240" w:lineRule="exact"/>
              <w:jc w:val="center"/>
              <w:rPr>
                <w:rFonts w:hint="eastAsia" w:ascii="宋体" w:hAnsi="宋体"/>
                <w:color w:val="auto"/>
                <w:kern w:val="2"/>
                <w:sz w:val="18"/>
                <w:szCs w:val="18"/>
              </w:rPr>
            </w:pPr>
          </w:p>
        </w:tc>
        <w:tc>
          <w:tcPr>
            <w:tcW w:w="1710" w:type="dxa"/>
            <w:vMerge w:val="continue"/>
            <w:tcBorders>
              <w:top w:val="single" w:color="auto" w:sz="4" w:space="0"/>
              <w:left w:val="nil"/>
              <w:bottom w:val="single" w:color="auto" w:sz="4" w:space="0"/>
              <w:right w:val="single" w:color="auto" w:sz="4" w:space="0"/>
            </w:tcBorders>
            <w:vAlign w:val="center"/>
          </w:tcPr>
          <w:p w14:paraId="06883619">
            <w:pPr>
              <w:spacing w:line="240" w:lineRule="exact"/>
              <w:jc w:val="center"/>
              <w:rPr>
                <w:rFonts w:hint="eastAsia" w:ascii="宋体" w:hAnsi="宋体" w:eastAsia="宋体"/>
                <w:color w:val="auto"/>
                <w:kern w:val="2"/>
                <w:sz w:val="18"/>
                <w:szCs w:val="18"/>
                <w:lang w:eastAsia="zh-CN" w:bidi="ar-SA"/>
              </w:rPr>
            </w:pPr>
          </w:p>
        </w:tc>
        <w:tc>
          <w:tcPr>
            <w:tcW w:w="3543" w:type="dxa"/>
            <w:tcBorders>
              <w:top w:val="nil"/>
              <w:left w:val="nil"/>
              <w:bottom w:val="single" w:color="auto" w:sz="4" w:space="0"/>
              <w:right w:val="single" w:color="auto" w:sz="4" w:space="0"/>
            </w:tcBorders>
            <w:vAlign w:val="center"/>
          </w:tcPr>
          <w:p w14:paraId="32900C10">
            <w:pPr>
              <w:spacing w:line="240" w:lineRule="exact"/>
              <w:jc w:val="both"/>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2）监理人内业资料签字不规范</w:t>
            </w:r>
          </w:p>
        </w:tc>
        <w:tc>
          <w:tcPr>
            <w:tcW w:w="990" w:type="dxa"/>
            <w:tcBorders>
              <w:top w:val="nil"/>
              <w:left w:val="nil"/>
              <w:bottom w:val="single" w:color="auto" w:sz="4" w:space="0"/>
              <w:right w:val="single" w:color="auto" w:sz="4" w:space="0"/>
            </w:tcBorders>
            <w:vAlign w:val="center"/>
          </w:tcPr>
          <w:p w14:paraId="5B2B9761">
            <w:pPr>
              <w:spacing w:line="240" w:lineRule="exact"/>
              <w:jc w:val="center"/>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元/次</w:t>
            </w:r>
          </w:p>
        </w:tc>
        <w:tc>
          <w:tcPr>
            <w:tcW w:w="1904" w:type="dxa"/>
            <w:tcBorders>
              <w:top w:val="nil"/>
              <w:left w:val="single" w:color="auto" w:sz="4" w:space="0"/>
              <w:bottom w:val="single" w:color="auto" w:sz="4" w:space="0"/>
              <w:right w:val="single" w:color="auto" w:sz="4" w:space="0"/>
            </w:tcBorders>
            <w:vAlign w:val="center"/>
          </w:tcPr>
          <w:p w14:paraId="325B4EB6">
            <w:pPr>
              <w:spacing w:line="240" w:lineRule="exact"/>
              <w:jc w:val="center"/>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500～2000</w:t>
            </w:r>
          </w:p>
        </w:tc>
      </w:tr>
      <w:tr w14:paraId="7FCD3D57">
        <w:tblPrEx>
          <w:tblCellMar>
            <w:top w:w="0" w:type="dxa"/>
            <w:left w:w="0" w:type="dxa"/>
            <w:bottom w:w="0" w:type="dxa"/>
            <w:right w:w="0" w:type="dxa"/>
          </w:tblCellMar>
        </w:tblPrEx>
        <w:trPr>
          <w:trHeight w:val="737" w:hRule="atLeast"/>
          <w:jc w:val="center"/>
        </w:trPr>
        <w:tc>
          <w:tcPr>
            <w:tcW w:w="477" w:type="dxa"/>
            <w:vMerge w:val="continue"/>
            <w:tcBorders>
              <w:top w:val="single" w:color="auto" w:sz="4" w:space="0"/>
              <w:left w:val="single" w:color="auto" w:sz="4" w:space="0"/>
              <w:bottom w:val="single" w:color="auto" w:sz="4" w:space="0"/>
              <w:right w:val="single" w:color="auto" w:sz="4" w:space="0"/>
            </w:tcBorders>
            <w:vAlign w:val="center"/>
          </w:tcPr>
          <w:p w14:paraId="1248E24F">
            <w:pPr>
              <w:pStyle w:val="94"/>
              <w:numPr>
                <w:ilvl w:val="0"/>
                <w:numId w:val="3"/>
              </w:numPr>
              <w:spacing w:line="240" w:lineRule="exact"/>
              <w:jc w:val="center"/>
              <w:rPr>
                <w:rFonts w:hint="eastAsia" w:ascii="宋体" w:hAnsi="宋体"/>
                <w:color w:val="auto"/>
                <w:kern w:val="2"/>
                <w:sz w:val="18"/>
                <w:szCs w:val="18"/>
              </w:rPr>
            </w:pPr>
          </w:p>
        </w:tc>
        <w:tc>
          <w:tcPr>
            <w:tcW w:w="1710" w:type="dxa"/>
            <w:vMerge w:val="continue"/>
            <w:tcBorders>
              <w:top w:val="single" w:color="auto" w:sz="4" w:space="0"/>
              <w:left w:val="nil"/>
              <w:bottom w:val="single" w:color="auto" w:sz="4" w:space="0"/>
              <w:right w:val="single" w:color="auto" w:sz="4" w:space="0"/>
            </w:tcBorders>
            <w:vAlign w:val="center"/>
          </w:tcPr>
          <w:p w14:paraId="111E9F15">
            <w:pPr>
              <w:spacing w:line="240" w:lineRule="exact"/>
              <w:jc w:val="center"/>
              <w:rPr>
                <w:rFonts w:hint="eastAsia" w:ascii="宋体" w:hAnsi="宋体" w:eastAsia="宋体"/>
                <w:color w:val="auto"/>
                <w:kern w:val="2"/>
                <w:sz w:val="18"/>
                <w:szCs w:val="18"/>
                <w:lang w:eastAsia="zh-CN" w:bidi="ar-SA"/>
              </w:rPr>
            </w:pPr>
          </w:p>
        </w:tc>
        <w:tc>
          <w:tcPr>
            <w:tcW w:w="3543" w:type="dxa"/>
            <w:tcBorders>
              <w:top w:val="single" w:color="auto" w:sz="4" w:space="0"/>
              <w:left w:val="nil"/>
              <w:bottom w:val="single" w:color="auto" w:sz="4" w:space="0"/>
              <w:right w:val="single" w:color="auto" w:sz="4" w:space="0"/>
            </w:tcBorders>
            <w:vAlign w:val="center"/>
          </w:tcPr>
          <w:p w14:paraId="5EC9ACD0">
            <w:pPr>
              <w:spacing w:line="240" w:lineRule="exact"/>
              <w:jc w:val="both"/>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3）监理人不及时签证承包人上报的工序检验、计量申请、支付证书、交（竣）工资料等</w:t>
            </w:r>
          </w:p>
        </w:tc>
        <w:tc>
          <w:tcPr>
            <w:tcW w:w="990" w:type="dxa"/>
            <w:tcBorders>
              <w:top w:val="single" w:color="auto" w:sz="4" w:space="0"/>
              <w:left w:val="nil"/>
              <w:bottom w:val="single" w:color="auto" w:sz="4" w:space="0"/>
              <w:right w:val="single" w:color="auto" w:sz="4" w:space="0"/>
            </w:tcBorders>
            <w:vAlign w:val="center"/>
          </w:tcPr>
          <w:p w14:paraId="79F78CA3">
            <w:pPr>
              <w:spacing w:line="240" w:lineRule="exact"/>
              <w:jc w:val="center"/>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元/次</w:t>
            </w:r>
          </w:p>
        </w:tc>
        <w:tc>
          <w:tcPr>
            <w:tcW w:w="1904" w:type="dxa"/>
            <w:tcBorders>
              <w:top w:val="single" w:color="auto" w:sz="4" w:space="0"/>
              <w:left w:val="single" w:color="auto" w:sz="4" w:space="0"/>
              <w:bottom w:val="single" w:color="auto" w:sz="4" w:space="0"/>
              <w:right w:val="single" w:color="auto" w:sz="4" w:space="0"/>
            </w:tcBorders>
            <w:vAlign w:val="center"/>
          </w:tcPr>
          <w:p w14:paraId="28DB4AB1">
            <w:pPr>
              <w:spacing w:line="240" w:lineRule="exact"/>
              <w:jc w:val="center"/>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1000～5000</w:t>
            </w:r>
          </w:p>
        </w:tc>
      </w:tr>
      <w:tr w14:paraId="44ADB2E4">
        <w:tblPrEx>
          <w:tblCellMar>
            <w:top w:w="0" w:type="dxa"/>
            <w:left w:w="0" w:type="dxa"/>
            <w:bottom w:w="0" w:type="dxa"/>
            <w:right w:w="0" w:type="dxa"/>
          </w:tblCellMar>
        </w:tblPrEx>
        <w:trPr>
          <w:trHeight w:val="737" w:hRule="atLeast"/>
          <w:jc w:val="center"/>
        </w:trPr>
        <w:tc>
          <w:tcPr>
            <w:tcW w:w="477" w:type="dxa"/>
            <w:vMerge w:val="continue"/>
            <w:tcBorders>
              <w:top w:val="single" w:color="auto" w:sz="4" w:space="0"/>
              <w:left w:val="single" w:color="auto" w:sz="4" w:space="0"/>
              <w:bottom w:val="single" w:color="auto" w:sz="4" w:space="0"/>
              <w:right w:val="single" w:color="auto" w:sz="4" w:space="0"/>
            </w:tcBorders>
            <w:vAlign w:val="center"/>
          </w:tcPr>
          <w:p w14:paraId="7FB73906">
            <w:pPr>
              <w:pStyle w:val="94"/>
              <w:numPr>
                <w:ilvl w:val="0"/>
                <w:numId w:val="3"/>
              </w:numPr>
              <w:spacing w:line="240" w:lineRule="exact"/>
              <w:jc w:val="center"/>
              <w:rPr>
                <w:rFonts w:hint="eastAsia" w:ascii="宋体" w:hAnsi="宋体"/>
                <w:color w:val="auto"/>
                <w:kern w:val="2"/>
                <w:sz w:val="18"/>
                <w:szCs w:val="18"/>
              </w:rPr>
            </w:pPr>
          </w:p>
        </w:tc>
        <w:tc>
          <w:tcPr>
            <w:tcW w:w="1710" w:type="dxa"/>
            <w:vMerge w:val="continue"/>
            <w:tcBorders>
              <w:top w:val="single" w:color="auto" w:sz="4" w:space="0"/>
              <w:left w:val="nil"/>
              <w:bottom w:val="single" w:color="auto" w:sz="4" w:space="0"/>
              <w:right w:val="single" w:color="auto" w:sz="4" w:space="0"/>
            </w:tcBorders>
            <w:vAlign w:val="center"/>
          </w:tcPr>
          <w:p w14:paraId="3313964A">
            <w:pPr>
              <w:spacing w:line="240" w:lineRule="exact"/>
              <w:jc w:val="center"/>
              <w:rPr>
                <w:rFonts w:hint="eastAsia" w:ascii="宋体" w:hAnsi="宋体" w:eastAsia="宋体"/>
                <w:color w:val="auto"/>
                <w:kern w:val="2"/>
                <w:sz w:val="18"/>
                <w:szCs w:val="18"/>
                <w:lang w:eastAsia="zh-CN" w:bidi="ar-SA"/>
              </w:rPr>
            </w:pPr>
          </w:p>
        </w:tc>
        <w:tc>
          <w:tcPr>
            <w:tcW w:w="3543" w:type="dxa"/>
            <w:tcBorders>
              <w:top w:val="nil"/>
              <w:left w:val="nil"/>
              <w:bottom w:val="single" w:color="auto" w:sz="4" w:space="0"/>
              <w:right w:val="single" w:color="auto" w:sz="4" w:space="0"/>
            </w:tcBorders>
            <w:vAlign w:val="center"/>
          </w:tcPr>
          <w:p w14:paraId="11795925">
            <w:pPr>
              <w:spacing w:line="240" w:lineRule="exact"/>
              <w:jc w:val="both"/>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4）监理日记和巡视记录不完整，或内容空洞，不能客观全面反应工地现状</w:t>
            </w:r>
          </w:p>
        </w:tc>
        <w:tc>
          <w:tcPr>
            <w:tcW w:w="990" w:type="dxa"/>
            <w:tcBorders>
              <w:top w:val="nil"/>
              <w:left w:val="nil"/>
              <w:bottom w:val="single" w:color="auto" w:sz="4" w:space="0"/>
              <w:right w:val="single" w:color="auto" w:sz="4" w:space="0"/>
            </w:tcBorders>
            <w:vAlign w:val="center"/>
          </w:tcPr>
          <w:p w14:paraId="775DA61F">
            <w:pPr>
              <w:spacing w:line="240" w:lineRule="exact"/>
              <w:jc w:val="center"/>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元/次</w:t>
            </w:r>
          </w:p>
        </w:tc>
        <w:tc>
          <w:tcPr>
            <w:tcW w:w="1904" w:type="dxa"/>
            <w:tcBorders>
              <w:top w:val="nil"/>
              <w:left w:val="single" w:color="auto" w:sz="4" w:space="0"/>
              <w:bottom w:val="single" w:color="auto" w:sz="4" w:space="0"/>
              <w:right w:val="single" w:color="auto" w:sz="4" w:space="0"/>
            </w:tcBorders>
            <w:vAlign w:val="center"/>
          </w:tcPr>
          <w:p w14:paraId="5EBAF09D">
            <w:pPr>
              <w:spacing w:line="240" w:lineRule="exact"/>
              <w:jc w:val="center"/>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200～1000</w:t>
            </w:r>
          </w:p>
        </w:tc>
      </w:tr>
      <w:tr w14:paraId="4E35C806">
        <w:tblPrEx>
          <w:tblCellMar>
            <w:top w:w="0" w:type="dxa"/>
            <w:left w:w="0" w:type="dxa"/>
            <w:bottom w:w="0" w:type="dxa"/>
            <w:right w:w="0" w:type="dxa"/>
          </w:tblCellMar>
        </w:tblPrEx>
        <w:trPr>
          <w:trHeight w:val="546" w:hRule="atLeast"/>
          <w:jc w:val="center"/>
        </w:trPr>
        <w:tc>
          <w:tcPr>
            <w:tcW w:w="477" w:type="dxa"/>
            <w:vMerge w:val="restart"/>
            <w:tcBorders>
              <w:top w:val="single" w:color="auto" w:sz="4" w:space="0"/>
              <w:left w:val="single" w:color="auto" w:sz="4" w:space="0"/>
              <w:right w:val="single" w:color="auto" w:sz="4" w:space="0"/>
            </w:tcBorders>
            <w:vAlign w:val="center"/>
          </w:tcPr>
          <w:p w14:paraId="56B4B855">
            <w:pPr>
              <w:pStyle w:val="94"/>
              <w:numPr>
                <w:ilvl w:val="0"/>
                <w:numId w:val="3"/>
              </w:numPr>
              <w:spacing w:line="240" w:lineRule="exact"/>
              <w:jc w:val="center"/>
              <w:rPr>
                <w:rFonts w:hint="eastAsia" w:ascii="宋体" w:hAnsi="宋体"/>
                <w:color w:val="auto"/>
                <w:kern w:val="2"/>
                <w:sz w:val="18"/>
                <w:szCs w:val="18"/>
              </w:rPr>
            </w:pPr>
          </w:p>
        </w:tc>
        <w:tc>
          <w:tcPr>
            <w:tcW w:w="1710" w:type="dxa"/>
            <w:vMerge w:val="restart"/>
            <w:tcBorders>
              <w:top w:val="single" w:color="auto" w:sz="4" w:space="0"/>
              <w:left w:val="nil"/>
              <w:right w:val="single" w:color="auto" w:sz="4" w:space="0"/>
            </w:tcBorders>
            <w:vAlign w:val="center"/>
          </w:tcPr>
          <w:p w14:paraId="6E10771B">
            <w:pPr>
              <w:spacing w:line="240" w:lineRule="exact"/>
              <w:jc w:val="center"/>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廉政建设</w:t>
            </w:r>
          </w:p>
        </w:tc>
        <w:tc>
          <w:tcPr>
            <w:tcW w:w="3543" w:type="dxa"/>
            <w:tcBorders>
              <w:top w:val="single" w:color="auto" w:sz="4" w:space="0"/>
              <w:left w:val="nil"/>
              <w:bottom w:val="single" w:color="auto" w:sz="4" w:space="0"/>
              <w:right w:val="single" w:color="auto" w:sz="4" w:space="0"/>
            </w:tcBorders>
            <w:vAlign w:val="center"/>
          </w:tcPr>
          <w:p w14:paraId="08B64C09">
            <w:pPr>
              <w:spacing w:line="240" w:lineRule="exact"/>
              <w:jc w:val="both"/>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1）监理人员在施工现场与承包人同吃同住</w:t>
            </w:r>
          </w:p>
        </w:tc>
        <w:tc>
          <w:tcPr>
            <w:tcW w:w="990" w:type="dxa"/>
            <w:tcBorders>
              <w:top w:val="single" w:color="auto" w:sz="4" w:space="0"/>
              <w:left w:val="nil"/>
              <w:bottom w:val="single" w:color="auto" w:sz="4" w:space="0"/>
              <w:right w:val="single" w:color="auto" w:sz="4" w:space="0"/>
            </w:tcBorders>
            <w:vAlign w:val="center"/>
          </w:tcPr>
          <w:p w14:paraId="548FA73F">
            <w:pPr>
              <w:spacing w:line="240" w:lineRule="exact"/>
              <w:jc w:val="center"/>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元/人·月</w:t>
            </w:r>
          </w:p>
        </w:tc>
        <w:tc>
          <w:tcPr>
            <w:tcW w:w="1904" w:type="dxa"/>
            <w:tcBorders>
              <w:top w:val="single" w:color="auto" w:sz="4" w:space="0"/>
              <w:left w:val="single" w:color="auto" w:sz="4" w:space="0"/>
              <w:bottom w:val="single" w:color="auto" w:sz="4" w:space="0"/>
              <w:right w:val="single" w:color="auto" w:sz="4" w:space="0"/>
            </w:tcBorders>
            <w:vAlign w:val="center"/>
          </w:tcPr>
          <w:p w14:paraId="260FFBA6">
            <w:pPr>
              <w:spacing w:line="240" w:lineRule="exact"/>
              <w:jc w:val="center"/>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2000</w:t>
            </w:r>
          </w:p>
        </w:tc>
      </w:tr>
      <w:tr w14:paraId="6BB98398">
        <w:tblPrEx>
          <w:tblCellMar>
            <w:top w:w="0" w:type="dxa"/>
            <w:left w:w="0" w:type="dxa"/>
            <w:bottom w:w="0" w:type="dxa"/>
            <w:right w:w="0" w:type="dxa"/>
          </w:tblCellMar>
        </w:tblPrEx>
        <w:trPr>
          <w:trHeight w:val="1318" w:hRule="atLeast"/>
          <w:jc w:val="center"/>
        </w:trPr>
        <w:tc>
          <w:tcPr>
            <w:tcW w:w="477" w:type="dxa"/>
            <w:vMerge w:val="continue"/>
            <w:tcBorders>
              <w:left w:val="single" w:color="auto" w:sz="4" w:space="0"/>
              <w:bottom w:val="single" w:color="auto" w:sz="4" w:space="0"/>
              <w:right w:val="single" w:color="auto" w:sz="4" w:space="0"/>
            </w:tcBorders>
            <w:vAlign w:val="center"/>
          </w:tcPr>
          <w:p w14:paraId="00477B48">
            <w:pPr>
              <w:pStyle w:val="94"/>
              <w:numPr>
                <w:ilvl w:val="0"/>
                <w:numId w:val="3"/>
              </w:numPr>
              <w:spacing w:line="240" w:lineRule="exact"/>
              <w:jc w:val="center"/>
              <w:rPr>
                <w:rFonts w:hint="eastAsia" w:ascii="宋体" w:hAnsi="宋体"/>
                <w:color w:val="auto"/>
                <w:kern w:val="2"/>
                <w:sz w:val="18"/>
                <w:szCs w:val="18"/>
              </w:rPr>
            </w:pPr>
          </w:p>
        </w:tc>
        <w:tc>
          <w:tcPr>
            <w:tcW w:w="1710" w:type="dxa"/>
            <w:vMerge w:val="continue"/>
            <w:tcBorders>
              <w:left w:val="nil"/>
              <w:bottom w:val="single" w:color="auto" w:sz="4" w:space="0"/>
              <w:right w:val="single" w:color="auto" w:sz="4" w:space="0"/>
            </w:tcBorders>
            <w:vAlign w:val="center"/>
          </w:tcPr>
          <w:p w14:paraId="51511840">
            <w:pPr>
              <w:spacing w:line="240" w:lineRule="exact"/>
              <w:jc w:val="center"/>
              <w:rPr>
                <w:rFonts w:hint="eastAsia" w:ascii="宋体" w:hAnsi="宋体" w:eastAsia="宋体"/>
                <w:color w:val="auto"/>
                <w:kern w:val="2"/>
                <w:sz w:val="18"/>
                <w:szCs w:val="18"/>
                <w:lang w:eastAsia="zh-CN" w:bidi="ar-SA"/>
              </w:rPr>
            </w:pPr>
          </w:p>
        </w:tc>
        <w:tc>
          <w:tcPr>
            <w:tcW w:w="3543" w:type="dxa"/>
            <w:tcBorders>
              <w:top w:val="single" w:color="auto" w:sz="4" w:space="0"/>
              <w:left w:val="nil"/>
              <w:bottom w:val="single" w:color="auto" w:sz="4" w:space="0"/>
              <w:right w:val="single" w:color="auto" w:sz="4" w:space="0"/>
            </w:tcBorders>
            <w:vAlign w:val="center"/>
          </w:tcPr>
          <w:p w14:paraId="2F1C37B4">
            <w:pPr>
              <w:spacing w:line="240" w:lineRule="exact"/>
              <w:jc w:val="both"/>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2）监理人员有索贿、受贿等不良行为；监理人员借职务之便违规向承包人介绍劳务、机械设备、分包队伍、经销商或推销材料；监理人（人员）与承包人联合损害委托人利益的，或监理人（人员）损害承包人利益的</w:t>
            </w:r>
          </w:p>
        </w:tc>
        <w:tc>
          <w:tcPr>
            <w:tcW w:w="990" w:type="dxa"/>
            <w:tcBorders>
              <w:top w:val="single" w:color="auto" w:sz="4" w:space="0"/>
              <w:left w:val="nil"/>
              <w:bottom w:val="single" w:color="auto" w:sz="4" w:space="0"/>
              <w:right w:val="single" w:color="auto" w:sz="4" w:space="0"/>
            </w:tcBorders>
            <w:vAlign w:val="center"/>
          </w:tcPr>
          <w:p w14:paraId="6891BE31">
            <w:pPr>
              <w:spacing w:line="240" w:lineRule="exact"/>
              <w:jc w:val="center"/>
              <w:rPr>
                <w:rFonts w:hint="eastAsia" w:ascii="宋体" w:hAnsi="宋体" w:eastAsia="宋体"/>
                <w:color w:val="auto"/>
                <w:kern w:val="2"/>
                <w:sz w:val="18"/>
                <w:szCs w:val="18"/>
                <w:lang w:eastAsia="zh-CN" w:bidi="ar-SA"/>
              </w:rPr>
            </w:pPr>
          </w:p>
        </w:tc>
        <w:tc>
          <w:tcPr>
            <w:tcW w:w="1904" w:type="dxa"/>
            <w:tcBorders>
              <w:top w:val="single" w:color="auto" w:sz="4" w:space="0"/>
              <w:left w:val="single" w:color="auto" w:sz="4" w:space="0"/>
              <w:bottom w:val="single" w:color="auto" w:sz="4" w:space="0"/>
              <w:right w:val="single" w:color="auto" w:sz="4" w:space="0"/>
            </w:tcBorders>
            <w:vAlign w:val="center"/>
          </w:tcPr>
          <w:p w14:paraId="3A3A5AC8">
            <w:pPr>
              <w:spacing w:line="240" w:lineRule="exact"/>
              <w:jc w:val="center"/>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按照廉政合同及相关法律法规执行</w:t>
            </w:r>
          </w:p>
        </w:tc>
      </w:tr>
      <w:tr w14:paraId="129BA790">
        <w:tblPrEx>
          <w:tblCellMar>
            <w:top w:w="0" w:type="dxa"/>
            <w:left w:w="0" w:type="dxa"/>
            <w:bottom w:w="0" w:type="dxa"/>
            <w:right w:w="0" w:type="dxa"/>
          </w:tblCellMar>
        </w:tblPrEx>
        <w:trPr>
          <w:trHeight w:val="734" w:hRule="atLeast"/>
          <w:jc w:val="center"/>
        </w:trPr>
        <w:tc>
          <w:tcPr>
            <w:tcW w:w="477" w:type="dxa"/>
            <w:vMerge w:val="restart"/>
            <w:tcBorders>
              <w:top w:val="single" w:color="auto" w:sz="4" w:space="0"/>
              <w:left w:val="single" w:color="auto" w:sz="4" w:space="0"/>
              <w:right w:val="single" w:color="auto" w:sz="4" w:space="0"/>
            </w:tcBorders>
            <w:vAlign w:val="center"/>
          </w:tcPr>
          <w:p w14:paraId="46FA4F5C">
            <w:pPr>
              <w:pStyle w:val="94"/>
              <w:numPr>
                <w:ilvl w:val="0"/>
                <w:numId w:val="3"/>
              </w:numPr>
              <w:spacing w:line="240" w:lineRule="exact"/>
              <w:jc w:val="center"/>
              <w:rPr>
                <w:rFonts w:hint="eastAsia" w:ascii="宋体" w:hAnsi="宋体"/>
                <w:color w:val="auto"/>
                <w:kern w:val="2"/>
                <w:sz w:val="18"/>
                <w:szCs w:val="18"/>
              </w:rPr>
            </w:pPr>
          </w:p>
        </w:tc>
        <w:tc>
          <w:tcPr>
            <w:tcW w:w="1710" w:type="dxa"/>
            <w:vMerge w:val="restart"/>
            <w:tcBorders>
              <w:top w:val="single" w:color="auto" w:sz="4" w:space="0"/>
              <w:left w:val="nil"/>
              <w:right w:val="single" w:color="auto" w:sz="4" w:space="0"/>
            </w:tcBorders>
            <w:vAlign w:val="center"/>
          </w:tcPr>
          <w:p w14:paraId="0BC3610E">
            <w:pPr>
              <w:spacing w:line="240" w:lineRule="exact"/>
              <w:jc w:val="center"/>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安全生产</w:t>
            </w:r>
          </w:p>
          <w:p w14:paraId="616F0763">
            <w:pPr>
              <w:spacing w:line="240" w:lineRule="exact"/>
              <w:jc w:val="center"/>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文明监理</w:t>
            </w:r>
          </w:p>
        </w:tc>
        <w:tc>
          <w:tcPr>
            <w:tcW w:w="3543" w:type="dxa"/>
            <w:tcBorders>
              <w:top w:val="single" w:color="auto" w:sz="4" w:space="0"/>
              <w:left w:val="nil"/>
              <w:bottom w:val="single" w:color="auto" w:sz="4" w:space="0"/>
              <w:right w:val="single" w:color="auto" w:sz="4" w:space="0"/>
            </w:tcBorders>
            <w:vAlign w:val="center"/>
          </w:tcPr>
          <w:p w14:paraId="7B7B4EBB">
            <w:pPr>
              <w:spacing w:line="240" w:lineRule="exact"/>
              <w:jc w:val="both"/>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1)所管辖承包人施工现场存在安全隐患，监理人未发现或未及时督促进行有效整改的</w:t>
            </w:r>
          </w:p>
        </w:tc>
        <w:tc>
          <w:tcPr>
            <w:tcW w:w="990" w:type="dxa"/>
            <w:tcBorders>
              <w:top w:val="single" w:color="auto" w:sz="4" w:space="0"/>
              <w:left w:val="nil"/>
              <w:bottom w:val="single" w:color="auto" w:sz="4" w:space="0"/>
              <w:right w:val="single" w:color="auto" w:sz="4" w:space="0"/>
            </w:tcBorders>
            <w:vAlign w:val="center"/>
          </w:tcPr>
          <w:p w14:paraId="4488601B">
            <w:pPr>
              <w:spacing w:line="240" w:lineRule="exact"/>
              <w:jc w:val="center"/>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元/次</w:t>
            </w:r>
          </w:p>
        </w:tc>
        <w:tc>
          <w:tcPr>
            <w:tcW w:w="1904" w:type="dxa"/>
            <w:tcBorders>
              <w:top w:val="single" w:color="auto" w:sz="4" w:space="0"/>
              <w:left w:val="single" w:color="auto" w:sz="4" w:space="0"/>
              <w:bottom w:val="single" w:color="auto" w:sz="4" w:space="0"/>
              <w:right w:val="single" w:color="auto" w:sz="4" w:space="0"/>
            </w:tcBorders>
            <w:vAlign w:val="center"/>
          </w:tcPr>
          <w:p w14:paraId="3EDBD588">
            <w:pPr>
              <w:spacing w:line="240" w:lineRule="exact"/>
              <w:jc w:val="center"/>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2000～10000</w:t>
            </w:r>
          </w:p>
        </w:tc>
      </w:tr>
      <w:tr w14:paraId="65F69176">
        <w:tblPrEx>
          <w:tblCellMar>
            <w:top w:w="0" w:type="dxa"/>
            <w:left w:w="0" w:type="dxa"/>
            <w:bottom w:w="0" w:type="dxa"/>
            <w:right w:w="0" w:type="dxa"/>
          </w:tblCellMar>
        </w:tblPrEx>
        <w:trPr>
          <w:trHeight w:val="700" w:hRule="atLeast"/>
          <w:jc w:val="center"/>
        </w:trPr>
        <w:tc>
          <w:tcPr>
            <w:tcW w:w="477" w:type="dxa"/>
            <w:vMerge w:val="continue"/>
            <w:tcBorders>
              <w:left w:val="single" w:color="auto" w:sz="4" w:space="0"/>
              <w:right w:val="single" w:color="auto" w:sz="4" w:space="0"/>
            </w:tcBorders>
            <w:vAlign w:val="center"/>
          </w:tcPr>
          <w:p w14:paraId="7877FB07">
            <w:pPr>
              <w:pStyle w:val="94"/>
              <w:numPr>
                <w:ilvl w:val="0"/>
                <w:numId w:val="3"/>
              </w:numPr>
              <w:spacing w:line="240" w:lineRule="exact"/>
              <w:jc w:val="center"/>
              <w:rPr>
                <w:rFonts w:hint="eastAsia" w:ascii="宋体" w:hAnsi="宋体"/>
                <w:color w:val="auto"/>
                <w:kern w:val="2"/>
                <w:sz w:val="18"/>
                <w:szCs w:val="18"/>
              </w:rPr>
            </w:pPr>
          </w:p>
        </w:tc>
        <w:tc>
          <w:tcPr>
            <w:tcW w:w="1710" w:type="dxa"/>
            <w:vMerge w:val="continue"/>
            <w:tcBorders>
              <w:left w:val="nil"/>
              <w:right w:val="single" w:color="auto" w:sz="4" w:space="0"/>
            </w:tcBorders>
            <w:vAlign w:val="center"/>
          </w:tcPr>
          <w:p w14:paraId="2DE632D5">
            <w:pPr>
              <w:spacing w:line="240" w:lineRule="exact"/>
              <w:jc w:val="center"/>
              <w:rPr>
                <w:rFonts w:hint="eastAsia" w:ascii="宋体" w:hAnsi="宋体" w:eastAsia="宋体"/>
                <w:color w:val="auto"/>
                <w:kern w:val="2"/>
                <w:sz w:val="18"/>
                <w:szCs w:val="18"/>
                <w:lang w:eastAsia="zh-CN" w:bidi="ar-SA"/>
              </w:rPr>
            </w:pPr>
          </w:p>
        </w:tc>
        <w:tc>
          <w:tcPr>
            <w:tcW w:w="3543" w:type="dxa"/>
            <w:tcBorders>
              <w:top w:val="single" w:color="auto" w:sz="4" w:space="0"/>
              <w:left w:val="nil"/>
              <w:bottom w:val="single" w:color="auto" w:sz="4" w:space="0"/>
              <w:right w:val="single" w:color="auto" w:sz="4" w:space="0"/>
            </w:tcBorders>
            <w:vAlign w:val="center"/>
          </w:tcPr>
          <w:p w14:paraId="7338CF72">
            <w:pPr>
              <w:spacing w:line="240" w:lineRule="exact"/>
              <w:jc w:val="both"/>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2)所管辖承包人发生安全生产责任事故，监理人负有安全监理不到位责任的</w:t>
            </w:r>
          </w:p>
        </w:tc>
        <w:tc>
          <w:tcPr>
            <w:tcW w:w="990" w:type="dxa"/>
            <w:tcBorders>
              <w:top w:val="single" w:color="auto" w:sz="4" w:space="0"/>
              <w:left w:val="nil"/>
              <w:bottom w:val="single" w:color="auto" w:sz="4" w:space="0"/>
              <w:right w:val="single" w:color="auto" w:sz="4" w:space="0"/>
            </w:tcBorders>
            <w:vAlign w:val="center"/>
          </w:tcPr>
          <w:p w14:paraId="657B3FD9">
            <w:pPr>
              <w:spacing w:line="240" w:lineRule="exact"/>
              <w:jc w:val="center"/>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元/次</w:t>
            </w:r>
          </w:p>
        </w:tc>
        <w:tc>
          <w:tcPr>
            <w:tcW w:w="1904" w:type="dxa"/>
            <w:tcBorders>
              <w:top w:val="single" w:color="auto" w:sz="4" w:space="0"/>
              <w:left w:val="single" w:color="auto" w:sz="4" w:space="0"/>
              <w:bottom w:val="single" w:color="auto" w:sz="4" w:space="0"/>
              <w:right w:val="single" w:color="auto" w:sz="4" w:space="0"/>
            </w:tcBorders>
            <w:vAlign w:val="center"/>
          </w:tcPr>
          <w:p w14:paraId="444D565A">
            <w:pPr>
              <w:spacing w:line="240" w:lineRule="exact"/>
              <w:jc w:val="center"/>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10000～50000</w:t>
            </w:r>
          </w:p>
        </w:tc>
      </w:tr>
      <w:tr w14:paraId="1A71134B">
        <w:tblPrEx>
          <w:tblCellMar>
            <w:top w:w="0" w:type="dxa"/>
            <w:left w:w="0" w:type="dxa"/>
            <w:bottom w:w="0" w:type="dxa"/>
            <w:right w:w="0" w:type="dxa"/>
          </w:tblCellMar>
        </w:tblPrEx>
        <w:trPr>
          <w:trHeight w:val="699" w:hRule="atLeast"/>
          <w:jc w:val="center"/>
        </w:trPr>
        <w:tc>
          <w:tcPr>
            <w:tcW w:w="477" w:type="dxa"/>
            <w:vMerge w:val="continue"/>
            <w:tcBorders>
              <w:left w:val="single" w:color="auto" w:sz="4" w:space="0"/>
              <w:right w:val="single" w:color="auto" w:sz="4" w:space="0"/>
            </w:tcBorders>
            <w:vAlign w:val="center"/>
          </w:tcPr>
          <w:p w14:paraId="3F3742BE">
            <w:pPr>
              <w:pStyle w:val="94"/>
              <w:numPr>
                <w:ilvl w:val="0"/>
                <w:numId w:val="3"/>
              </w:numPr>
              <w:spacing w:line="240" w:lineRule="exact"/>
              <w:jc w:val="center"/>
              <w:rPr>
                <w:rFonts w:hint="eastAsia" w:ascii="宋体" w:hAnsi="宋体"/>
                <w:color w:val="auto"/>
                <w:kern w:val="2"/>
                <w:sz w:val="18"/>
                <w:szCs w:val="18"/>
              </w:rPr>
            </w:pPr>
          </w:p>
        </w:tc>
        <w:tc>
          <w:tcPr>
            <w:tcW w:w="1710" w:type="dxa"/>
            <w:vMerge w:val="continue"/>
            <w:tcBorders>
              <w:left w:val="nil"/>
              <w:right w:val="single" w:color="auto" w:sz="4" w:space="0"/>
            </w:tcBorders>
            <w:vAlign w:val="center"/>
          </w:tcPr>
          <w:p w14:paraId="46085BEC">
            <w:pPr>
              <w:spacing w:line="240" w:lineRule="exact"/>
              <w:jc w:val="center"/>
              <w:rPr>
                <w:rFonts w:hint="eastAsia" w:ascii="宋体" w:hAnsi="宋体" w:eastAsia="宋体"/>
                <w:color w:val="auto"/>
                <w:kern w:val="2"/>
                <w:sz w:val="18"/>
                <w:szCs w:val="18"/>
                <w:lang w:eastAsia="zh-CN" w:bidi="ar-SA"/>
              </w:rPr>
            </w:pPr>
          </w:p>
        </w:tc>
        <w:tc>
          <w:tcPr>
            <w:tcW w:w="3543" w:type="dxa"/>
            <w:tcBorders>
              <w:top w:val="nil"/>
              <w:left w:val="nil"/>
              <w:bottom w:val="single" w:color="auto" w:sz="4" w:space="0"/>
              <w:right w:val="single" w:color="auto" w:sz="4" w:space="0"/>
            </w:tcBorders>
            <w:vAlign w:val="center"/>
          </w:tcPr>
          <w:p w14:paraId="49BB51F6">
            <w:pPr>
              <w:spacing w:line="240" w:lineRule="exact"/>
              <w:jc w:val="both"/>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3)监理人员未挂牌上岗及个人安全防护措施不到位</w:t>
            </w:r>
          </w:p>
        </w:tc>
        <w:tc>
          <w:tcPr>
            <w:tcW w:w="990" w:type="dxa"/>
            <w:tcBorders>
              <w:top w:val="nil"/>
              <w:left w:val="nil"/>
              <w:bottom w:val="single" w:color="auto" w:sz="4" w:space="0"/>
              <w:right w:val="single" w:color="auto" w:sz="4" w:space="0"/>
            </w:tcBorders>
            <w:vAlign w:val="center"/>
          </w:tcPr>
          <w:p w14:paraId="3244336B">
            <w:pPr>
              <w:spacing w:line="240" w:lineRule="exact"/>
              <w:jc w:val="center"/>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元/次</w:t>
            </w:r>
          </w:p>
        </w:tc>
        <w:tc>
          <w:tcPr>
            <w:tcW w:w="1904" w:type="dxa"/>
            <w:tcBorders>
              <w:top w:val="nil"/>
              <w:left w:val="single" w:color="auto" w:sz="4" w:space="0"/>
              <w:bottom w:val="single" w:color="auto" w:sz="4" w:space="0"/>
              <w:right w:val="single" w:color="auto" w:sz="4" w:space="0"/>
            </w:tcBorders>
            <w:vAlign w:val="center"/>
          </w:tcPr>
          <w:p w14:paraId="7D755CAB">
            <w:pPr>
              <w:spacing w:line="240" w:lineRule="exact"/>
              <w:jc w:val="center"/>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1000～5000</w:t>
            </w:r>
          </w:p>
        </w:tc>
      </w:tr>
      <w:tr w14:paraId="516B64E2">
        <w:tblPrEx>
          <w:tblCellMar>
            <w:top w:w="0" w:type="dxa"/>
            <w:left w:w="0" w:type="dxa"/>
            <w:bottom w:w="0" w:type="dxa"/>
            <w:right w:w="0" w:type="dxa"/>
          </w:tblCellMar>
        </w:tblPrEx>
        <w:trPr>
          <w:trHeight w:val="737" w:hRule="atLeast"/>
          <w:jc w:val="center"/>
        </w:trPr>
        <w:tc>
          <w:tcPr>
            <w:tcW w:w="477" w:type="dxa"/>
            <w:vMerge w:val="continue"/>
            <w:tcBorders>
              <w:left w:val="single" w:color="auto" w:sz="4" w:space="0"/>
              <w:right w:val="single" w:color="auto" w:sz="4" w:space="0"/>
            </w:tcBorders>
            <w:vAlign w:val="center"/>
          </w:tcPr>
          <w:p w14:paraId="7EFDF1CB">
            <w:pPr>
              <w:pStyle w:val="94"/>
              <w:numPr>
                <w:ilvl w:val="0"/>
                <w:numId w:val="3"/>
              </w:numPr>
              <w:spacing w:line="240" w:lineRule="exact"/>
              <w:jc w:val="center"/>
              <w:rPr>
                <w:rFonts w:hint="eastAsia" w:ascii="宋体" w:hAnsi="宋体"/>
                <w:color w:val="auto"/>
                <w:kern w:val="2"/>
                <w:sz w:val="18"/>
                <w:szCs w:val="18"/>
              </w:rPr>
            </w:pPr>
          </w:p>
        </w:tc>
        <w:tc>
          <w:tcPr>
            <w:tcW w:w="1710" w:type="dxa"/>
            <w:vMerge w:val="continue"/>
            <w:tcBorders>
              <w:left w:val="nil"/>
              <w:right w:val="single" w:color="auto" w:sz="4" w:space="0"/>
            </w:tcBorders>
            <w:vAlign w:val="center"/>
          </w:tcPr>
          <w:p w14:paraId="6F31F8DF">
            <w:pPr>
              <w:spacing w:line="240" w:lineRule="exact"/>
              <w:jc w:val="center"/>
              <w:rPr>
                <w:rFonts w:hint="eastAsia" w:ascii="宋体" w:hAnsi="宋体" w:eastAsia="宋体"/>
                <w:color w:val="auto"/>
                <w:kern w:val="2"/>
                <w:sz w:val="18"/>
                <w:szCs w:val="18"/>
                <w:lang w:eastAsia="zh-CN" w:bidi="ar-SA"/>
              </w:rPr>
            </w:pPr>
          </w:p>
        </w:tc>
        <w:tc>
          <w:tcPr>
            <w:tcW w:w="3543" w:type="dxa"/>
            <w:tcBorders>
              <w:top w:val="nil"/>
              <w:left w:val="nil"/>
              <w:bottom w:val="single" w:color="auto" w:sz="4" w:space="0"/>
              <w:right w:val="single" w:color="auto" w:sz="4" w:space="0"/>
            </w:tcBorders>
            <w:vAlign w:val="center"/>
          </w:tcPr>
          <w:p w14:paraId="6B25743A">
            <w:pPr>
              <w:spacing w:line="240" w:lineRule="exact"/>
              <w:jc w:val="both"/>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4）监理人所管辖承包人施工造成环境污染、环境保护不力，监理人负有环境监理不到位责任的</w:t>
            </w:r>
          </w:p>
        </w:tc>
        <w:tc>
          <w:tcPr>
            <w:tcW w:w="990" w:type="dxa"/>
            <w:tcBorders>
              <w:top w:val="nil"/>
              <w:left w:val="nil"/>
              <w:bottom w:val="single" w:color="auto" w:sz="4" w:space="0"/>
              <w:right w:val="single" w:color="auto" w:sz="4" w:space="0"/>
            </w:tcBorders>
            <w:vAlign w:val="center"/>
          </w:tcPr>
          <w:p w14:paraId="16E8C098">
            <w:pPr>
              <w:spacing w:line="240" w:lineRule="exact"/>
              <w:jc w:val="center"/>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元/人·次</w:t>
            </w:r>
          </w:p>
        </w:tc>
        <w:tc>
          <w:tcPr>
            <w:tcW w:w="1904" w:type="dxa"/>
            <w:tcBorders>
              <w:top w:val="nil"/>
              <w:left w:val="single" w:color="auto" w:sz="4" w:space="0"/>
              <w:bottom w:val="single" w:color="auto" w:sz="4" w:space="0"/>
              <w:right w:val="single" w:color="auto" w:sz="4" w:space="0"/>
            </w:tcBorders>
            <w:vAlign w:val="center"/>
          </w:tcPr>
          <w:p w14:paraId="7A3153DE">
            <w:pPr>
              <w:spacing w:line="240" w:lineRule="exact"/>
              <w:jc w:val="center"/>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200</w:t>
            </w:r>
          </w:p>
        </w:tc>
      </w:tr>
      <w:tr w14:paraId="017667FD">
        <w:tblPrEx>
          <w:tblCellMar>
            <w:top w:w="0" w:type="dxa"/>
            <w:left w:w="0" w:type="dxa"/>
            <w:bottom w:w="0" w:type="dxa"/>
            <w:right w:w="0" w:type="dxa"/>
          </w:tblCellMar>
        </w:tblPrEx>
        <w:trPr>
          <w:trHeight w:val="571" w:hRule="atLeast"/>
          <w:jc w:val="center"/>
        </w:trPr>
        <w:tc>
          <w:tcPr>
            <w:tcW w:w="477" w:type="dxa"/>
            <w:vMerge w:val="continue"/>
            <w:tcBorders>
              <w:left w:val="single" w:color="auto" w:sz="4" w:space="0"/>
              <w:right w:val="single" w:color="auto" w:sz="4" w:space="0"/>
            </w:tcBorders>
            <w:vAlign w:val="center"/>
          </w:tcPr>
          <w:p w14:paraId="200A080C">
            <w:pPr>
              <w:pStyle w:val="94"/>
              <w:numPr>
                <w:ilvl w:val="0"/>
                <w:numId w:val="3"/>
              </w:numPr>
              <w:spacing w:line="240" w:lineRule="exact"/>
              <w:jc w:val="center"/>
              <w:rPr>
                <w:rFonts w:hint="eastAsia" w:ascii="宋体" w:hAnsi="宋体"/>
                <w:color w:val="auto"/>
                <w:kern w:val="2"/>
                <w:sz w:val="18"/>
                <w:szCs w:val="18"/>
              </w:rPr>
            </w:pPr>
          </w:p>
        </w:tc>
        <w:tc>
          <w:tcPr>
            <w:tcW w:w="1710" w:type="dxa"/>
            <w:vMerge w:val="continue"/>
            <w:tcBorders>
              <w:left w:val="nil"/>
              <w:right w:val="single" w:color="auto" w:sz="4" w:space="0"/>
            </w:tcBorders>
            <w:vAlign w:val="center"/>
          </w:tcPr>
          <w:p w14:paraId="3BE374F3">
            <w:pPr>
              <w:spacing w:line="240" w:lineRule="exact"/>
              <w:jc w:val="center"/>
              <w:rPr>
                <w:rFonts w:hint="eastAsia" w:ascii="宋体" w:hAnsi="宋体" w:eastAsia="宋体"/>
                <w:color w:val="auto"/>
                <w:kern w:val="2"/>
                <w:sz w:val="18"/>
                <w:szCs w:val="18"/>
                <w:lang w:eastAsia="zh-CN" w:bidi="ar-SA"/>
              </w:rPr>
            </w:pPr>
          </w:p>
        </w:tc>
        <w:tc>
          <w:tcPr>
            <w:tcW w:w="3543" w:type="dxa"/>
            <w:tcBorders>
              <w:top w:val="nil"/>
              <w:left w:val="nil"/>
              <w:bottom w:val="single" w:color="auto" w:sz="4" w:space="0"/>
              <w:right w:val="single" w:color="auto" w:sz="4" w:space="0"/>
            </w:tcBorders>
            <w:vAlign w:val="center"/>
          </w:tcPr>
          <w:p w14:paraId="200A57C9">
            <w:pPr>
              <w:spacing w:line="240" w:lineRule="exact"/>
              <w:jc w:val="both"/>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5）监理人 在“平安工地”检查考核中不达标或者存在问题较多的</w:t>
            </w:r>
          </w:p>
        </w:tc>
        <w:tc>
          <w:tcPr>
            <w:tcW w:w="990" w:type="dxa"/>
            <w:tcBorders>
              <w:top w:val="nil"/>
              <w:left w:val="nil"/>
              <w:bottom w:val="single" w:color="auto" w:sz="4" w:space="0"/>
              <w:right w:val="single" w:color="auto" w:sz="4" w:space="0"/>
            </w:tcBorders>
            <w:vAlign w:val="center"/>
          </w:tcPr>
          <w:p w14:paraId="47D674C3">
            <w:pPr>
              <w:spacing w:line="240" w:lineRule="exact"/>
              <w:jc w:val="center"/>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元/人</w:t>
            </w:r>
          </w:p>
        </w:tc>
        <w:tc>
          <w:tcPr>
            <w:tcW w:w="1904" w:type="dxa"/>
            <w:tcBorders>
              <w:top w:val="nil"/>
              <w:left w:val="single" w:color="auto" w:sz="4" w:space="0"/>
              <w:bottom w:val="single" w:color="auto" w:sz="4" w:space="0"/>
              <w:right w:val="single" w:color="auto" w:sz="4" w:space="0"/>
            </w:tcBorders>
            <w:vAlign w:val="center"/>
          </w:tcPr>
          <w:p w14:paraId="094A4645">
            <w:pPr>
              <w:spacing w:line="240" w:lineRule="exact"/>
              <w:jc w:val="center"/>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5000</w:t>
            </w:r>
          </w:p>
        </w:tc>
      </w:tr>
      <w:tr w14:paraId="2E41AA95">
        <w:tblPrEx>
          <w:tblCellMar>
            <w:top w:w="0" w:type="dxa"/>
            <w:left w:w="0" w:type="dxa"/>
            <w:bottom w:w="0" w:type="dxa"/>
            <w:right w:w="0" w:type="dxa"/>
          </w:tblCellMar>
        </w:tblPrEx>
        <w:trPr>
          <w:trHeight w:val="681" w:hRule="atLeast"/>
          <w:jc w:val="center"/>
        </w:trPr>
        <w:tc>
          <w:tcPr>
            <w:tcW w:w="477" w:type="dxa"/>
            <w:vMerge w:val="continue"/>
            <w:tcBorders>
              <w:left w:val="single" w:color="auto" w:sz="4" w:space="0"/>
              <w:right w:val="single" w:color="auto" w:sz="4" w:space="0"/>
            </w:tcBorders>
            <w:vAlign w:val="center"/>
          </w:tcPr>
          <w:p w14:paraId="367FFAC0">
            <w:pPr>
              <w:pStyle w:val="94"/>
              <w:numPr>
                <w:ilvl w:val="0"/>
                <w:numId w:val="3"/>
              </w:numPr>
              <w:spacing w:line="240" w:lineRule="exact"/>
              <w:jc w:val="center"/>
              <w:rPr>
                <w:rFonts w:hint="eastAsia" w:ascii="宋体" w:hAnsi="宋体"/>
                <w:color w:val="auto"/>
                <w:kern w:val="2"/>
                <w:sz w:val="18"/>
                <w:szCs w:val="18"/>
              </w:rPr>
            </w:pPr>
          </w:p>
        </w:tc>
        <w:tc>
          <w:tcPr>
            <w:tcW w:w="1710" w:type="dxa"/>
            <w:vMerge w:val="continue"/>
            <w:tcBorders>
              <w:left w:val="nil"/>
              <w:right w:val="single" w:color="auto" w:sz="4" w:space="0"/>
            </w:tcBorders>
            <w:vAlign w:val="center"/>
          </w:tcPr>
          <w:p w14:paraId="66C3672C">
            <w:pPr>
              <w:spacing w:line="240" w:lineRule="exact"/>
              <w:jc w:val="center"/>
              <w:rPr>
                <w:rFonts w:hint="eastAsia" w:ascii="宋体" w:hAnsi="宋体" w:eastAsia="宋体"/>
                <w:color w:val="auto"/>
                <w:kern w:val="2"/>
                <w:sz w:val="18"/>
                <w:szCs w:val="18"/>
                <w:lang w:eastAsia="zh-CN" w:bidi="ar-SA"/>
              </w:rPr>
            </w:pPr>
          </w:p>
        </w:tc>
        <w:tc>
          <w:tcPr>
            <w:tcW w:w="3543" w:type="dxa"/>
            <w:tcBorders>
              <w:top w:val="nil"/>
              <w:left w:val="nil"/>
              <w:bottom w:val="single" w:color="auto" w:sz="4" w:space="0"/>
              <w:right w:val="single" w:color="auto" w:sz="4" w:space="0"/>
            </w:tcBorders>
            <w:vAlign w:val="center"/>
          </w:tcPr>
          <w:p w14:paraId="7159FCF7">
            <w:pPr>
              <w:spacing w:line="240" w:lineRule="exact"/>
              <w:jc w:val="both"/>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6）监理人未及时对承包人进行“平安工地”考评且未提出整改意见的</w:t>
            </w:r>
          </w:p>
        </w:tc>
        <w:tc>
          <w:tcPr>
            <w:tcW w:w="990" w:type="dxa"/>
            <w:tcBorders>
              <w:top w:val="nil"/>
              <w:left w:val="nil"/>
              <w:bottom w:val="single" w:color="auto" w:sz="4" w:space="0"/>
              <w:right w:val="single" w:color="auto" w:sz="4" w:space="0"/>
            </w:tcBorders>
            <w:vAlign w:val="center"/>
          </w:tcPr>
          <w:p w14:paraId="244A84D8">
            <w:pPr>
              <w:spacing w:line="240" w:lineRule="exact"/>
              <w:jc w:val="center"/>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元/次</w:t>
            </w:r>
          </w:p>
        </w:tc>
        <w:tc>
          <w:tcPr>
            <w:tcW w:w="1904" w:type="dxa"/>
            <w:tcBorders>
              <w:top w:val="nil"/>
              <w:left w:val="single" w:color="auto" w:sz="4" w:space="0"/>
              <w:bottom w:val="single" w:color="auto" w:sz="4" w:space="0"/>
              <w:right w:val="single" w:color="auto" w:sz="4" w:space="0"/>
            </w:tcBorders>
            <w:vAlign w:val="center"/>
          </w:tcPr>
          <w:p w14:paraId="59D728B6">
            <w:pPr>
              <w:spacing w:line="240" w:lineRule="exact"/>
              <w:jc w:val="center"/>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2000</w:t>
            </w:r>
          </w:p>
        </w:tc>
      </w:tr>
      <w:tr w14:paraId="5AD2C493">
        <w:tblPrEx>
          <w:tblCellMar>
            <w:top w:w="0" w:type="dxa"/>
            <w:left w:w="0" w:type="dxa"/>
            <w:bottom w:w="0" w:type="dxa"/>
            <w:right w:w="0" w:type="dxa"/>
          </w:tblCellMar>
        </w:tblPrEx>
        <w:trPr>
          <w:trHeight w:val="575" w:hRule="atLeast"/>
          <w:jc w:val="center"/>
        </w:trPr>
        <w:tc>
          <w:tcPr>
            <w:tcW w:w="477" w:type="dxa"/>
            <w:vMerge w:val="continue"/>
            <w:tcBorders>
              <w:left w:val="single" w:color="auto" w:sz="4" w:space="0"/>
              <w:right w:val="single" w:color="auto" w:sz="4" w:space="0"/>
            </w:tcBorders>
            <w:vAlign w:val="center"/>
          </w:tcPr>
          <w:p w14:paraId="2839CF27">
            <w:pPr>
              <w:pStyle w:val="94"/>
              <w:numPr>
                <w:ilvl w:val="0"/>
                <w:numId w:val="3"/>
              </w:numPr>
              <w:spacing w:line="240" w:lineRule="exact"/>
              <w:jc w:val="center"/>
              <w:rPr>
                <w:rFonts w:hint="eastAsia" w:ascii="宋体" w:hAnsi="宋体"/>
                <w:color w:val="auto"/>
                <w:kern w:val="2"/>
                <w:sz w:val="18"/>
                <w:szCs w:val="18"/>
              </w:rPr>
            </w:pPr>
          </w:p>
        </w:tc>
        <w:tc>
          <w:tcPr>
            <w:tcW w:w="1710" w:type="dxa"/>
            <w:vMerge w:val="continue"/>
            <w:tcBorders>
              <w:left w:val="nil"/>
              <w:right w:val="single" w:color="auto" w:sz="4" w:space="0"/>
            </w:tcBorders>
            <w:vAlign w:val="center"/>
          </w:tcPr>
          <w:p w14:paraId="4CCCC769">
            <w:pPr>
              <w:spacing w:line="240" w:lineRule="exact"/>
              <w:jc w:val="center"/>
              <w:rPr>
                <w:rFonts w:hint="eastAsia" w:ascii="宋体" w:hAnsi="宋体" w:eastAsia="宋体"/>
                <w:color w:val="auto"/>
                <w:kern w:val="2"/>
                <w:sz w:val="18"/>
                <w:szCs w:val="18"/>
                <w:lang w:eastAsia="zh-CN" w:bidi="ar-SA"/>
              </w:rPr>
            </w:pPr>
          </w:p>
        </w:tc>
        <w:tc>
          <w:tcPr>
            <w:tcW w:w="3543" w:type="dxa"/>
            <w:tcBorders>
              <w:top w:val="nil"/>
              <w:left w:val="nil"/>
              <w:bottom w:val="single" w:color="auto" w:sz="4" w:space="0"/>
              <w:right w:val="single" w:color="auto" w:sz="4" w:space="0"/>
            </w:tcBorders>
            <w:vAlign w:val="center"/>
          </w:tcPr>
          <w:p w14:paraId="670AE27B">
            <w:pPr>
              <w:spacing w:line="240" w:lineRule="exact"/>
              <w:jc w:val="both"/>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7）监理人在标准化建设检查考核中不达标或存在问题较多的</w:t>
            </w:r>
          </w:p>
        </w:tc>
        <w:tc>
          <w:tcPr>
            <w:tcW w:w="990" w:type="dxa"/>
            <w:tcBorders>
              <w:top w:val="nil"/>
              <w:left w:val="nil"/>
              <w:bottom w:val="single" w:color="auto" w:sz="4" w:space="0"/>
              <w:right w:val="single" w:color="auto" w:sz="4" w:space="0"/>
            </w:tcBorders>
            <w:vAlign w:val="center"/>
          </w:tcPr>
          <w:p w14:paraId="279F72A2">
            <w:pPr>
              <w:spacing w:line="240" w:lineRule="exact"/>
              <w:jc w:val="center"/>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元/次</w:t>
            </w:r>
          </w:p>
        </w:tc>
        <w:tc>
          <w:tcPr>
            <w:tcW w:w="1904" w:type="dxa"/>
            <w:tcBorders>
              <w:top w:val="nil"/>
              <w:left w:val="single" w:color="auto" w:sz="4" w:space="0"/>
              <w:bottom w:val="single" w:color="auto" w:sz="4" w:space="0"/>
              <w:right w:val="single" w:color="auto" w:sz="4" w:space="0"/>
            </w:tcBorders>
            <w:vAlign w:val="center"/>
          </w:tcPr>
          <w:p w14:paraId="2AFD848C">
            <w:pPr>
              <w:spacing w:line="240" w:lineRule="exact"/>
              <w:jc w:val="center"/>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2000</w:t>
            </w:r>
          </w:p>
        </w:tc>
      </w:tr>
      <w:tr w14:paraId="4503C93B">
        <w:tblPrEx>
          <w:tblCellMar>
            <w:top w:w="0" w:type="dxa"/>
            <w:left w:w="0" w:type="dxa"/>
            <w:bottom w:w="0" w:type="dxa"/>
            <w:right w:w="0" w:type="dxa"/>
          </w:tblCellMar>
        </w:tblPrEx>
        <w:trPr>
          <w:trHeight w:val="555" w:hRule="atLeast"/>
          <w:jc w:val="center"/>
        </w:trPr>
        <w:tc>
          <w:tcPr>
            <w:tcW w:w="477" w:type="dxa"/>
            <w:vMerge w:val="continue"/>
            <w:tcBorders>
              <w:left w:val="single" w:color="auto" w:sz="4" w:space="0"/>
              <w:right w:val="single" w:color="auto" w:sz="4" w:space="0"/>
            </w:tcBorders>
            <w:vAlign w:val="center"/>
          </w:tcPr>
          <w:p w14:paraId="62CC33CF">
            <w:pPr>
              <w:pStyle w:val="94"/>
              <w:numPr>
                <w:ilvl w:val="0"/>
                <w:numId w:val="3"/>
              </w:numPr>
              <w:spacing w:line="240" w:lineRule="exact"/>
              <w:jc w:val="center"/>
              <w:rPr>
                <w:rFonts w:hint="eastAsia" w:ascii="宋体" w:hAnsi="宋体"/>
                <w:color w:val="auto"/>
                <w:kern w:val="2"/>
                <w:sz w:val="18"/>
                <w:szCs w:val="18"/>
              </w:rPr>
            </w:pPr>
          </w:p>
        </w:tc>
        <w:tc>
          <w:tcPr>
            <w:tcW w:w="1710" w:type="dxa"/>
            <w:vMerge w:val="continue"/>
            <w:tcBorders>
              <w:left w:val="nil"/>
              <w:right w:val="single" w:color="auto" w:sz="4" w:space="0"/>
            </w:tcBorders>
            <w:vAlign w:val="center"/>
          </w:tcPr>
          <w:p w14:paraId="4EEC886E">
            <w:pPr>
              <w:spacing w:line="240" w:lineRule="exact"/>
              <w:jc w:val="center"/>
              <w:rPr>
                <w:rFonts w:hint="eastAsia" w:ascii="宋体" w:hAnsi="宋体" w:eastAsia="宋体"/>
                <w:color w:val="auto"/>
                <w:kern w:val="2"/>
                <w:sz w:val="18"/>
                <w:szCs w:val="18"/>
                <w:lang w:eastAsia="zh-CN" w:bidi="ar-SA"/>
              </w:rPr>
            </w:pPr>
          </w:p>
        </w:tc>
        <w:tc>
          <w:tcPr>
            <w:tcW w:w="3543" w:type="dxa"/>
            <w:tcBorders>
              <w:top w:val="nil"/>
              <w:left w:val="nil"/>
              <w:bottom w:val="single" w:color="auto" w:sz="4" w:space="0"/>
              <w:right w:val="single" w:color="auto" w:sz="4" w:space="0"/>
            </w:tcBorders>
            <w:vAlign w:val="center"/>
          </w:tcPr>
          <w:p w14:paraId="633AC3F1">
            <w:pPr>
              <w:spacing w:line="240" w:lineRule="exact"/>
              <w:jc w:val="both"/>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8）监理人未及时监督承包人按照施工标准化进行管理且未提出整改意见的</w:t>
            </w:r>
          </w:p>
        </w:tc>
        <w:tc>
          <w:tcPr>
            <w:tcW w:w="990" w:type="dxa"/>
            <w:tcBorders>
              <w:top w:val="nil"/>
              <w:left w:val="nil"/>
              <w:bottom w:val="single" w:color="auto" w:sz="4" w:space="0"/>
              <w:right w:val="single" w:color="auto" w:sz="4" w:space="0"/>
            </w:tcBorders>
            <w:vAlign w:val="center"/>
          </w:tcPr>
          <w:p w14:paraId="607BE88A">
            <w:pPr>
              <w:spacing w:line="240" w:lineRule="exact"/>
              <w:jc w:val="center"/>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元/次</w:t>
            </w:r>
          </w:p>
        </w:tc>
        <w:tc>
          <w:tcPr>
            <w:tcW w:w="1904" w:type="dxa"/>
            <w:tcBorders>
              <w:top w:val="nil"/>
              <w:left w:val="single" w:color="auto" w:sz="4" w:space="0"/>
              <w:bottom w:val="single" w:color="auto" w:sz="4" w:space="0"/>
              <w:right w:val="single" w:color="auto" w:sz="4" w:space="0"/>
            </w:tcBorders>
            <w:vAlign w:val="center"/>
          </w:tcPr>
          <w:p w14:paraId="0C94D6DE">
            <w:pPr>
              <w:spacing w:line="240" w:lineRule="exact"/>
              <w:jc w:val="center"/>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1000</w:t>
            </w:r>
          </w:p>
        </w:tc>
      </w:tr>
      <w:tr w14:paraId="257AF880">
        <w:tblPrEx>
          <w:tblCellMar>
            <w:top w:w="0" w:type="dxa"/>
            <w:left w:w="0" w:type="dxa"/>
            <w:bottom w:w="0" w:type="dxa"/>
            <w:right w:w="0" w:type="dxa"/>
          </w:tblCellMar>
        </w:tblPrEx>
        <w:trPr>
          <w:trHeight w:val="563" w:hRule="atLeast"/>
          <w:jc w:val="center"/>
        </w:trPr>
        <w:tc>
          <w:tcPr>
            <w:tcW w:w="477" w:type="dxa"/>
            <w:vMerge w:val="continue"/>
            <w:tcBorders>
              <w:left w:val="single" w:color="auto" w:sz="4" w:space="0"/>
              <w:right w:val="single" w:color="auto" w:sz="4" w:space="0"/>
            </w:tcBorders>
            <w:vAlign w:val="center"/>
          </w:tcPr>
          <w:p w14:paraId="3D4BBA52">
            <w:pPr>
              <w:pStyle w:val="94"/>
              <w:numPr>
                <w:ilvl w:val="0"/>
                <w:numId w:val="3"/>
              </w:numPr>
              <w:spacing w:line="240" w:lineRule="exact"/>
              <w:jc w:val="center"/>
              <w:rPr>
                <w:rFonts w:hint="eastAsia" w:ascii="宋体" w:hAnsi="宋体"/>
                <w:color w:val="auto"/>
                <w:kern w:val="2"/>
                <w:sz w:val="18"/>
                <w:szCs w:val="18"/>
              </w:rPr>
            </w:pPr>
          </w:p>
        </w:tc>
        <w:tc>
          <w:tcPr>
            <w:tcW w:w="1710" w:type="dxa"/>
            <w:vMerge w:val="continue"/>
            <w:tcBorders>
              <w:left w:val="nil"/>
              <w:right w:val="single" w:color="auto" w:sz="4" w:space="0"/>
            </w:tcBorders>
            <w:vAlign w:val="center"/>
          </w:tcPr>
          <w:p w14:paraId="1D37A61F">
            <w:pPr>
              <w:spacing w:line="240" w:lineRule="exact"/>
              <w:jc w:val="center"/>
              <w:rPr>
                <w:rFonts w:hint="eastAsia" w:ascii="宋体" w:hAnsi="宋体" w:eastAsia="宋体"/>
                <w:color w:val="auto"/>
                <w:kern w:val="2"/>
                <w:sz w:val="18"/>
                <w:szCs w:val="18"/>
                <w:lang w:eastAsia="zh-CN" w:bidi="ar-SA"/>
              </w:rPr>
            </w:pPr>
          </w:p>
        </w:tc>
        <w:tc>
          <w:tcPr>
            <w:tcW w:w="3543" w:type="dxa"/>
            <w:tcBorders>
              <w:top w:val="nil"/>
              <w:left w:val="nil"/>
              <w:bottom w:val="single" w:color="auto" w:sz="4" w:space="0"/>
              <w:right w:val="single" w:color="auto" w:sz="4" w:space="0"/>
            </w:tcBorders>
            <w:vAlign w:val="center"/>
          </w:tcPr>
          <w:p w14:paraId="7AECADED">
            <w:pPr>
              <w:spacing w:line="240" w:lineRule="exact"/>
              <w:jc w:val="both"/>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9）监理人未按要求对承包人进行定期、专项安全检查或未以书面形式下发整改通知的</w:t>
            </w:r>
          </w:p>
        </w:tc>
        <w:tc>
          <w:tcPr>
            <w:tcW w:w="990" w:type="dxa"/>
            <w:tcBorders>
              <w:top w:val="nil"/>
              <w:left w:val="nil"/>
              <w:bottom w:val="single" w:color="auto" w:sz="4" w:space="0"/>
              <w:right w:val="single" w:color="auto" w:sz="4" w:space="0"/>
            </w:tcBorders>
            <w:vAlign w:val="center"/>
          </w:tcPr>
          <w:p w14:paraId="64D965EA">
            <w:pPr>
              <w:spacing w:line="240" w:lineRule="exact"/>
              <w:jc w:val="center"/>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元/次</w:t>
            </w:r>
          </w:p>
        </w:tc>
        <w:tc>
          <w:tcPr>
            <w:tcW w:w="1904" w:type="dxa"/>
            <w:tcBorders>
              <w:top w:val="nil"/>
              <w:left w:val="single" w:color="auto" w:sz="4" w:space="0"/>
              <w:bottom w:val="single" w:color="auto" w:sz="4" w:space="0"/>
              <w:right w:val="single" w:color="auto" w:sz="4" w:space="0"/>
            </w:tcBorders>
            <w:vAlign w:val="center"/>
          </w:tcPr>
          <w:p w14:paraId="0327B5ED">
            <w:pPr>
              <w:spacing w:line="240" w:lineRule="exact"/>
              <w:jc w:val="center"/>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500</w:t>
            </w:r>
          </w:p>
        </w:tc>
      </w:tr>
      <w:tr w14:paraId="708BFED2">
        <w:tblPrEx>
          <w:tblCellMar>
            <w:top w:w="0" w:type="dxa"/>
            <w:left w:w="0" w:type="dxa"/>
            <w:bottom w:w="0" w:type="dxa"/>
            <w:right w:w="0" w:type="dxa"/>
          </w:tblCellMar>
        </w:tblPrEx>
        <w:trPr>
          <w:trHeight w:val="737" w:hRule="atLeast"/>
          <w:jc w:val="center"/>
        </w:trPr>
        <w:tc>
          <w:tcPr>
            <w:tcW w:w="477" w:type="dxa"/>
            <w:vMerge w:val="continue"/>
            <w:tcBorders>
              <w:left w:val="single" w:color="auto" w:sz="4" w:space="0"/>
              <w:right w:val="single" w:color="auto" w:sz="4" w:space="0"/>
            </w:tcBorders>
            <w:vAlign w:val="center"/>
          </w:tcPr>
          <w:p w14:paraId="799C1134">
            <w:pPr>
              <w:pStyle w:val="94"/>
              <w:numPr>
                <w:ilvl w:val="0"/>
                <w:numId w:val="3"/>
              </w:numPr>
              <w:spacing w:line="240" w:lineRule="exact"/>
              <w:jc w:val="center"/>
              <w:rPr>
                <w:rFonts w:hint="eastAsia" w:ascii="宋体" w:hAnsi="宋体"/>
                <w:color w:val="auto"/>
                <w:kern w:val="2"/>
                <w:sz w:val="18"/>
                <w:szCs w:val="18"/>
              </w:rPr>
            </w:pPr>
          </w:p>
        </w:tc>
        <w:tc>
          <w:tcPr>
            <w:tcW w:w="1710" w:type="dxa"/>
            <w:vMerge w:val="continue"/>
            <w:tcBorders>
              <w:left w:val="nil"/>
              <w:right w:val="single" w:color="auto" w:sz="4" w:space="0"/>
            </w:tcBorders>
            <w:vAlign w:val="center"/>
          </w:tcPr>
          <w:p w14:paraId="734CEC67">
            <w:pPr>
              <w:spacing w:line="240" w:lineRule="exact"/>
              <w:jc w:val="center"/>
              <w:rPr>
                <w:rFonts w:hint="eastAsia" w:ascii="宋体" w:hAnsi="宋体" w:eastAsia="宋体"/>
                <w:color w:val="auto"/>
                <w:kern w:val="2"/>
                <w:sz w:val="18"/>
                <w:szCs w:val="18"/>
                <w:lang w:eastAsia="zh-CN" w:bidi="ar-SA"/>
              </w:rPr>
            </w:pPr>
          </w:p>
        </w:tc>
        <w:tc>
          <w:tcPr>
            <w:tcW w:w="3543" w:type="dxa"/>
            <w:tcBorders>
              <w:top w:val="nil"/>
              <w:left w:val="nil"/>
              <w:bottom w:val="single" w:color="auto" w:sz="4" w:space="0"/>
              <w:right w:val="single" w:color="auto" w:sz="4" w:space="0"/>
            </w:tcBorders>
            <w:vAlign w:val="center"/>
          </w:tcPr>
          <w:p w14:paraId="691616A3">
            <w:pPr>
              <w:spacing w:line="240" w:lineRule="exact"/>
              <w:jc w:val="both"/>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10）监理人未督促承包人及时上报安全生产专项费用总体、年度、月度使用计划并按要求进行安全专项费用投入的</w:t>
            </w:r>
          </w:p>
        </w:tc>
        <w:tc>
          <w:tcPr>
            <w:tcW w:w="990" w:type="dxa"/>
            <w:tcBorders>
              <w:top w:val="nil"/>
              <w:left w:val="nil"/>
              <w:bottom w:val="single" w:color="auto" w:sz="4" w:space="0"/>
              <w:right w:val="single" w:color="auto" w:sz="4" w:space="0"/>
            </w:tcBorders>
            <w:vAlign w:val="center"/>
          </w:tcPr>
          <w:p w14:paraId="0F6F68B9">
            <w:pPr>
              <w:spacing w:line="240" w:lineRule="exact"/>
              <w:jc w:val="center"/>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元/次</w:t>
            </w:r>
          </w:p>
        </w:tc>
        <w:tc>
          <w:tcPr>
            <w:tcW w:w="1904" w:type="dxa"/>
            <w:tcBorders>
              <w:top w:val="nil"/>
              <w:left w:val="single" w:color="auto" w:sz="4" w:space="0"/>
              <w:bottom w:val="single" w:color="auto" w:sz="4" w:space="0"/>
              <w:right w:val="single" w:color="auto" w:sz="4" w:space="0"/>
            </w:tcBorders>
            <w:vAlign w:val="center"/>
          </w:tcPr>
          <w:p w14:paraId="40113E33">
            <w:pPr>
              <w:spacing w:line="240" w:lineRule="exact"/>
              <w:jc w:val="center"/>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500</w:t>
            </w:r>
          </w:p>
        </w:tc>
      </w:tr>
      <w:tr w14:paraId="4386D892">
        <w:tblPrEx>
          <w:tblCellMar>
            <w:top w:w="0" w:type="dxa"/>
            <w:left w:w="0" w:type="dxa"/>
            <w:bottom w:w="0" w:type="dxa"/>
            <w:right w:w="0" w:type="dxa"/>
          </w:tblCellMar>
        </w:tblPrEx>
        <w:trPr>
          <w:trHeight w:val="737" w:hRule="atLeast"/>
          <w:jc w:val="center"/>
        </w:trPr>
        <w:tc>
          <w:tcPr>
            <w:tcW w:w="477" w:type="dxa"/>
            <w:tcBorders>
              <w:top w:val="single" w:color="auto" w:sz="4" w:space="0"/>
              <w:left w:val="single" w:color="auto" w:sz="4" w:space="0"/>
              <w:right w:val="single" w:color="auto" w:sz="4" w:space="0"/>
            </w:tcBorders>
            <w:vAlign w:val="center"/>
          </w:tcPr>
          <w:p w14:paraId="45BBA564">
            <w:pPr>
              <w:pStyle w:val="94"/>
              <w:numPr>
                <w:ilvl w:val="0"/>
                <w:numId w:val="3"/>
              </w:numPr>
              <w:spacing w:line="240" w:lineRule="exact"/>
              <w:jc w:val="center"/>
              <w:rPr>
                <w:rFonts w:hint="eastAsia" w:ascii="宋体" w:hAnsi="宋体"/>
                <w:color w:val="auto"/>
                <w:kern w:val="2"/>
                <w:sz w:val="18"/>
                <w:szCs w:val="18"/>
              </w:rPr>
            </w:pPr>
          </w:p>
        </w:tc>
        <w:tc>
          <w:tcPr>
            <w:tcW w:w="1710" w:type="dxa"/>
            <w:tcBorders>
              <w:top w:val="single" w:color="auto" w:sz="4" w:space="0"/>
              <w:left w:val="nil"/>
              <w:right w:val="single" w:color="auto" w:sz="4" w:space="0"/>
            </w:tcBorders>
            <w:vAlign w:val="center"/>
          </w:tcPr>
          <w:p w14:paraId="4AC4C4C5">
            <w:pPr>
              <w:spacing w:line="240" w:lineRule="exact"/>
              <w:jc w:val="center"/>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农民工</w:t>
            </w:r>
          </w:p>
          <w:p w14:paraId="79BD926E">
            <w:pPr>
              <w:spacing w:line="240" w:lineRule="exact"/>
              <w:jc w:val="center"/>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工资监督和管理</w:t>
            </w:r>
          </w:p>
        </w:tc>
        <w:tc>
          <w:tcPr>
            <w:tcW w:w="3543" w:type="dxa"/>
            <w:tcBorders>
              <w:top w:val="single" w:color="auto" w:sz="4" w:space="0"/>
              <w:left w:val="nil"/>
              <w:bottom w:val="single" w:color="auto" w:sz="4" w:space="0"/>
              <w:right w:val="single" w:color="auto" w:sz="4" w:space="0"/>
            </w:tcBorders>
            <w:vAlign w:val="center"/>
          </w:tcPr>
          <w:p w14:paraId="78A77022">
            <w:pPr>
              <w:spacing w:line="240" w:lineRule="exact"/>
              <w:jc w:val="both"/>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所管辖承包人因拖欠农民工工资，导致农民工群体性上访、阻工、闹事等，监理人负有监控不力责任的</w:t>
            </w:r>
          </w:p>
        </w:tc>
        <w:tc>
          <w:tcPr>
            <w:tcW w:w="990" w:type="dxa"/>
            <w:tcBorders>
              <w:top w:val="single" w:color="auto" w:sz="4" w:space="0"/>
              <w:left w:val="nil"/>
              <w:bottom w:val="single" w:color="auto" w:sz="4" w:space="0"/>
              <w:right w:val="single" w:color="auto" w:sz="4" w:space="0"/>
            </w:tcBorders>
            <w:vAlign w:val="center"/>
          </w:tcPr>
          <w:p w14:paraId="4A85B107">
            <w:pPr>
              <w:spacing w:line="240" w:lineRule="exact"/>
              <w:jc w:val="center"/>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元/次</w:t>
            </w:r>
          </w:p>
        </w:tc>
        <w:tc>
          <w:tcPr>
            <w:tcW w:w="1904" w:type="dxa"/>
            <w:tcBorders>
              <w:top w:val="single" w:color="auto" w:sz="4" w:space="0"/>
              <w:left w:val="single" w:color="auto" w:sz="4" w:space="0"/>
              <w:bottom w:val="single" w:color="auto" w:sz="4" w:space="0"/>
              <w:right w:val="single" w:color="auto" w:sz="4" w:space="0"/>
            </w:tcBorders>
            <w:vAlign w:val="center"/>
          </w:tcPr>
          <w:p w14:paraId="05E529F2">
            <w:pPr>
              <w:spacing w:line="240" w:lineRule="exact"/>
              <w:jc w:val="center"/>
              <w:rPr>
                <w:rFonts w:hint="eastAsia" w:ascii="宋体" w:hAnsi="宋体" w:eastAsia="宋体"/>
                <w:color w:val="auto"/>
                <w:kern w:val="2"/>
                <w:sz w:val="18"/>
                <w:szCs w:val="18"/>
                <w:lang w:eastAsia="zh-CN" w:bidi="ar-SA"/>
              </w:rPr>
            </w:pPr>
            <w:r>
              <w:rPr>
                <w:rFonts w:ascii="宋体" w:hAnsi="宋体" w:eastAsia="宋体"/>
                <w:color w:val="auto"/>
                <w:kern w:val="2"/>
                <w:sz w:val="18"/>
                <w:szCs w:val="18"/>
                <w:lang w:eastAsia="zh-CN" w:bidi="ar-SA"/>
              </w:rPr>
              <w:t>5</w:t>
            </w:r>
            <w:r>
              <w:rPr>
                <w:rFonts w:hint="eastAsia" w:ascii="宋体" w:hAnsi="宋体" w:eastAsia="宋体"/>
                <w:color w:val="auto"/>
                <w:kern w:val="2"/>
                <w:sz w:val="18"/>
                <w:szCs w:val="18"/>
                <w:lang w:eastAsia="zh-CN" w:bidi="ar-SA"/>
              </w:rPr>
              <w:t>000～10000</w:t>
            </w:r>
          </w:p>
        </w:tc>
      </w:tr>
      <w:tr w14:paraId="508F9085">
        <w:tblPrEx>
          <w:tblCellMar>
            <w:top w:w="0" w:type="dxa"/>
            <w:left w:w="0" w:type="dxa"/>
            <w:bottom w:w="0" w:type="dxa"/>
            <w:right w:w="0" w:type="dxa"/>
          </w:tblCellMar>
        </w:tblPrEx>
        <w:trPr>
          <w:trHeight w:val="1618" w:hRule="atLeast"/>
          <w:jc w:val="center"/>
        </w:trPr>
        <w:tc>
          <w:tcPr>
            <w:tcW w:w="2187" w:type="dxa"/>
            <w:gridSpan w:val="2"/>
            <w:tcBorders>
              <w:top w:val="single" w:color="auto" w:sz="4" w:space="0"/>
              <w:left w:val="single" w:color="auto" w:sz="4" w:space="0"/>
              <w:bottom w:val="single" w:color="auto" w:sz="4" w:space="0"/>
              <w:right w:val="single" w:color="auto" w:sz="4" w:space="0"/>
            </w:tcBorders>
            <w:vAlign w:val="center"/>
          </w:tcPr>
          <w:p w14:paraId="272F2099">
            <w:pPr>
              <w:spacing w:line="240" w:lineRule="exact"/>
              <w:jc w:val="center"/>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说明</w:t>
            </w:r>
          </w:p>
        </w:tc>
        <w:tc>
          <w:tcPr>
            <w:tcW w:w="6437" w:type="dxa"/>
            <w:gridSpan w:val="3"/>
            <w:tcBorders>
              <w:top w:val="single" w:color="auto" w:sz="4" w:space="0"/>
              <w:left w:val="nil"/>
              <w:bottom w:val="single" w:color="auto" w:sz="4" w:space="0"/>
              <w:right w:val="single" w:color="auto" w:sz="4" w:space="0"/>
            </w:tcBorders>
            <w:vAlign w:val="center"/>
          </w:tcPr>
          <w:p w14:paraId="560252F7">
            <w:pPr>
              <w:spacing w:line="240" w:lineRule="exact"/>
              <w:jc w:val="both"/>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1）对上述违约行为，委托人视情节轻重，除按本办法进行经济处罚外，还将向上级主管部门通报，按照《公路水运工程监理信用评价办法》（交质监发[20</w:t>
            </w:r>
            <w:r>
              <w:rPr>
                <w:rFonts w:ascii="宋体" w:hAnsi="宋体" w:eastAsia="宋体"/>
                <w:color w:val="auto"/>
                <w:kern w:val="2"/>
                <w:sz w:val="18"/>
                <w:szCs w:val="18"/>
                <w:lang w:eastAsia="zh-CN" w:bidi="ar-SA"/>
              </w:rPr>
              <w:t>12</w:t>
            </w:r>
            <w:r>
              <w:rPr>
                <w:rFonts w:hint="eastAsia" w:ascii="宋体" w:hAnsi="宋体" w:eastAsia="宋体"/>
                <w:color w:val="auto"/>
                <w:kern w:val="2"/>
                <w:sz w:val="18"/>
                <w:szCs w:val="18"/>
                <w:lang w:eastAsia="zh-CN" w:bidi="ar-SA"/>
              </w:rPr>
              <w:t>]</w:t>
            </w:r>
            <w:r>
              <w:rPr>
                <w:rFonts w:ascii="宋体" w:hAnsi="宋体" w:eastAsia="宋体"/>
                <w:color w:val="auto"/>
                <w:kern w:val="2"/>
                <w:sz w:val="18"/>
                <w:szCs w:val="18"/>
                <w:lang w:eastAsia="zh-CN" w:bidi="ar-SA"/>
              </w:rPr>
              <w:t>774</w:t>
            </w:r>
            <w:r>
              <w:rPr>
                <w:rFonts w:hint="eastAsia" w:ascii="宋体" w:hAnsi="宋体" w:eastAsia="宋体"/>
                <w:color w:val="auto"/>
                <w:kern w:val="2"/>
                <w:sz w:val="18"/>
                <w:szCs w:val="18"/>
                <w:lang w:eastAsia="zh-CN" w:bidi="ar-SA"/>
              </w:rPr>
              <w:t>号）对监理人进行信用评价扣分处理，并函告其法人单位，清退当事人；触犯法律法规的，送交司法部门处理。</w:t>
            </w:r>
          </w:p>
          <w:p w14:paraId="3235AF37">
            <w:pPr>
              <w:spacing w:line="240" w:lineRule="exact"/>
              <w:jc w:val="both"/>
              <w:rPr>
                <w:rFonts w:hint="eastAsia" w:ascii="宋体" w:hAnsi="宋体" w:eastAsia="宋体"/>
                <w:color w:val="auto"/>
                <w:kern w:val="2"/>
                <w:sz w:val="18"/>
                <w:szCs w:val="18"/>
                <w:lang w:eastAsia="zh-CN" w:bidi="ar-SA"/>
              </w:rPr>
            </w:pPr>
            <w:r>
              <w:rPr>
                <w:rFonts w:hint="eastAsia" w:ascii="宋体" w:hAnsi="宋体" w:eastAsia="宋体"/>
                <w:color w:val="auto"/>
                <w:kern w:val="2"/>
                <w:sz w:val="18"/>
                <w:szCs w:val="18"/>
                <w:lang w:eastAsia="zh-CN" w:bidi="ar-SA"/>
              </w:rPr>
              <w:t>2）由于上述违约行为而被清退的监理人员，监理人必须按合同规定更换同等资质及以上的人员。</w:t>
            </w:r>
          </w:p>
        </w:tc>
      </w:tr>
    </w:tbl>
    <w:p w14:paraId="2EA8195B">
      <w:pPr>
        <w:spacing w:line="480" w:lineRule="auto"/>
        <w:ind w:firstLine="200" w:firstLineChars="200"/>
        <w:jc w:val="both"/>
        <w:rPr>
          <w:rFonts w:hint="eastAsia" w:ascii="宋体" w:hAnsi="宋体" w:eastAsia="宋体"/>
          <w:color w:val="auto"/>
          <w:kern w:val="2"/>
          <w:sz w:val="10"/>
          <w:szCs w:val="10"/>
          <w:lang w:eastAsia="zh-CN" w:bidi="ar-SA"/>
        </w:rPr>
      </w:pPr>
    </w:p>
    <w:p w14:paraId="01E18623">
      <w:pPr>
        <w:spacing w:line="360" w:lineRule="auto"/>
        <w:jc w:val="center"/>
        <w:outlineLvl w:val="2"/>
        <w:rPr>
          <w:rFonts w:hint="eastAsia" w:ascii="宋体" w:hAnsi="宋体" w:eastAsia="宋体"/>
          <w:b/>
          <w:color w:val="auto"/>
          <w:kern w:val="2"/>
          <w:sz w:val="21"/>
          <w:szCs w:val="21"/>
          <w:lang w:eastAsia="zh-CN" w:bidi="ar-SA"/>
        </w:rPr>
      </w:pPr>
      <w:bookmarkStart w:id="847" w:name="_Toc10033"/>
      <w:bookmarkStart w:id="848" w:name="_Toc224711268"/>
      <w:bookmarkStart w:id="849" w:name="_Toc228603985"/>
      <w:bookmarkStart w:id="850" w:name="_Toc331600878"/>
      <w:bookmarkStart w:id="851" w:name="_Toc329355427"/>
      <w:bookmarkStart w:id="852" w:name="_Toc330979783"/>
      <w:bookmarkStart w:id="853" w:name="_Toc331595966"/>
      <w:r>
        <w:rPr>
          <w:rFonts w:hint="eastAsia" w:ascii="宋体" w:hAnsi="宋体" w:eastAsia="宋体"/>
          <w:b/>
          <w:color w:val="auto"/>
          <w:kern w:val="2"/>
          <w:sz w:val="21"/>
          <w:szCs w:val="21"/>
          <w:lang w:eastAsia="zh-CN" w:bidi="ar-SA"/>
        </w:rPr>
        <w:t>第四章  附则</w:t>
      </w:r>
      <w:bookmarkEnd w:id="847"/>
      <w:bookmarkEnd w:id="848"/>
      <w:bookmarkEnd w:id="849"/>
      <w:bookmarkEnd w:id="850"/>
      <w:bookmarkEnd w:id="851"/>
      <w:bookmarkEnd w:id="852"/>
      <w:bookmarkEnd w:id="853"/>
    </w:p>
    <w:p w14:paraId="43E3AA88">
      <w:pPr>
        <w:spacing w:line="360" w:lineRule="auto"/>
        <w:ind w:firstLine="420"/>
        <w:jc w:val="both"/>
        <w:rPr>
          <w:rFonts w:hint="eastAsia" w:ascii="宋体" w:hAnsi="宋体" w:eastAsia="宋体"/>
          <w:color w:val="auto"/>
          <w:kern w:val="2"/>
          <w:sz w:val="21"/>
          <w:szCs w:val="21"/>
          <w:lang w:eastAsia="zh-CN" w:bidi="ar-SA"/>
        </w:rPr>
      </w:pPr>
      <w:r>
        <w:rPr>
          <w:rFonts w:hint="eastAsia" w:ascii="宋体" w:hAnsi="宋体" w:eastAsia="宋体"/>
          <w:color w:val="auto"/>
          <w:kern w:val="2"/>
          <w:sz w:val="21"/>
          <w:szCs w:val="21"/>
          <w:lang w:eastAsia="zh-CN" w:bidi="ar-SA"/>
        </w:rPr>
        <w:t>第九条 本办法及委托人合同执行过程中下发的管理办法、文件均为监理合同的组成部分，由委托人负责解释。</w:t>
      </w:r>
      <w:bookmarkEnd w:id="825"/>
    </w:p>
    <w:p w14:paraId="1011F7A2">
      <w:pPr>
        <w:widowControl/>
        <w:rPr>
          <w:rFonts w:hint="eastAsia" w:ascii="宋体" w:hAnsi="宋体" w:eastAsia="宋体"/>
          <w:color w:val="auto"/>
          <w:kern w:val="2"/>
          <w:sz w:val="21"/>
          <w:szCs w:val="21"/>
          <w:lang w:eastAsia="zh-CN" w:bidi="ar-SA"/>
        </w:rPr>
      </w:pPr>
      <w:r>
        <w:rPr>
          <w:rFonts w:ascii="宋体" w:hAnsi="宋体" w:eastAsia="宋体"/>
          <w:color w:val="auto"/>
          <w:kern w:val="2"/>
          <w:sz w:val="21"/>
          <w:szCs w:val="21"/>
          <w:lang w:eastAsia="zh-CN" w:bidi="ar-SA"/>
        </w:rPr>
        <w:br w:type="page"/>
      </w:r>
    </w:p>
    <w:p w14:paraId="2A62E30F">
      <w:pPr>
        <w:pStyle w:val="5"/>
        <w:outlineLvl w:val="1"/>
        <w:rPr>
          <w:rFonts w:ascii="Calibri Light" w:hAnsi="Calibri Light" w:eastAsia="宋体"/>
          <w:bCs/>
          <w:color w:val="auto"/>
          <w:kern w:val="2"/>
          <w:szCs w:val="32"/>
          <w:lang w:eastAsia="zh-CN" w:bidi="ar-SA"/>
        </w:rPr>
      </w:pPr>
      <w:bookmarkStart w:id="854" w:name="_Toc31805"/>
      <w:r>
        <w:rPr>
          <w:rFonts w:ascii="Calibri Light" w:hAnsi="Calibri Light" w:eastAsia="宋体"/>
          <w:bCs/>
          <w:color w:val="auto"/>
          <w:kern w:val="2"/>
          <w:szCs w:val="32"/>
          <w:lang w:eastAsia="zh-CN" w:bidi="ar-SA"/>
        </w:rPr>
        <w:t>第</w:t>
      </w:r>
      <w:r>
        <w:rPr>
          <w:rFonts w:hint="eastAsia" w:ascii="Calibri Light" w:hAnsi="Calibri Light" w:eastAsia="宋体"/>
          <w:bCs/>
          <w:color w:val="auto"/>
          <w:kern w:val="2"/>
          <w:szCs w:val="32"/>
          <w:lang w:eastAsia="zh-CN" w:bidi="ar-SA"/>
        </w:rPr>
        <w:t>三</w:t>
      </w:r>
      <w:r>
        <w:rPr>
          <w:rFonts w:ascii="Calibri Light" w:hAnsi="Calibri Light" w:eastAsia="宋体"/>
          <w:bCs/>
          <w:color w:val="auto"/>
          <w:kern w:val="2"/>
          <w:szCs w:val="32"/>
          <w:lang w:eastAsia="zh-CN" w:bidi="ar-SA"/>
        </w:rPr>
        <w:t>节</w:t>
      </w:r>
      <w:r>
        <w:rPr>
          <w:rFonts w:hint="eastAsia" w:ascii="Calibri Light" w:hAnsi="Calibri Light" w:eastAsia="宋体"/>
          <w:bCs/>
          <w:color w:val="auto"/>
          <w:kern w:val="2"/>
          <w:szCs w:val="32"/>
          <w:lang w:eastAsia="zh-CN" w:bidi="ar-SA"/>
        </w:rPr>
        <w:t xml:space="preserve">  </w:t>
      </w:r>
      <w:r>
        <w:rPr>
          <w:rFonts w:ascii="Calibri Light" w:hAnsi="Calibri Light" w:eastAsia="宋体"/>
          <w:bCs/>
          <w:color w:val="auto"/>
          <w:kern w:val="2"/>
          <w:szCs w:val="32"/>
          <w:lang w:eastAsia="zh-CN" w:bidi="ar-SA"/>
        </w:rPr>
        <w:t>合同附件格式</w:t>
      </w:r>
      <w:bookmarkEnd w:id="854"/>
    </w:p>
    <w:p w14:paraId="2EAD7DB5">
      <w:pPr>
        <w:widowControl/>
        <w:rPr>
          <w:rFonts w:ascii="Calibri Light" w:hAnsi="Calibri Light" w:eastAsia="宋体"/>
          <w:b/>
          <w:bCs/>
          <w:color w:val="auto"/>
          <w:kern w:val="2"/>
          <w:sz w:val="32"/>
          <w:szCs w:val="32"/>
          <w:lang w:eastAsia="zh-CN" w:bidi="ar-SA"/>
        </w:rPr>
      </w:pPr>
      <w:r>
        <w:rPr>
          <w:rFonts w:ascii="Calibri Light" w:hAnsi="Calibri Light" w:eastAsia="宋体"/>
          <w:bCs/>
          <w:color w:val="auto"/>
          <w:kern w:val="2"/>
          <w:szCs w:val="32"/>
          <w:lang w:eastAsia="zh-CN" w:bidi="ar-SA"/>
        </w:rPr>
        <w:br w:type="page"/>
      </w:r>
    </w:p>
    <w:p w14:paraId="0B5B2AC3">
      <w:pPr>
        <w:snapToGrid w:val="0"/>
        <w:spacing w:before="240" w:beforeLines="100" w:after="240" w:afterLines="100"/>
        <w:outlineLvl w:val="1"/>
        <w:rPr>
          <w:rFonts w:hint="eastAsia" w:ascii="宋体" w:hAnsi="宋体" w:eastAsia="宋体" w:cs="宋体"/>
          <w:b/>
          <w:color w:val="auto"/>
          <w:spacing w:val="-10"/>
          <w:lang w:eastAsia="zh-CN" w:bidi="ar-SA"/>
        </w:rPr>
      </w:pPr>
      <w:bookmarkStart w:id="855" w:name="_Toc32671"/>
      <w:r>
        <w:rPr>
          <w:rFonts w:ascii="宋体" w:hAnsi="宋体" w:eastAsia="宋体" w:cs="宋体"/>
          <w:b/>
          <w:color w:val="auto"/>
          <w:spacing w:val="-10"/>
          <w:lang w:eastAsia="zh-CN" w:bidi="ar-SA"/>
        </w:rPr>
        <w:t>附件一 合同协议书</w:t>
      </w:r>
      <w:bookmarkEnd w:id="855"/>
    </w:p>
    <w:p w14:paraId="43843D9A">
      <w:pPr>
        <w:spacing w:line="360" w:lineRule="auto"/>
        <w:ind w:firstLine="482" w:firstLineChars="200"/>
        <w:jc w:val="center"/>
        <w:rPr>
          <w:rFonts w:eastAsia="宋体" w:cs="宋体"/>
          <w:b/>
          <w:color w:val="auto"/>
          <w:lang w:eastAsia="zh-CN" w:bidi="ar-SA"/>
        </w:rPr>
      </w:pPr>
      <w:r>
        <w:rPr>
          <w:rFonts w:eastAsia="宋体" w:cs="宋体"/>
          <w:b/>
          <w:color w:val="auto"/>
          <w:lang w:eastAsia="zh-CN" w:bidi="ar-SA"/>
        </w:rPr>
        <w:t>合同协议书</w:t>
      </w:r>
    </w:p>
    <w:p w14:paraId="433C10B7">
      <w:pPr>
        <w:spacing w:line="440" w:lineRule="exact"/>
        <w:ind w:firstLine="420" w:firstLineChars="200"/>
        <w:jc w:val="both"/>
        <w:rPr>
          <w:rFonts w:eastAsia="宋体"/>
          <w:color w:val="auto"/>
          <w:kern w:val="2"/>
          <w:sz w:val="21"/>
          <w:szCs w:val="21"/>
          <w:lang w:eastAsia="zh-CN" w:bidi="ar-SA"/>
        </w:rPr>
      </w:pPr>
      <w:r>
        <w:rPr>
          <w:rFonts w:eastAsia="宋体"/>
          <w:color w:val="auto"/>
          <w:kern w:val="2"/>
          <w:sz w:val="21"/>
          <w:szCs w:val="21"/>
          <w:u w:val="single"/>
          <w:lang w:eastAsia="zh-CN" w:bidi="ar-SA"/>
        </w:rPr>
        <w:t xml:space="preserve">                   </w:t>
      </w:r>
      <w:r>
        <w:rPr>
          <w:rFonts w:eastAsia="宋体"/>
          <w:color w:val="auto"/>
          <w:kern w:val="2"/>
          <w:sz w:val="21"/>
          <w:szCs w:val="21"/>
          <w:lang w:eastAsia="zh-CN" w:bidi="ar-SA"/>
        </w:rPr>
        <w:t>（委托人名称，以下简称“委托人”）为实施</w:t>
      </w:r>
      <w:r>
        <w:rPr>
          <w:rFonts w:eastAsia="宋体"/>
          <w:color w:val="auto"/>
          <w:kern w:val="2"/>
          <w:sz w:val="21"/>
          <w:szCs w:val="21"/>
          <w:u w:val="single"/>
          <w:lang w:eastAsia="zh-CN" w:bidi="ar-SA"/>
        </w:rPr>
        <w:t xml:space="preserve">                </w:t>
      </w:r>
      <w:r>
        <w:rPr>
          <w:rFonts w:eastAsia="宋体"/>
          <w:color w:val="auto"/>
          <w:kern w:val="2"/>
          <w:sz w:val="21"/>
          <w:szCs w:val="21"/>
          <w:lang w:eastAsia="zh-CN" w:bidi="ar-SA"/>
        </w:rPr>
        <w:t>（项目名称），已接受</w:t>
      </w:r>
      <w:r>
        <w:rPr>
          <w:rFonts w:eastAsia="宋体"/>
          <w:color w:val="auto"/>
          <w:kern w:val="2"/>
          <w:sz w:val="21"/>
          <w:szCs w:val="21"/>
          <w:u w:val="single"/>
          <w:lang w:eastAsia="zh-CN" w:bidi="ar-SA"/>
        </w:rPr>
        <w:t xml:space="preserve">                    </w:t>
      </w:r>
      <w:r>
        <w:rPr>
          <w:rFonts w:eastAsia="宋体"/>
          <w:color w:val="auto"/>
          <w:kern w:val="2"/>
          <w:sz w:val="21"/>
          <w:szCs w:val="21"/>
          <w:lang w:eastAsia="zh-CN" w:bidi="ar-SA"/>
        </w:rPr>
        <w:t>（监理人名称，以下简称“监理人”）对该项目监理投标。委托人和监理人共同达成如下协议。</w:t>
      </w:r>
    </w:p>
    <w:p w14:paraId="725A192A">
      <w:pPr>
        <w:spacing w:line="440" w:lineRule="exact"/>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1. 本协议书与下列文件一起构成合同文件：</w:t>
      </w:r>
    </w:p>
    <w:p w14:paraId="0584548D">
      <w:pPr>
        <w:spacing w:line="440" w:lineRule="exact"/>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（1）中标通知书</w:t>
      </w:r>
      <w:r>
        <w:rPr>
          <w:rFonts w:hint="eastAsia" w:eastAsia="宋体"/>
          <w:color w:val="auto"/>
          <w:kern w:val="2"/>
          <w:sz w:val="21"/>
          <w:szCs w:val="21"/>
          <w:lang w:eastAsia="zh-CN" w:bidi="ar-SA"/>
        </w:rPr>
        <w:t>；</w:t>
      </w:r>
    </w:p>
    <w:p w14:paraId="40AC551A">
      <w:pPr>
        <w:spacing w:line="440" w:lineRule="exact"/>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（2）投标函及投标函附录；</w:t>
      </w:r>
    </w:p>
    <w:p w14:paraId="2E49A2E9">
      <w:pPr>
        <w:spacing w:line="440" w:lineRule="exact"/>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（3）</w:t>
      </w:r>
      <w:r>
        <w:rPr>
          <w:rFonts w:hint="eastAsia" w:eastAsia="宋体"/>
          <w:color w:val="auto"/>
          <w:kern w:val="2"/>
          <w:sz w:val="21"/>
          <w:szCs w:val="21"/>
          <w:lang w:eastAsia="zh-CN" w:bidi="ar-SA"/>
        </w:rPr>
        <w:t>专用合同条款及其附件（含招标文件补遗书中与此有关的部分）</w:t>
      </w:r>
      <w:r>
        <w:rPr>
          <w:rFonts w:eastAsia="宋体"/>
          <w:color w:val="auto"/>
          <w:kern w:val="2"/>
          <w:sz w:val="21"/>
          <w:szCs w:val="21"/>
          <w:lang w:eastAsia="zh-CN" w:bidi="ar-SA"/>
        </w:rPr>
        <w:t>；</w:t>
      </w:r>
    </w:p>
    <w:p w14:paraId="59FB7DAA">
      <w:pPr>
        <w:spacing w:line="440" w:lineRule="exact"/>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（4）通用合同条款；</w:t>
      </w:r>
    </w:p>
    <w:p w14:paraId="2010C55E">
      <w:pPr>
        <w:spacing w:line="440" w:lineRule="exact"/>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（5）委托人要求；</w:t>
      </w:r>
    </w:p>
    <w:p w14:paraId="3E705C20">
      <w:pPr>
        <w:spacing w:line="440" w:lineRule="exact"/>
        <w:ind w:firstLine="420" w:firstLineChars="200"/>
        <w:jc w:val="both"/>
        <w:rPr>
          <w:rFonts w:eastAsia="宋体"/>
          <w:color w:val="auto"/>
          <w:kern w:val="2"/>
          <w:sz w:val="21"/>
          <w:szCs w:val="21"/>
          <w:lang w:eastAsia="zh-CN" w:bidi="ar-SA"/>
        </w:rPr>
      </w:pPr>
      <w:r>
        <w:rPr>
          <w:rFonts w:hint="eastAsia" w:eastAsia="宋体"/>
          <w:color w:val="auto"/>
          <w:kern w:val="2"/>
          <w:sz w:val="21"/>
          <w:szCs w:val="21"/>
          <w:lang w:eastAsia="zh-CN" w:bidi="ar-SA"/>
        </w:rPr>
        <w:t>（6）施工监理规范（包括《水运工程施工监理规范</w:t>
      </w:r>
      <w:r>
        <w:rPr>
          <w:rFonts w:eastAsia="宋体"/>
          <w:color w:val="auto"/>
          <w:kern w:val="2"/>
          <w:sz w:val="21"/>
          <w:szCs w:val="21"/>
          <w:lang w:eastAsia="zh-CN" w:bidi="ar-SA"/>
        </w:rPr>
        <w:t>JTS 252-2015</w:t>
      </w:r>
      <w:r>
        <w:rPr>
          <w:rFonts w:hint="eastAsia" w:eastAsia="宋体"/>
          <w:color w:val="auto"/>
          <w:kern w:val="2"/>
          <w:sz w:val="21"/>
          <w:szCs w:val="21"/>
          <w:lang w:eastAsia="zh-CN" w:bidi="ar-SA"/>
        </w:rPr>
        <w:t>》）；</w:t>
      </w:r>
    </w:p>
    <w:p w14:paraId="778AFB35">
      <w:pPr>
        <w:spacing w:line="440" w:lineRule="exact"/>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（7）监理报酬清单；</w:t>
      </w:r>
    </w:p>
    <w:p w14:paraId="29D41A50">
      <w:pPr>
        <w:spacing w:line="440" w:lineRule="exact"/>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（8）监理大纲；</w:t>
      </w:r>
    </w:p>
    <w:p w14:paraId="490244DB">
      <w:pPr>
        <w:spacing w:line="440" w:lineRule="exact"/>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（9）</w:t>
      </w:r>
      <w:r>
        <w:rPr>
          <w:rFonts w:hint="eastAsia" w:eastAsia="宋体"/>
          <w:color w:val="auto"/>
          <w:kern w:val="2"/>
          <w:sz w:val="21"/>
          <w:szCs w:val="21"/>
          <w:lang w:eastAsia="zh-CN" w:bidi="ar-SA"/>
        </w:rPr>
        <w:t>上级主管部门印发的标准化管理、平安工地建设、品质工程创建等相关要求文件；</w:t>
      </w:r>
    </w:p>
    <w:p w14:paraId="77185E92">
      <w:pPr>
        <w:spacing w:line="440" w:lineRule="exact"/>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（10）委托人根据相关规定及合同条款后续制定的相关管理制度、办法、文件等</w:t>
      </w:r>
      <w:r>
        <w:rPr>
          <w:rFonts w:hint="eastAsia" w:eastAsia="宋体"/>
          <w:color w:val="auto"/>
          <w:kern w:val="2"/>
          <w:sz w:val="21"/>
          <w:szCs w:val="21"/>
          <w:lang w:eastAsia="zh-CN" w:bidi="ar-SA"/>
        </w:rPr>
        <w:t>；</w:t>
      </w:r>
    </w:p>
    <w:p w14:paraId="7CF0FF25">
      <w:pPr>
        <w:spacing w:line="440" w:lineRule="exact"/>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w:t>
      </w:r>
      <w:r>
        <w:rPr>
          <w:rFonts w:hint="eastAsia" w:eastAsia="宋体"/>
          <w:color w:val="auto"/>
          <w:kern w:val="2"/>
          <w:sz w:val="21"/>
          <w:szCs w:val="21"/>
          <w:lang w:eastAsia="zh-CN" w:bidi="ar-SA"/>
        </w:rPr>
        <w:t>1</w:t>
      </w:r>
      <w:r>
        <w:rPr>
          <w:rFonts w:eastAsia="宋体"/>
          <w:color w:val="auto"/>
          <w:kern w:val="2"/>
          <w:sz w:val="21"/>
          <w:szCs w:val="21"/>
          <w:lang w:eastAsia="zh-CN" w:bidi="ar-SA"/>
        </w:rPr>
        <w:t>1）其他合同文件。</w:t>
      </w:r>
    </w:p>
    <w:p w14:paraId="4479353D">
      <w:pPr>
        <w:spacing w:line="440" w:lineRule="exact"/>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2. 上述合同文件互相补充和解释。如果合同文件之间存在矛盾或不一致之处，以上述文件的排列顺序在先者为准。</w:t>
      </w:r>
    </w:p>
    <w:p w14:paraId="78FC364E">
      <w:pPr>
        <w:spacing w:line="440" w:lineRule="exact"/>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3. 签约合同价：人民币（大写）</w:t>
      </w:r>
      <w:r>
        <w:rPr>
          <w:rFonts w:eastAsia="宋体"/>
          <w:color w:val="auto"/>
          <w:kern w:val="2"/>
          <w:sz w:val="21"/>
          <w:szCs w:val="22"/>
          <w:u w:val="single"/>
          <w:lang w:eastAsia="zh-CN" w:bidi="ar-SA"/>
        </w:rPr>
        <w:t xml:space="preserve">              </w:t>
      </w:r>
      <w:r>
        <w:rPr>
          <w:rFonts w:eastAsia="宋体"/>
          <w:color w:val="auto"/>
          <w:kern w:val="2"/>
          <w:sz w:val="21"/>
          <w:szCs w:val="21"/>
          <w:lang w:eastAsia="zh-CN" w:bidi="ar-SA"/>
        </w:rPr>
        <w:t>（¥</w:t>
      </w:r>
      <w:r>
        <w:rPr>
          <w:rFonts w:eastAsia="宋体"/>
          <w:color w:val="auto"/>
          <w:kern w:val="2"/>
          <w:sz w:val="21"/>
          <w:szCs w:val="22"/>
          <w:u w:val="single"/>
          <w:lang w:eastAsia="zh-CN" w:bidi="ar-SA"/>
        </w:rPr>
        <w:t xml:space="preserve">              </w:t>
      </w:r>
      <w:r>
        <w:rPr>
          <w:rFonts w:eastAsia="宋体"/>
          <w:color w:val="auto"/>
          <w:kern w:val="2"/>
          <w:sz w:val="21"/>
          <w:szCs w:val="21"/>
          <w:lang w:eastAsia="zh-CN" w:bidi="ar-SA"/>
        </w:rPr>
        <w:t>）</w:t>
      </w:r>
      <w:r>
        <w:rPr>
          <w:rFonts w:hint="eastAsia" w:eastAsia="宋体"/>
          <w:color w:val="auto"/>
          <w:kern w:val="2"/>
          <w:sz w:val="21"/>
          <w:szCs w:val="21"/>
          <w:lang w:eastAsia="zh-CN" w:bidi="ar-SA"/>
        </w:rPr>
        <w:t>；</w:t>
      </w:r>
    </w:p>
    <w:p w14:paraId="7EBC43AC">
      <w:pPr>
        <w:spacing w:line="440" w:lineRule="exact"/>
        <w:ind w:firstLine="420" w:firstLineChars="200"/>
        <w:jc w:val="both"/>
        <w:rPr>
          <w:rFonts w:eastAsia="宋体"/>
          <w:color w:val="auto"/>
          <w:kern w:val="2"/>
          <w:sz w:val="21"/>
          <w:szCs w:val="21"/>
          <w:lang w:eastAsia="zh-CN" w:bidi="ar-SA"/>
        </w:rPr>
      </w:pPr>
      <w:r>
        <w:rPr>
          <w:rFonts w:hint="eastAsia" w:eastAsia="宋体"/>
          <w:color w:val="auto"/>
          <w:kern w:val="2"/>
          <w:sz w:val="21"/>
          <w:szCs w:val="21"/>
          <w:lang w:eastAsia="zh-CN" w:bidi="ar-SA"/>
        </w:rPr>
        <w:t>其中：其中：施工阶段监理服务费</w:t>
      </w:r>
      <w:r>
        <w:rPr>
          <w:rFonts w:hint="eastAsia" w:eastAsia="宋体"/>
          <w:color w:val="auto"/>
          <w:kern w:val="2"/>
          <w:sz w:val="21"/>
          <w:szCs w:val="21"/>
          <w:u w:val="single"/>
          <w:lang w:eastAsia="zh-CN" w:bidi="ar-SA"/>
        </w:rPr>
        <w:t xml:space="preserve">                 </w:t>
      </w:r>
      <w:r>
        <w:rPr>
          <w:rFonts w:hint="eastAsia" w:eastAsia="宋体"/>
          <w:color w:val="auto"/>
          <w:kern w:val="2"/>
          <w:sz w:val="21"/>
          <w:szCs w:val="21"/>
          <w:lang w:eastAsia="zh-CN" w:bidi="ar-SA"/>
        </w:rPr>
        <w:t>元；</w:t>
      </w:r>
    </w:p>
    <w:p w14:paraId="177D08B6">
      <w:pPr>
        <w:spacing w:line="440" w:lineRule="exact"/>
        <w:ind w:firstLine="420" w:firstLineChars="200"/>
        <w:jc w:val="both"/>
        <w:rPr>
          <w:rFonts w:eastAsia="宋体"/>
          <w:color w:val="auto"/>
          <w:kern w:val="2"/>
          <w:sz w:val="21"/>
          <w:szCs w:val="21"/>
          <w:lang w:eastAsia="zh-CN" w:bidi="ar-SA"/>
        </w:rPr>
      </w:pPr>
      <w:r>
        <w:rPr>
          <w:rFonts w:hint="eastAsia" w:eastAsia="宋体"/>
          <w:color w:val="auto"/>
          <w:kern w:val="2"/>
          <w:sz w:val="21"/>
          <w:szCs w:val="21"/>
          <w:lang w:eastAsia="zh-CN" w:bidi="ar-SA"/>
        </w:rPr>
        <w:t xml:space="preserve">      缺陷责任期阶段监理服务费</w:t>
      </w:r>
      <w:r>
        <w:rPr>
          <w:rFonts w:hint="eastAsia" w:eastAsia="宋体"/>
          <w:color w:val="auto"/>
          <w:kern w:val="2"/>
          <w:sz w:val="21"/>
          <w:szCs w:val="21"/>
          <w:u w:val="single"/>
          <w:lang w:eastAsia="zh-CN" w:bidi="ar-SA"/>
        </w:rPr>
        <w:t xml:space="preserve">                 </w:t>
      </w:r>
      <w:r>
        <w:rPr>
          <w:rFonts w:hint="eastAsia" w:eastAsia="宋体"/>
          <w:color w:val="auto"/>
          <w:kern w:val="2"/>
          <w:sz w:val="21"/>
          <w:szCs w:val="21"/>
          <w:lang w:eastAsia="zh-CN" w:bidi="ar-SA"/>
        </w:rPr>
        <w:t xml:space="preserve">元； </w:t>
      </w:r>
    </w:p>
    <w:p w14:paraId="32C3DEE6">
      <w:pPr>
        <w:spacing w:line="440" w:lineRule="exact"/>
        <w:ind w:firstLine="420" w:firstLineChars="200"/>
        <w:jc w:val="both"/>
        <w:rPr>
          <w:rFonts w:eastAsia="宋体"/>
          <w:color w:val="auto"/>
          <w:kern w:val="2"/>
          <w:sz w:val="21"/>
          <w:szCs w:val="21"/>
          <w:lang w:eastAsia="zh-CN" w:bidi="ar-SA"/>
        </w:rPr>
      </w:pPr>
      <w:r>
        <w:rPr>
          <w:rFonts w:hint="eastAsia" w:eastAsia="宋体"/>
          <w:color w:val="auto"/>
          <w:kern w:val="2"/>
          <w:sz w:val="21"/>
          <w:szCs w:val="21"/>
          <w:lang w:eastAsia="zh-CN" w:bidi="ar-SA"/>
        </w:rPr>
        <w:t xml:space="preserve">      </w:t>
      </w:r>
      <w:r>
        <w:rPr>
          <w:rFonts w:eastAsia="宋体"/>
          <w:color w:val="auto"/>
          <w:kern w:val="2"/>
          <w:sz w:val="21"/>
          <w:szCs w:val="21"/>
          <w:lang w:eastAsia="zh-CN" w:bidi="ar-SA"/>
        </w:rPr>
        <w:t>4. 总监理工程师：</w:t>
      </w:r>
      <w:r>
        <w:rPr>
          <w:rFonts w:eastAsia="宋体"/>
          <w:color w:val="auto"/>
          <w:kern w:val="2"/>
          <w:sz w:val="21"/>
          <w:szCs w:val="21"/>
          <w:u w:val="single"/>
          <w:lang w:eastAsia="zh-CN" w:bidi="ar-SA"/>
        </w:rPr>
        <w:t xml:space="preserve">                   </w:t>
      </w:r>
      <w:r>
        <w:rPr>
          <w:rFonts w:eastAsia="宋体"/>
          <w:color w:val="auto"/>
          <w:kern w:val="2"/>
          <w:sz w:val="21"/>
          <w:szCs w:val="21"/>
          <w:lang w:eastAsia="zh-CN" w:bidi="ar-SA"/>
        </w:rPr>
        <w:t>。</w:t>
      </w:r>
    </w:p>
    <w:p w14:paraId="1F4ADA8C">
      <w:pPr>
        <w:spacing w:line="440" w:lineRule="exact"/>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5. 监理工作质量符合的标准和要求：</w:t>
      </w:r>
      <w:r>
        <w:rPr>
          <w:rFonts w:eastAsia="宋体"/>
          <w:color w:val="auto"/>
          <w:kern w:val="2"/>
          <w:sz w:val="21"/>
          <w:szCs w:val="21"/>
          <w:u w:val="single"/>
          <w:lang w:eastAsia="zh-CN" w:bidi="ar-SA"/>
        </w:rPr>
        <w:t xml:space="preserve">                             </w:t>
      </w:r>
      <w:r>
        <w:rPr>
          <w:rFonts w:eastAsia="宋体"/>
          <w:color w:val="auto"/>
          <w:kern w:val="2"/>
          <w:sz w:val="21"/>
          <w:szCs w:val="21"/>
          <w:lang w:eastAsia="zh-CN" w:bidi="ar-SA"/>
        </w:rPr>
        <w:t>。</w:t>
      </w:r>
    </w:p>
    <w:p w14:paraId="15AF0128">
      <w:pPr>
        <w:spacing w:line="440" w:lineRule="exact"/>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6. 监理人承诺按合同约定承担工程的监理工作。</w:t>
      </w:r>
    </w:p>
    <w:p w14:paraId="75CC1C44">
      <w:pPr>
        <w:spacing w:line="440" w:lineRule="exact"/>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7. 委托人承诺按合同约定的条件、时间和方式向监理人支付合同价款。</w:t>
      </w:r>
    </w:p>
    <w:p w14:paraId="32655A82">
      <w:pPr>
        <w:spacing w:line="440" w:lineRule="exact"/>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8. 监理人计划开始监理日期：</w:t>
      </w:r>
      <w:r>
        <w:rPr>
          <w:rFonts w:eastAsia="宋体"/>
          <w:color w:val="auto"/>
          <w:kern w:val="2"/>
          <w:sz w:val="21"/>
          <w:szCs w:val="21"/>
          <w:u w:val="single"/>
          <w:lang w:eastAsia="zh-CN" w:bidi="ar-SA"/>
        </w:rPr>
        <w:t xml:space="preserve">             </w:t>
      </w:r>
      <w:r>
        <w:rPr>
          <w:rFonts w:eastAsia="宋体"/>
          <w:color w:val="auto"/>
          <w:kern w:val="2"/>
          <w:sz w:val="21"/>
          <w:szCs w:val="21"/>
          <w:lang w:eastAsia="zh-CN" w:bidi="ar-SA"/>
        </w:rPr>
        <w:t>，实际日期按照委托人在开始监理通知中载明的开始监理日期为准。监理服务期限为</w:t>
      </w:r>
      <w:r>
        <w:rPr>
          <w:rFonts w:eastAsia="宋体"/>
          <w:color w:val="auto"/>
          <w:kern w:val="2"/>
          <w:sz w:val="21"/>
          <w:szCs w:val="21"/>
          <w:u w:val="single"/>
          <w:lang w:eastAsia="zh-CN" w:bidi="ar-SA"/>
        </w:rPr>
        <w:t xml:space="preserve">    </w:t>
      </w:r>
      <w:r>
        <w:rPr>
          <w:rFonts w:eastAsia="宋体"/>
          <w:color w:val="auto"/>
          <w:kern w:val="2"/>
          <w:sz w:val="21"/>
          <w:szCs w:val="21"/>
          <w:lang w:eastAsia="zh-CN" w:bidi="ar-SA"/>
        </w:rPr>
        <w:t>天。</w:t>
      </w:r>
    </w:p>
    <w:p w14:paraId="754E062A">
      <w:pPr>
        <w:spacing w:line="440" w:lineRule="exact"/>
        <w:ind w:firstLine="420" w:firstLineChars="200"/>
        <w:jc w:val="both"/>
        <w:rPr>
          <w:rFonts w:eastAsia="宋体"/>
          <w:color w:val="auto"/>
          <w:kern w:val="2"/>
          <w:sz w:val="21"/>
          <w:szCs w:val="21"/>
          <w:lang w:eastAsia="zh-CN" w:bidi="ar-SA"/>
        </w:rPr>
      </w:pPr>
      <w:bookmarkStart w:id="856" w:name="_Toc144974830"/>
      <w:bookmarkStart w:id="857" w:name="_Toc152042550"/>
      <w:r>
        <w:rPr>
          <w:rFonts w:eastAsia="宋体"/>
          <w:color w:val="auto"/>
          <w:kern w:val="2"/>
          <w:sz w:val="21"/>
          <w:szCs w:val="21"/>
          <w:lang w:eastAsia="zh-CN" w:bidi="ar-SA"/>
        </w:rPr>
        <w:t>9. 本合同协议书一式</w:t>
      </w:r>
      <w:r>
        <w:rPr>
          <w:rFonts w:eastAsia="宋体"/>
          <w:color w:val="auto"/>
          <w:kern w:val="2"/>
          <w:sz w:val="21"/>
          <w:szCs w:val="22"/>
          <w:u w:val="single"/>
          <w:lang w:eastAsia="zh-CN" w:bidi="ar-SA"/>
        </w:rPr>
        <w:t xml:space="preserve">       </w:t>
      </w:r>
      <w:r>
        <w:rPr>
          <w:rFonts w:eastAsia="宋体"/>
          <w:color w:val="auto"/>
          <w:kern w:val="2"/>
          <w:sz w:val="21"/>
          <w:szCs w:val="21"/>
          <w:lang w:eastAsia="zh-CN" w:bidi="ar-SA"/>
        </w:rPr>
        <w:t>份，合同双方各执</w:t>
      </w:r>
      <w:r>
        <w:rPr>
          <w:rFonts w:eastAsia="宋体"/>
          <w:color w:val="auto"/>
          <w:kern w:val="2"/>
          <w:sz w:val="21"/>
          <w:szCs w:val="22"/>
          <w:u w:val="single"/>
          <w:lang w:eastAsia="zh-CN" w:bidi="ar-SA"/>
        </w:rPr>
        <w:t xml:space="preserve">       </w:t>
      </w:r>
      <w:r>
        <w:rPr>
          <w:rFonts w:eastAsia="宋体"/>
          <w:color w:val="auto"/>
          <w:kern w:val="2"/>
          <w:sz w:val="21"/>
          <w:szCs w:val="21"/>
          <w:lang w:eastAsia="zh-CN" w:bidi="ar-SA"/>
        </w:rPr>
        <w:t>份。</w:t>
      </w:r>
    </w:p>
    <w:p w14:paraId="4D4F6A66">
      <w:pPr>
        <w:spacing w:line="440" w:lineRule="exact"/>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10. 合同未尽事宜，双方另行签订补充协议。补充协议是合同的组成部分。</w:t>
      </w:r>
      <w:bookmarkEnd w:id="856"/>
      <w:bookmarkEnd w:id="857"/>
    </w:p>
    <w:p w14:paraId="7AB1AFAE">
      <w:pPr>
        <w:spacing w:line="440" w:lineRule="exact"/>
        <w:ind w:firstLine="420" w:firstLineChars="200"/>
        <w:jc w:val="both"/>
        <w:rPr>
          <w:rFonts w:eastAsia="宋体"/>
          <w:color w:val="auto"/>
          <w:kern w:val="2"/>
          <w:sz w:val="21"/>
          <w:szCs w:val="21"/>
          <w:lang w:eastAsia="zh-CN" w:bidi="ar-SA"/>
        </w:rPr>
      </w:pPr>
    </w:p>
    <w:p w14:paraId="0DADA43E">
      <w:pPr>
        <w:spacing w:line="440" w:lineRule="exact"/>
        <w:ind w:firstLine="420" w:firstLineChars="200"/>
        <w:jc w:val="both"/>
        <w:rPr>
          <w:rFonts w:eastAsia="宋体"/>
          <w:color w:val="auto"/>
          <w:kern w:val="2"/>
          <w:sz w:val="21"/>
          <w:szCs w:val="21"/>
          <w:lang w:eastAsia="zh-CN" w:bidi="ar-SA"/>
        </w:rPr>
      </w:pPr>
    </w:p>
    <w:p w14:paraId="5982A614">
      <w:pPr>
        <w:spacing w:line="440" w:lineRule="exact"/>
        <w:jc w:val="both"/>
        <w:rPr>
          <w:rFonts w:eastAsia="宋体"/>
          <w:color w:val="auto"/>
          <w:kern w:val="2"/>
          <w:sz w:val="21"/>
          <w:szCs w:val="21"/>
          <w:lang w:eastAsia="zh-CN" w:bidi="ar-SA"/>
        </w:rPr>
      </w:pPr>
    </w:p>
    <w:p w14:paraId="042A3904">
      <w:pPr>
        <w:spacing w:line="440" w:lineRule="exact"/>
        <w:jc w:val="both"/>
        <w:rPr>
          <w:rFonts w:eastAsia="宋体"/>
          <w:color w:val="auto"/>
          <w:kern w:val="2"/>
          <w:sz w:val="21"/>
          <w:szCs w:val="21"/>
          <w:lang w:eastAsia="zh-CN" w:bidi="ar-SA"/>
        </w:rPr>
      </w:pPr>
    </w:p>
    <w:p w14:paraId="62DA0992">
      <w:pPr>
        <w:spacing w:line="440" w:lineRule="exact"/>
        <w:jc w:val="both"/>
        <w:rPr>
          <w:rFonts w:eastAsia="宋体"/>
          <w:color w:val="auto"/>
          <w:kern w:val="2"/>
          <w:sz w:val="21"/>
          <w:szCs w:val="21"/>
          <w:lang w:eastAsia="zh-CN" w:bidi="ar-SA"/>
        </w:rPr>
      </w:pPr>
      <w:r>
        <w:rPr>
          <w:rFonts w:eastAsia="宋体"/>
          <w:color w:val="auto"/>
          <w:kern w:val="2"/>
          <w:sz w:val="21"/>
          <w:szCs w:val="21"/>
          <w:lang w:eastAsia="zh-CN" w:bidi="ar-SA"/>
        </w:rPr>
        <w:t>委托人：</w:t>
      </w:r>
      <w:r>
        <w:rPr>
          <w:rFonts w:eastAsia="宋体"/>
          <w:color w:val="auto"/>
          <w:kern w:val="2"/>
          <w:sz w:val="21"/>
          <w:szCs w:val="21"/>
          <w:u w:val="single"/>
          <w:lang w:eastAsia="zh-CN" w:bidi="ar-SA"/>
        </w:rPr>
        <w:t xml:space="preserve">                </w:t>
      </w:r>
      <w:r>
        <w:rPr>
          <w:rFonts w:eastAsia="宋体"/>
          <w:color w:val="auto"/>
          <w:kern w:val="2"/>
          <w:sz w:val="21"/>
          <w:szCs w:val="21"/>
          <w:lang w:eastAsia="zh-CN" w:bidi="ar-SA"/>
        </w:rPr>
        <w:t>（盖单位章）                           监理人：</w:t>
      </w:r>
      <w:r>
        <w:rPr>
          <w:rFonts w:eastAsia="宋体"/>
          <w:color w:val="auto"/>
          <w:kern w:val="2"/>
          <w:sz w:val="21"/>
          <w:szCs w:val="21"/>
          <w:u w:val="single"/>
          <w:lang w:eastAsia="zh-CN" w:bidi="ar-SA"/>
        </w:rPr>
        <w:t xml:space="preserve">                   </w:t>
      </w:r>
      <w:r>
        <w:rPr>
          <w:rFonts w:eastAsia="宋体"/>
          <w:color w:val="auto"/>
          <w:kern w:val="2"/>
          <w:sz w:val="21"/>
          <w:szCs w:val="21"/>
          <w:lang w:eastAsia="zh-CN" w:bidi="ar-SA"/>
        </w:rPr>
        <w:t>（盖单位章）</w:t>
      </w:r>
    </w:p>
    <w:p w14:paraId="61AE0BF1">
      <w:pPr>
        <w:spacing w:line="440" w:lineRule="exact"/>
        <w:jc w:val="both"/>
        <w:rPr>
          <w:rFonts w:eastAsia="宋体"/>
          <w:color w:val="auto"/>
          <w:kern w:val="2"/>
          <w:sz w:val="21"/>
          <w:szCs w:val="21"/>
          <w:lang w:eastAsia="zh-CN" w:bidi="ar-SA"/>
        </w:rPr>
      </w:pPr>
      <w:r>
        <w:rPr>
          <w:rFonts w:eastAsia="宋体"/>
          <w:color w:val="auto"/>
          <w:kern w:val="2"/>
          <w:sz w:val="21"/>
          <w:szCs w:val="21"/>
          <w:lang w:eastAsia="zh-CN" w:bidi="ar-SA"/>
        </w:rPr>
        <w:t>法定代表人或其委托代理人：</w:t>
      </w:r>
      <w:r>
        <w:rPr>
          <w:rFonts w:eastAsia="宋体"/>
          <w:color w:val="auto"/>
          <w:kern w:val="2"/>
          <w:sz w:val="21"/>
          <w:szCs w:val="21"/>
          <w:u w:val="single"/>
          <w:lang w:eastAsia="zh-CN" w:bidi="ar-SA"/>
        </w:rPr>
        <w:t xml:space="preserve">    </w:t>
      </w:r>
      <w:r>
        <w:rPr>
          <w:rFonts w:eastAsia="宋体"/>
          <w:color w:val="auto"/>
          <w:kern w:val="2"/>
          <w:sz w:val="21"/>
          <w:szCs w:val="21"/>
          <w:lang w:eastAsia="zh-CN" w:bidi="ar-SA"/>
        </w:rPr>
        <w:t>（签字）           法定代表人或其委托代理人：</w:t>
      </w:r>
      <w:r>
        <w:rPr>
          <w:rFonts w:eastAsia="宋体"/>
          <w:color w:val="auto"/>
          <w:kern w:val="2"/>
          <w:sz w:val="21"/>
          <w:szCs w:val="21"/>
          <w:u w:val="single"/>
          <w:lang w:eastAsia="zh-CN" w:bidi="ar-SA"/>
        </w:rPr>
        <w:t xml:space="preserve">      </w:t>
      </w:r>
      <w:r>
        <w:rPr>
          <w:rFonts w:eastAsia="宋体"/>
          <w:color w:val="auto"/>
          <w:kern w:val="2"/>
          <w:sz w:val="21"/>
          <w:szCs w:val="21"/>
          <w:lang w:eastAsia="zh-CN" w:bidi="ar-SA"/>
        </w:rPr>
        <w:t>（签字）</w:t>
      </w:r>
    </w:p>
    <w:p w14:paraId="6D0CF796">
      <w:pPr>
        <w:spacing w:line="440" w:lineRule="exact"/>
        <w:jc w:val="both"/>
        <w:rPr>
          <w:rFonts w:eastAsia="宋体"/>
          <w:color w:val="auto"/>
          <w:kern w:val="2"/>
          <w:sz w:val="21"/>
          <w:szCs w:val="21"/>
          <w:lang w:eastAsia="zh-CN" w:bidi="ar-SA"/>
        </w:rPr>
      </w:pPr>
      <w:r>
        <w:rPr>
          <w:rFonts w:eastAsia="宋体"/>
          <w:color w:val="auto"/>
          <w:kern w:val="2"/>
          <w:sz w:val="21"/>
          <w:szCs w:val="21"/>
          <w:u w:val="single"/>
          <w:lang w:eastAsia="zh-CN" w:bidi="ar-SA"/>
        </w:rPr>
        <w:t xml:space="preserve">         </w:t>
      </w:r>
      <w:r>
        <w:rPr>
          <w:rFonts w:eastAsia="宋体"/>
          <w:color w:val="auto"/>
          <w:kern w:val="2"/>
          <w:sz w:val="21"/>
          <w:szCs w:val="21"/>
          <w:lang w:eastAsia="zh-CN" w:bidi="ar-SA"/>
        </w:rPr>
        <w:t>年</w:t>
      </w:r>
      <w:r>
        <w:rPr>
          <w:rFonts w:eastAsia="宋体"/>
          <w:color w:val="auto"/>
          <w:kern w:val="2"/>
          <w:sz w:val="21"/>
          <w:szCs w:val="21"/>
          <w:u w:val="single"/>
          <w:lang w:eastAsia="zh-CN" w:bidi="ar-SA"/>
        </w:rPr>
        <w:t xml:space="preserve">       </w:t>
      </w:r>
      <w:r>
        <w:rPr>
          <w:rFonts w:eastAsia="宋体"/>
          <w:color w:val="auto"/>
          <w:kern w:val="2"/>
          <w:sz w:val="21"/>
          <w:szCs w:val="21"/>
          <w:lang w:eastAsia="zh-CN" w:bidi="ar-SA"/>
        </w:rPr>
        <w:t xml:space="preserve">月 </w:t>
      </w:r>
      <w:r>
        <w:rPr>
          <w:rFonts w:eastAsia="宋体"/>
          <w:color w:val="auto"/>
          <w:kern w:val="2"/>
          <w:sz w:val="21"/>
          <w:szCs w:val="21"/>
          <w:u w:val="single"/>
          <w:lang w:eastAsia="zh-CN" w:bidi="ar-SA"/>
        </w:rPr>
        <w:t xml:space="preserve">       </w:t>
      </w:r>
      <w:r>
        <w:rPr>
          <w:rFonts w:eastAsia="宋体"/>
          <w:color w:val="auto"/>
          <w:kern w:val="2"/>
          <w:sz w:val="21"/>
          <w:szCs w:val="21"/>
          <w:lang w:eastAsia="zh-CN" w:bidi="ar-SA"/>
        </w:rPr>
        <w:t xml:space="preserve"> 日                                                </w:t>
      </w:r>
      <w:r>
        <w:rPr>
          <w:rFonts w:eastAsia="宋体"/>
          <w:color w:val="auto"/>
          <w:kern w:val="2"/>
          <w:sz w:val="21"/>
          <w:szCs w:val="21"/>
          <w:u w:val="single"/>
          <w:lang w:eastAsia="zh-CN" w:bidi="ar-SA"/>
        </w:rPr>
        <w:t xml:space="preserve">        </w:t>
      </w:r>
      <w:r>
        <w:rPr>
          <w:rFonts w:eastAsia="宋体"/>
          <w:color w:val="auto"/>
          <w:kern w:val="2"/>
          <w:sz w:val="21"/>
          <w:szCs w:val="21"/>
          <w:lang w:eastAsia="zh-CN" w:bidi="ar-SA"/>
        </w:rPr>
        <w:t>年</w:t>
      </w:r>
      <w:r>
        <w:rPr>
          <w:rFonts w:eastAsia="宋体"/>
          <w:color w:val="auto"/>
          <w:kern w:val="2"/>
          <w:sz w:val="21"/>
          <w:szCs w:val="21"/>
          <w:u w:val="single"/>
          <w:lang w:eastAsia="zh-CN" w:bidi="ar-SA"/>
        </w:rPr>
        <w:t xml:space="preserve">         </w:t>
      </w:r>
      <w:r>
        <w:rPr>
          <w:rFonts w:eastAsia="宋体"/>
          <w:color w:val="auto"/>
          <w:kern w:val="2"/>
          <w:sz w:val="21"/>
          <w:szCs w:val="21"/>
          <w:lang w:eastAsia="zh-CN" w:bidi="ar-SA"/>
        </w:rPr>
        <w:t xml:space="preserve">月 </w:t>
      </w:r>
      <w:r>
        <w:rPr>
          <w:rFonts w:eastAsia="宋体"/>
          <w:color w:val="auto"/>
          <w:kern w:val="2"/>
          <w:sz w:val="21"/>
          <w:szCs w:val="21"/>
          <w:u w:val="single"/>
          <w:lang w:eastAsia="zh-CN" w:bidi="ar-SA"/>
        </w:rPr>
        <w:t xml:space="preserve">         </w:t>
      </w:r>
      <w:r>
        <w:rPr>
          <w:rFonts w:eastAsia="宋体"/>
          <w:color w:val="auto"/>
          <w:kern w:val="2"/>
          <w:sz w:val="21"/>
          <w:szCs w:val="21"/>
          <w:lang w:eastAsia="zh-CN" w:bidi="ar-SA"/>
        </w:rPr>
        <w:t>日</w:t>
      </w:r>
    </w:p>
    <w:p w14:paraId="258329EF">
      <w:pPr>
        <w:snapToGrid w:val="0"/>
        <w:spacing w:before="240" w:beforeLines="100" w:after="240" w:afterLines="100"/>
        <w:outlineLvl w:val="1"/>
        <w:rPr>
          <w:rFonts w:hint="eastAsia" w:ascii="宋体" w:hAnsi="宋体" w:eastAsia="宋体" w:cs="宋体"/>
          <w:b/>
          <w:color w:val="auto"/>
          <w:spacing w:val="-10"/>
          <w:lang w:eastAsia="zh-CN" w:bidi="ar-SA"/>
        </w:rPr>
      </w:pPr>
      <w:bookmarkStart w:id="858" w:name="_Toc144974831"/>
      <w:bookmarkEnd w:id="858"/>
      <w:r>
        <w:rPr>
          <w:rFonts w:eastAsia="宋体"/>
          <w:color w:val="auto"/>
          <w:kern w:val="2"/>
          <w:sz w:val="21"/>
          <w:szCs w:val="21"/>
          <w:lang w:eastAsia="zh-CN" w:bidi="ar-SA"/>
        </w:rPr>
        <w:br w:type="page"/>
      </w:r>
      <w:bookmarkStart w:id="859" w:name="_Toc11542"/>
      <w:r>
        <w:rPr>
          <w:rFonts w:ascii="宋体" w:hAnsi="宋体" w:eastAsia="宋体" w:cs="宋体"/>
          <w:b/>
          <w:color w:val="auto"/>
          <w:spacing w:val="-10"/>
          <w:lang w:eastAsia="zh-CN" w:bidi="ar-SA"/>
        </w:rPr>
        <w:t>附件二 廉政合同</w:t>
      </w:r>
      <w:bookmarkEnd w:id="859"/>
    </w:p>
    <w:p w14:paraId="33EC73CA">
      <w:pPr>
        <w:spacing w:line="360" w:lineRule="auto"/>
        <w:ind w:firstLine="482" w:firstLineChars="200"/>
        <w:jc w:val="center"/>
        <w:rPr>
          <w:rFonts w:eastAsia="宋体" w:cs="宋体"/>
          <w:b/>
          <w:color w:val="auto"/>
          <w:lang w:eastAsia="zh-CN" w:bidi="ar-SA"/>
        </w:rPr>
      </w:pPr>
      <w:r>
        <w:rPr>
          <w:rFonts w:eastAsia="宋体" w:cs="宋体"/>
          <w:b/>
          <w:color w:val="auto"/>
          <w:lang w:eastAsia="zh-CN" w:bidi="ar-SA"/>
        </w:rPr>
        <w:t>廉 政 合 同</w:t>
      </w:r>
    </w:p>
    <w:p w14:paraId="1122EE8B">
      <w:pPr>
        <w:spacing w:line="420" w:lineRule="exact"/>
        <w:ind w:firstLine="420" w:firstLineChars="200"/>
        <w:jc w:val="both"/>
        <w:rPr>
          <w:rFonts w:hint="eastAsia" w:ascii="宋体" w:hAnsi="宋体" w:eastAsia="宋体" w:cs="宋体"/>
          <w:color w:val="auto"/>
          <w:sz w:val="21"/>
          <w:szCs w:val="21"/>
          <w:lang w:eastAsia="zh-CN" w:bidi="ar-SA"/>
        </w:rPr>
      </w:pPr>
      <w:r>
        <w:rPr>
          <w:rFonts w:ascii="宋体" w:hAnsi="宋体" w:eastAsia="宋体" w:cs="宋体"/>
          <w:color w:val="auto"/>
          <w:sz w:val="21"/>
          <w:szCs w:val="21"/>
          <w:lang w:eastAsia="zh-CN" w:bidi="ar-SA"/>
        </w:rPr>
        <w:t>根据</w:t>
      </w:r>
      <w:r>
        <w:rPr>
          <w:rFonts w:hint="eastAsia" w:ascii="宋体" w:hAnsi="宋体" w:eastAsia="宋体" w:cs="宋体"/>
          <w:color w:val="auto"/>
          <w:sz w:val="21"/>
          <w:szCs w:val="21"/>
          <w:lang w:eastAsia="zh-CN" w:bidi="ar-SA"/>
        </w:rPr>
        <w:t>《</w:t>
      </w:r>
      <w:r>
        <w:rPr>
          <w:rFonts w:ascii="宋体" w:hAnsi="宋体" w:eastAsia="宋体" w:cs="宋体"/>
          <w:color w:val="auto"/>
          <w:sz w:val="21"/>
          <w:szCs w:val="21"/>
          <w:lang w:eastAsia="zh-CN" w:bidi="ar-SA"/>
        </w:rPr>
        <w:t>关于在交通基础设施建设中加强廉政建设的若干意见</w:t>
      </w:r>
      <w:r>
        <w:rPr>
          <w:rFonts w:hint="eastAsia" w:ascii="宋体" w:hAnsi="宋体" w:eastAsia="宋体" w:cs="宋体"/>
          <w:color w:val="auto"/>
          <w:sz w:val="21"/>
          <w:szCs w:val="21"/>
          <w:lang w:eastAsia="zh-CN" w:bidi="ar-SA"/>
        </w:rPr>
        <w:t>》</w:t>
      </w:r>
      <w:r>
        <w:rPr>
          <w:rFonts w:ascii="宋体" w:hAnsi="宋体" w:eastAsia="宋体" w:cs="宋体"/>
          <w:color w:val="auto"/>
          <w:sz w:val="21"/>
          <w:szCs w:val="21"/>
          <w:lang w:eastAsia="zh-CN" w:bidi="ar-SA"/>
        </w:rPr>
        <w:t>以及有关工程建设廉政建设的规定，为做好工程建设中的党风廉政建设，保证工程建设高效优质，保证建设资金的安全和有效使用以及投资效益，</w:t>
      </w:r>
      <w:r>
        <w:rPr>
          <w:rFonts w:hint="eastAsia" w:ascii="宋体" w:hAnsi="宋体" w:eastAsia="宋体" w:cs="宋体"/>
          <w:color w:val="auto"/>
          <w:sz w:val="21"/>
          <w:szCs w:val="21"/>
          <w:u w:val="single"/>
          <w:lang w:eastAsia="zh-CN" w:bidi="ar-SA"/>
        </w:rPr>
        <w:t xml:space="preserve"> </w:t>
      </w:r>
      <w:r>
        <w:rPr>
          <w:rFonts w:ascii="宋体" w:hAnsi="宋体" w:eastAsia="宋体" w:cs="宋体"/>
          <w:color w:val="auto"/>
          <w:sz w:val="21"/>
          <w:szCs w:val="21"/>
          <w:u w:val="single"/>
          <w:lang w:eastAsia="zh-CN" w:bidi="ar-SA"/>
        </w:rPr>
        <w:t xml:space="preserve">        </w:t>
      </w:r>
      <w:r>
        <w:rPr>
          <w:rFonts w:ascii="宋体" w:hAnsi="宋体" w:eastAsia="宋体" w:cs="宋体"/>
          <w:color w:val="auto"/>
          <w:sz w:val="21"/>
          <w:szCs w:val="21"/>
          <w:lang w:eastAsia="zh-CN" w:bidi="ar-SA"/>
        </w:rPr>
        <w:t>（项目名称）的项目法人（以下简称“委托人”）与该项目</w:t>
      </w:r>
      <w:r>
        <w:rPr>
          <w:rFonts w:ascii="宋体" w:hAnsi="宋体" w:eastAsia="宋体" w:cs="宋体"/>
          <w:color w:val="auto"/>
          <w:sz w:val="21"/>
          <w:szCs w:val="21"/>
          <w:u w:val="single"/>
          <w:lang w:eastAsia="zh-CN" w:bidi="ar-SA"/>
        </w:rPr>
        <w:t xml:space="preserve">   </w:t>
      </w:r>
      <w:r>
        <w:rPr>
          <w:rFonts w:ascii="宋体" w:hAnsi="宋体" w:eastAsia="宋体" w:cs="宋体"/>
          <w:color w:val="auto"/>
          <w:sz w:val="21"/>
          <w:szCs w:val="21"/>
          <w:lang w:eastAsia="zh-CN" w:bidi="ar-SA"/>
        </w:rPr>
        <w:t>标段的</w:t>
      </w:r>
      <w:r>
        <w:rPr>
          <w:rFonts w:hint="eastAsia" w:ascii="宋体" w:hAnsi="宋体" w:eastAsia="宋体" w:cs="宋体"/>
          <w:color w:val="auto"/>
          <w:sz w:val="21"/>
          <w:szCs w:val="21"/>
          <w:lang w:eastAsia="zh-CN" w:bidi="ar-SA"/>
        </w:rPr>
        <w:t>施工监理服务</w:t>
      </w:r>
      <w:r>
        <w:rPr>
          <w:rFonts w:ascii="宋体" w:hAnsi="宋体" w:eastAsia="宋体" w:cs="宋体"/>
          <w:color w:val="auto"/>
          <w:sz w:val="21"/>
          <w:szCs w:val="21"/>
          <w:lang w:eastAsia="zh-CN" w:bidi="ar-SA"/>
        </w:rPr>
        <w:t>单位</w:t>
      </w:r>
      <w:r>
        <w:rPr>
          <w:rFonts w:ascii="宋体" w:hAnsi="宋体" w:eastAsia="宋体" w:cs="宋体"/>
          <w:color w:val="auto"/>
          <w:sz w:val="21"/>
          <w:szCs w:val="21"/>
          <w:u w:val="single" w:color="000000"/>
          <w:lang w:eastAsia="zh-CN" w:bidi="ar-SA"/>
        </w:rPr>
        <w:t xml:space="preserve"> </w:t>
      </w:r>
      <w:r>
        <w:rPr>
          <w:rFonts w:hint="eastAsia" w:ascii="宋体" w:hAnsi="宋体" w:eastAsia="宋体" w:cs="宋体"/>
          <w:color w:val="auto"/>
          <w:sz w:val="21"/>
          <w:szCs w:val="21"/>
          <w:u w:val="single" w:color="000000"/>
          <w:lang w:eastAsia="zh-CN" w:bidi="ar-SA"/>
        </w:rPr>
        <w:t xml:space="preserve">  </w:t>
      </w:r>
      <w:r>
        <w:rPr>
          <w:rFonts w:ascii="宋体" w:hAnsi="宋体" w:eastAsia="宋体" w:cs="宋体"/>
          <w:color w:val="auto"/>
          <w:sz w:val="21"/>
          <w:szCs w:val="21"/>
          <w:u w:val="single" w:color="000000"/>
          <w:lang w:eastAsia="zh-CN" w:bidi="ar-SA"/>
        </w:rPr>
        <w:tab/>
      </w:r>
      <w:r>
        <w:rPr>
          <w:rFonts w:ascii="宋体" w:hAnsi="宋体" w:eastAsia="宋体" w:cs="宋体"/>
          <w:color w:val="auto"/>
          <w:sz w:val="21"/>
          <w:szCs w:val="21"/>
          <w:lang w:eastAsia="zh-CN" w:bidi="ar-SA"/>
        </w:rPr>
        <w:t>（以下简称“监理人”），特订立如下合同。</w:t>
      </w:r>
    </w:p>
    <w:p w14:paraId="0425FC07">
      <w:pPr>
        <w:spacing w:line="420" w:lineRule="exact"/>
        <w:ind w:firstLine="420" w:firstLineChars="200"/>
        <w:jc w:val="both"/>
        <w:rPr>
          <w:rFonts w:eastAsia="宋体"/>
          <w:color w:val="auto"/>
          <w:sz w:val="21"/>
          <w:szCs w:val="21"/>
          <w:lang w:eastAsia="zh-CN" w:bidi="ar-SA"/>
        </w:rPr>
      </w:pPr>
      <w:r>
        <w:rPr>
          <w:rFonts w:eastAsia="宋体"/>
          <w:color w:val="auto"/>
          <w:sz w:val="21"/>
          <w:szCs w:val="21"/>
          <w:lang w:eastAsia="zh-CN" w:bidi="ar-SA"/>
        </w:rPr>
        <w:t xml:space="preserve">1. </w:t>
      </w:r>
      <w:r>
        <w:rPr>
          <w:rFonts w:hAnsi="宋体" w:eastAsia="宋体"/>
          <w:color w:val="auto"/>
          <w:sz w:val="21"/>
          <w:szCs w:val="21"/>
          <w:lang w:eastAsia="zh-CN" w:bidi="ar-SA"/>
        </w:rPr>
        <w:t>委托人和监理人双方的权利和义务</w:t>
      </w:r>
    </w:p>
    <w:p w14:paraId="40424E7E">
      <w:pPr>
        <w:numPr>
          <w:ilvl w:val="0"/>
          <w:numId w:val="4"/>
        </w:numPr>
        <w:wordWrap w:val="0"/>
        <w:spacing w:line="420" w:lineRule="exact"/>
        <w:ind w:firstLine="420" w:firstLineChars="200"/>
        <w:jc w:val="both"/>
        <w:rPr>
          <w:rFonts w:eastAsia="宋体"/>
          <w:color w:val="auto"/>
          <w:sz w:val="21"/>
          <w:szCs w:val="21"/>
          <w:lang w:eastAsia="zh-CN" w:bidi="ar-SA"/>
        </w:rPr>
      </w:pPr>
      <w:r>
        <w:rPr>
          <w:rFonts w:hAnsi="宋体" w:eastAsia="宋体"/>
          <w:color w:val="auto"/>
          <w:sz w:val="21"/>
          <w:szCs w:val="21"/>
          <w:lang w:eastAsia="zh-CN" w:bidi="ar-SA"/>
        </w:rPr>
        <w:t>严格遵守党的政策规定和国家有关法律法规及交通运输部的有关规定。</w:t>
      </w:r>
    </w:p>
    <w:p w14:paraId="4ACA0938">
      <w:pPr>
        <w:numPr>
          <w:ilvl w:val="0"/>
          <w:numId w:val="4"/>
        </w:numPr>
        <w:wordWrap w:val="0"/>
        <w:spacing w:line="420" w:lineRule="exact"/>
        <w:ind w:firstLine="420" w:firstLineChars="200"/>
        <w:jc w:val="both"/>
        <w:rPr>
          <w:rFonts w:eastAsia="宋体"/>
          <w:color w:val="auto"/>
          <w:sz w:val="21"/>
          <w:szCs w:val="21"/>
          <w:lang w:eastAsia="zh-CN" w:bidi="ar-SA"/>
        </w:rPr>
      </w:pPr>
      <w:r>
        <w:rPr>
          <w:rFonts w:hAnsi="宋体" w:eastAsia="宋体"/>
          <w:color w:val="auto"/>
          <w:sz w:val="21"/>
          <w:szCs w:val="21"/>
          <w:lang w:eastAsia="zh-CN" w:bidi="ar-SA"/>
        </w:rPr>
        <w:t>严格执行</w:t>
      </w:r>
      <w:r>
        <w:rPr>
          <w:rFonts w:hint="eastAsia" w:ascii="宋体" w:hAnsi="宋体" w:eastAsia="宋体" w:cs="Arial"/>
          <w:color w:val="auto"/>
          <w:sz w:val="21"/>
          <w:szCs w:val="21"/>
          <w:u w:val="single"/>
          <w:lang w:eastAsia="zh-CN" w:bidi="ar-SA"/>
        </w:rPr>
        <w:t xml:space="preserve"> </w:t>
      </w:r>
      <w:r>
        <w:rPr>
          <w:rFonts w:ascii="宋体" w:hAnsi="宋体" w:eastAsia="宋体" w:cs="Arial"/>
          <w:color w:val="auto"/>
          <w:sz w:val="21"/>
          <w:szCs w:val="21"/>
          <w:u w:val="single"/>
          <w:lang w:eastAsia="zh-CN" w:bidi="ar-SA"/>
        </w:rPr>
        <w:t xml:space="preserve">      </w:t>
      </w:r>
      <w:r>
        <w:rPr>
          <w:rFonts w:hAnsi="宋体" w:eastAsia="宋体"/>
          <w:color w:val="auto"/>
          <w:sz w:val="21"/>
          <w:szCs w:val="21"/>
          <w:lang w:eastAsia="zh-CN" w:bidi="ar-SA"/>
        </w:rPr>
        <w:t>（项目名称）</w:t>
      </w:r>
      <w:r>
        <w:rPr>
          <w:rFonts w:ascii="宋体" w:hAnsi="宋体" w:eastAsia="宋体" w:cs="宋体"/>
          <w:color w:val="auto"/>
          <w:sz w:val="21"/>
          <w:szCs w:val="21"/>
          <w:u w:val="single"/>
          <w:lang w:eastAsia="zh-CN" w:bidi="ar-SA"/>
        </w:rPr>
        <w:t xml:space="preserve">    </w:t>
      </w:r>
      <w:r>
        <w:rPr>
          <w:rFonts w:hAnsi="宋体" w:eastAsia="宋体"/>
          <w:color w:val="auto"/>
          <w:sz w:val="21"/>
          <w:szCs w:val="21"/>
          <w:lang w:eastAsia="zh-CN" w:bidi="ar-SA"/>
        </w:rPr>
        <w:t>标段</w:t>
      </w:r>
      <w:r>
        <w:rPr>
          <w:rFonts w:hint="eastAsia" w:hAnsi="宋体" w:eastAsia="宋体"/>
          <w:color w:val="auto"/>
          <w:sz w:val="21"/>
          <w:szCs w:val="21"/>
          <w:lang w:eastAsia="zh-CN" w:bidi="ar-SA"/>
        </w:rPr>
        <w:t>施工监理</w:t>
      </w:r>
      <w:r>
        <w:rPr>
          <w:rFonts w:hAnsi="宋体" w:eastAsia="宋体"/>
          <w:color w:val="auto"/>
          <w:sz w:val="21"/>
          <w:szCs w:val="21"/>
          <w:lang w:eastAsia="zh-CN" w:bidi="ar-SA"/>
        </w:rPr>
        <w:t>服务合同文件，自觉按合同办事。</w:t>
      </w:r>
    </w:p>
    <w:p w14:paraId="43D09431">
      <w:pPr>
        <w:numPr>
          <w:ilvl w:val="0"/>
          <w:numId w:val="4"/>
        </w:numPr>
        <w:wordWrap w:val="0"/>
        <w:spacing w:line="420" w:lineRule="exact"/>
        <w:ind w:firstLine="420" w:firstLineChars="200"/>
        <w:jc w:val="both"/>
        <w:rPr>
          <w:rFonts w:eastAsia="宋体"/>
          <w:color w:val="auto"/>
          <w:sz w:val="21"/>
          <w:szCs w:val="21"/>
          <w:lang w:eastAsia="zh-CN" w:bidi="ar-SA"/>
        </w:rPr>
      </w:pPr>
      <w:r>
        <w:rPr>
          <w:rFonts w:hAnsi="宋体" w:eastAsia="宋体"/>
          <w:color w:val="auto"/>
          <w:sz w:val="21"/>
          <w:szCs w:val="21"/>
          <w:lang w:eastAsia="zh-CN" w:bidi="ar-SA"/>
        </w:rPr>
        <w:t>双方的业务活动坚持公开、公正、诚信、透明的原则（法律认定的商业秘密和合同文件另有规定除外），不得损害国家和集体利益，不得违反工程建设管理规章制度</w:t>
      </w:r>
      <w:r>
        <w:rPr>
          <w:rFonts w:hint="eastAsia" w:hAnsi="宋体" w:eastAsia="宋体"/>
          <w:color w:val="auto"/>
          <w:sz w:val="21"/>
          <w:szCs w:val="21"/>
          <w:lang w:eastAsia="zh-CN" w:bidi="ar-SA"/>
        </w:rPr>
        <w:t>。</w:t>
      </w:r>
    </w:p>
    <w:p w14:paraId="33D1F664">
      <w:pPr>
        <w:numPr>
          <w:ilvl w:val="0"/>
          <w:numId w:val="4"/>
        </w:numPr>
        <w:wordWrap w:val="0"/>
        <w:spacing w:line="420" w:lineRule="exact"/>
        <w:ind w:firstLine="420" w:firstLineChars="200"/>
        <w:jc w:val="both"/>
        <w:rPr>
          <w:rFonts w:eastAsia="宋体"/>
          <w:color w:val="auto"/>
          <w:sz w:val="21"/>
          <w:szCs w:val="21"/>
          <w:lang w:eastAsia="zh-CN" w:bidi="ar-SA"/>
        </w:rPr>
      </w:pPr>
      <w:r>
        <w:rPr>
          <w:rFonts w:hAnsi="宋体" w:eastAsia="宋体"/>
          <w:color w:val="auto"/>
          <w:sz w:val="21"/>
          <w:szCs w:val="21"/>
          <w:lang w:eastAsia="zh-CN" w:bidi="ar-SA"/>
        </w:rPr>
        <w:t>建立健全廉政制度，开展廉政教育，设立廉政告示牌，公布举报电话，监督并认真查处违法违纪行为。</w:t>
      </w:r>
    </w:p>
    <w:p w14:paraId="18E624F6">
      <w:pPr>
        <w:numPr>
          <w:ilvl w:val="0"/>
          <w:numId w:val="4"/>
        </w:numPr>
        <w:wordWrap w:val="0"/>
        <w:spacing w:line="420" w:lineRule="exact"/>
        <w:ind w:firstLine="420" w:firstLineChars="200"/>
        <w:jc w:val="both"/>
        <w:rPr>
          <w:rFonts w:eastAsia="宋体"/>
          <w:color w:val="auto"/>
          <w:sz w:val="21"/>
          <w:szCs w:val="21"/>
          <w:lang w:eastAsia="zh-CN" w:bidi="ar-SA"/>
        </w:rPr>
      </w:pPr>
      <w:r>
        <w:rPr>
          <w:rFonts w:hAnsi="宋体" w:eastAsia="宋体"/>
          <w:color w:val="auto"/>
          <w:sz w:val="21"/>
          <w:szCs w:val="21"/>
          <w:lang w:eastAsia="zh-CN" w:bidi="ar-SA"/>
        </w:rPr>
        <w:t>发现对方在业务活动中有违反廉政规定的行为，有及时提醒对方纠正的权利和义务。</w:t>
      </w:r>
    </w:p>
    <w:p w14:paraId="5024A18C">
      <w:pPr>
        <w:numPr>
          <w:ilvl w:val="0"/>
          <w:numId w:val="4"/>
        </w:numPr>
        <w:wordWrap w:val="0"/>
        <w:spacing w:line="420" w:lineRule="exact"/>
        <w:ind w:firstLine="420" w:firstLineChars="200"/>
        <w:jc w:val="both"/>
        <w:rPr>
          <w:rFonts w:eastAsia="宋体"/>
          <w:color w:val="auto"/>
          <w:sz w:val="21"/>
          <w:szCs w:val="21"/>
          <w:lang w:eastAsia="zh-CN" w:bidi="ar-SA"/>
        </w:rPr>
      </w:pPr>
      <w:r>
        <w:rPr>
          <w:rFonts w:hAnsi="宋体" w:eastAsia="宋体"/>
          <w:color w:val="auto"/>
          <w:sz w:val="21"/>
          <w:szCs w:val="21"/>
          <w:lang w:eastAsia="zh-CN" w:bidi="ar-SA"/>
        </w:rPr>
        <w:t>发现对方严重违反本合同义务条款的行为，有向其上级有关部门举报、建议给予处理并要求告知处理结果的权利。</w:t>
      </w:r>
    </w:p>
    <w:p w14:paraId="285649D5">
      <w:pPr>
        <w:spacing w:line="420" w:lineRule="exact"/>
        <w:ind w:firstLine="420" w:firstLineChars="200"/>
        <w:jc w:val="both"/>
        <w:rPr>
          <w:rFonts w:eastAsia="宋体"/>
          <w:color w:val="auto"/>
          <w:sz w:val="21"/>
          <w:szCs w:val="21"/>
          <w:lang w:eastAsia="zh-CN" w:bidi="ar-SA"/>
        </w:rPr>
      </w:pPr>
      <w:r>
        <w:rPr>
          <w:rFonts w:eastAsia="宋体"/>
          <w:color w:val="auto"/>
          <w:sz w:val="21"/>
          <w:szCs w:val="21"/>
          <w:lang w:eastAsia="zh-CN" w:bidi="ar-SA"/>
        </w:rPr>
        <w:t xml:space="preserve">2. </w:t>
      </w:r>
      <w:r>
        <w:rPr>
          <w:rFonts w:hAnsi="宋体" w:eastAsia="宋体"/>
          <w:color w:val="auto"/>
          <w:sz w:val="21"/>
          <w:szCs w:val="21"/>
          <w:lang w:eastAsia="zh-CN" w:bidi="ar-SA"/>
        </w:rPr>
        <w:t>委托人的义务</w:t>
      </w:r>
    </w:p>
    <w:p w14:paraId="115B3F48">
      <w:pPr>
        <w:numPr>
          <w:ilvl w:val="0"/>
          <w:numId w:val="5"/>
        </w:numPr>
        <w:wordWrap w:val="0"/>
        <w:spacing w:line="420" w:lineRule="exact"/>
        <w:ind w:firstLine="420" w:firstLineChars="200"/>
        <w:jc w:val="both"/>
        <w:rPr>
          <w:rFonts w:eastAsia="宋体"/>
          <w:color w:val="auto"/>
          <w:sz w:val="21"/>
          <w:szCs w:val="21"/>
          <w:lang w:eastAsia="zh-CN" w:bidi="ar-SA"/>
        </w:rPr>
      </w:pPr>
      <w:r>
        <w:rPr>
          <w:rFonts w:hAnsi="宋体" w:eastAsia="宋体"/>
          <w:color w:val="auto"/>
          <w:sz w:val="21"/>
          <w:szCs w:val="21"/>
          <w:lang w:eastAsia="zh-CN" w:bidi="ar-SA"/>
        </w:rPr>
        <w:t>委托人及其工作人员不得索要或接受监理人的礼金、有价证券和贵重物品，不得让监理人报销任何应由委托人或委托人工作人员个人支付的费用等。</w:t>
      </w:r>
    </w:p>
    <w:p w14:paraId="74976AE5">
      <w:pPr>
        <w:numPr>
          <w:ilvl w:val="0"/>
          <w:numId w:val="5"/>
        </w:numPr>
        <w:wordWrap w:val="0"/>
        <w:spacing w:line="420" w:lineRule="exact"/>
        <w:ind w:firstLine="420" w:firstLineChars="200"/>
        <w:jc w:val="both"/>
        <w:rPr>
          <w:rFonts w:eastAsia="宋体"/>
          <w:color w:val="auto"/>
          <w:sz w:val="21"/>
          <w:szCs w:val="21"/>
          <w:lang w:eastAsia="zh-CN" w:bidi="ar-SA"/>
        </w:rPr>
      </w:pPr>
      <w:r>
        <w:rPr>
          <w:rFonts w:hAnsi="宋体" w:eastAsia="宋体"/>
          <w:color w:val="auto"/>
          <w:sz w:val="21"/>
          <w:szCs w:val="21"/>
          <w:lang w:eastAsia="zh-CN" w:bidi="ar-SA"/>
        </w:rPr>
        <w:t>委托人工作人员不得参加监理人安排的超标准宴请和娱乐活动；不得接受监理人提供的通信工具、交通工具和高档办公用品等。</w:t>
      </w:r>
    </w:p>
    <w:p w14:paraId="6FECC6CE">
      <w:pPr>
        <w:numPr>
          <w:ilvl w:val="0"/>
          <w:numId w:val="5"/>
        </w:numPr>
        <w:wordWrap w:val="0"/>
        <w:spacing w:line="420" w:lineRule="exact"/>
        <w:ind w:firstLine="420" w:firstLineChars="200"/>
        <w:jc w:val="both"/>
        <w:rPr>
          <w:rFonts w:eastAsia="宋体"/>
          <w:color w:val="auto"/>
          <w:sz w:val="21"/>
          <w:szCs w:val="21"/>
          <w:lang w:eastAsia="zh-CN" w:bidi="ar-SA"/>
        </w:rPr>
      </w:pPr>
      <w:r>
        <w:rPr>
          <w:rFonts w:hAnsi="宋体" w:eastAsia="宋体"/>
          <w:color w:val="auto"/>
          <w:sz w:val="21"/>
          <w:szCs w:val="21"/>
          <w:lang w:eastAsia="zh-CN" w:bidi="ar-SA"/>
        </w:rPr>
        <w:t>委托人及其工作人员不得要求或者接受监理人为其住房装修、婚丧嫁娶活动、配偶子女的工作安排以及出国出境、旅游等提供方便等。</w:t>
      </w:r>
    </w:p>
    <w:p w14:paraId="6993B12A">
      <w:pPr>
        <w:numPr>
          <w:ilvl w:val="0"/>
          <w:numId w:val="5"/>
        </w:numPr>
        <w:wordWrap w:val="0"/>
        <w:spacing w:line="420" w:lineRule="exact"/>
        <w:ind w:firstLine="420" w:firstLineChars="200"/>
        <w:jc w:val="both"/>
        <w:rPr>
          <w:rFonts w:eastAsia="宋体"/>
          <w:color w:val="auto"/>
          <w:sz w:val="21"/>
          <w:szCs w:val="21"/>
          <w:lang w:eastAsia="zh-CN" w:bidi="ar-SA"/>
        </w:rPr>
      </w:pPr>
      <w:r>
        <w:rPr>
          <w:rFonts w:hAnsi="宋体" w:eastAsia="宋体"/>
          <w:color w:val="auto"/>
          <w:sz w:val="21"/>
          <w:szCs w:val="21"/>
          <w:lang w:eastAsia="zh-CN" w:bidi="ar-SA"/>
        </w:rPr>
        <w:t>委托人工作人员及其配偶、子女不得从事与委托人工程有关的材料设备供应、工程分包、劳务等经济活动等。</w:t>
      </w:r>
    </w:p>
    <w:p w14:paraId="62007A7D">
      <w:pPr>
        <w:numPr>
          <w:ilvl w:val="0"/>
          <w:numId w:val="5"/>
        </w:numPr>
        <w:wordWrap w:val="0"/>
        <w:spacing w:line="420" w:lineRule="exact"/>
        <w:ind w:firstLine="420" w:firstLineChars="200"/>
        <w:jc w:val="both"/>
        <w:rPr>
          <w:rFonts w:hint="eastAsia" w:ascii="宋体" w:hAnsi="宋体" w:eastAsia="宋体" w:cs="宋体"/>
          <w:color w:val="auto"/>
          <w:sz w:val="21"/>
          <w:szCs w:val="21"/>
          <w:lang w:eastAsia="zh-CN" w:bidi="ar-SA"/>
        </w:rPr>
      </w:pPr>
      <w:r>
        <w:rPr>
          <w:rFonts w:hAnsi="宋体" w:eastAsia="宋体"/>
          <w:color w:val="auto"/>
          <w:sz w:val="21"/>
          <w:szCs w:val="21"/>
          <w:lang w:eastAsia="zh-CN" w:bidi="ar-SA"/>
        </w:rPr>
        <w:t>委托人及其工作人员不得以任何理由向监理人推荐分包单位或推销材料，不得要求监理人购买合同规定外的材料和设备。</w:t>
      </w:r>
    </w:p>
    <w:p w14:paraId="4767EC45">
      <w:pPr>
        <w:numPr>
          <w:ilvl w:val="0"/>
          <w:numId w:val="5"/>
        </w:numPr>
        <w:wordWrap w:val="0"/>
        <w:spacing w:line="420" w:lineRule="exact"/>
        <w:ind w:firstLine="420" w:firstLineChars="200"/>
        <w:jc w:val="both"/>
        <w:rPr>
          <w:rFonts w:hint="eastAsia" w:ascii="宋体" w:hAnsi="宋体" w:eastAsia="宋体" w:cs="宋体"/>
          <w:color w:val="auto"/>
          <w:sz w:val="21"/>
          <w:szCs w:val="21"/>
          <w:lang w:eastAsia="zh-CN" w:bidi="ar-SA"/>
        </w:rPr>
      </w:pPr>
      <w:r>
        <w:rPr>
          <w:rFonts w:ascii="宋体" w:hAnsi="宋体" w:eastAsia="宋体" w:cs="宋体"/>
          <w:color w:val="auto"/>
          <w:sz w:val="21"/>
          <w:szCs w:val="21"/>
          <w:lang w:eastAsia="zh-CN" w:bidi="ar-SA"/>
        </w:rPr>
        <w:t>委托人工作人员要秉公办事，不准营私舞弊，不准利用职权从事各种个人有偿中介活动和安排个人服务队伍。</w:t>
      </w:r>
    </w:p>
    <w:p w14:paraId="78DFEB41">
      <w:pPr>
        <w:spacing w:line="420" w:lineRule="exact"/>
        <w:ind w:firstLine="420" w:firstLineChars="200"/>
        <w:jc w:val="both"/>
        <w:rPr>
          <w:rFonts w:hint="eastAsia" w:ascii="宋体" w:hAnsi="宋体" w:eastAsia="宋体" w:cs="宋体"/>
          <w:color w:val="auto"/>
          <w:sz w:val="21"/>
          <w:szCs w:val="21"/>
          <w:lang w:eastAsia="zh-CN" w:bidi="ar-SA"/>
        </w:rPr>
      </w:pPr>
      <w:r>
        <w:rPr>
          <w:color w:val="auto"/>
          <w:sz w:val="21"/>
          <w:szCs w:val="21"/>
          <w:lang w:eastAsia="zh-CN" w:bidi="ar-SA"/>
        </w:rPr>
        <w:t xml:space="preserve">3. </w:t>
      </w:r>
      <w:r>
        <w:rPr>
          <w:rFonts w:hAnsi="宋体" w:eastAsia="宋体"/>
          <w:color w:val="auto"/>
          <w:sz w:val="21"/>
          <w:szCs w:val="21"/>
          <w:lang w:eastAsia="zh-CN" w:bidi="ar-SA"/>
        </w:rPr>
        <w:t>监理人</w:t>
      </w:r>
      <w:r>
        <w:rPr>
          <w:rFonts w:ascii="宋体" w:hAnsi="宋体" w:eastAsia="宋体" w:cs="宋体"/>
          <w:color w:val="auto"/>
          <w:sz w:val="21"/>
          <w:szCs w:val="21"/>
          <w:lang w:eastAsia="zh-CN" w:bidi="ar-SA"/>
        </w:rPr>
        <w:t>的义务</w:t>
      </w:r>
    </w:p>
    <w:p w14:paraId="415114CC">
      <w:pPr>
        <w:numPr>
          <w:ilvl w:val="0"/>
          <w:numId w:val="6"/>
        </w:numPr>
        <w:wordWrap w:val="0"/>
        <w:spacing w:line="420" w:lineRule="exact"/>
        <w:ind w:firstLine="420" w:firstLineChars="200"/>
        <w:jc w:val="both"/>
        <w:rPr>
          <w:rFonts w:eastAsia="宋体"/>
          <w:color w:val="auto"/>
          <w:sz w:val="21"/>
          <w:szCs w:val="21"/>
          <w:lang w:eastAsia="zh-CN" w:bidi="ar-SA"/>
        </w:rPr>
      </w:pPr>
      <w:r>
        <w:rPr>
          <w:rFonts w:hAnsi="宋体" w:eastAsia="宋体"/>
          <w:color w:val="auto"/>
          <w:sz w:val="21"/>
          <w:szCs w:val="21"/>
          <w:lang w:eastAsia="zh-CN" w:bidi="ar-SA"/>
        </w:rPr>
        <w:t>监理人不得以任何理由向委托人及其工作人员行贿或馈赠礼金、有价证券、贵重礼品。</w:t>
      </w:r>
    </w:p>
    <w:p w14:paraId="5E97BD6F">
      <w:pPr>
        <w:numPr>
          <w:ilvl w:val="0"/>
          <w:numId w:val="6"/>
        </w:numPr>
        <w:wordWrap w:val="0"/>
        <w:spacing w:line="420" w:lineRule="exact"/>
        <w:ind w:firstLine="420" w:firstLineChars="200"/>
        <w:jc w:val="both"/>
        <w:rPr>
          <w:rFonts w:eastAsia="宋体"/>
          <w:color w:val="auto"/>
          <w:sz w:val="21"/>
          <w:szCs w:val="21"/>
          <w:lang w:eastAsia="zh-CN" w:bidi="ar-SA"/>
        </w:rPr>
      </w:pPr>
      <w:r>
        <w:rPr>
          <w:rFonts w:hAnsi="宋体" w:eastAsia="宋体"/>
          <w:color w:val="auto"/>
          <w:sz w:val="21"/>
          <w:szCs w:val="21"/>
          <w:lang w:eastAsia="zh-CN" w:bidi="ar-SA"/>
        </w:rPr>
        <w:t>监理人不得以任何名义为委托人及其工作人员报销应由委托人单位或个人支付的任何费用。</w:t>
      </w:r>
    </w:p>
    <w:p w14:paraId="7E4B37AB">
      <w:pPr>
        <w:numPr>
          <w:ilvl w:val="0"/>
          <w:numId w:val="6"/>
        </w:numPr>
        <w:wordWrap w:val="0"/>
        <w:spacing w:line="420" w:lineRule="exact"/>
        <w:ind w:firstLine="420" w:firstLineChars="200"/>
        <w:jc w:val="both"/>
        <w:rPr>
          <w:rFonts w:eastAsia="宋体"/>
          <w:color w:val="auto"/>
          <w:sz w:val="21"/>
          <w:szCs w:val="21"/>
          <w:lang w:eastAsia="zh-CN" w:bidi="ar-SA"/>
        </w:rPr>
      </w:pPr>
      <w:r>
        <w:rPr>
          <w:rFonts w:hAnsi="宋体" w:eastAsia="宋体"/>
          <w:color w:val="auto"/>
          <w:sz w:val="21"/>
          <w:szCs w:val="21"/>
          <w:lang w:eastAsia="zh-CN" w:bidi="ar-SA"/>
        </w:rPr>
        <w:t>监理人不得以任何理由安排委托人工作人员参加超标准宴请及娱乐活动。</w:t>
      </w:r>
    </w:p>
    <w:p w14:paraId="26A38DFD">
      <w:pPr>
        <w:numPr>
          <w:ilvl w:val="0"/>
          <w:numId w:val="6"/>
        </w:numPr>
        <w:wordWrap w:val="0"/>
        <w:spacing w:line="420" w:lineRule="exact"/>
        <w:ind w:firstLine="420" w:firstLineChars="200"/>
        <w:jc w:val="both"/>
        <w:rPr>
          <w:rFonts w:eastAsia="宋体"/>
          <w:color w:val="auto"/>
          <w:sz w:val="21"/>
          <w:szCs w:val="21"/>
          <w:lang w:eastAsia="zh-CN" w:bidi="ar-SA"/>
        </w:rPr>
      </w:pPr>
      <w:r>
        <w:rPr>
          <w:rFonts w:hAnsi="宋体" w:eastAsia="宋体"/>
          <w:color w:val="auto"/>
          <w:sz w:val="21"/>
          <w:szCs w:val="21"/>
          <w:lang w:eastAsia="zh-CN" w:bidi="ar-SA"/>
        </w:rPr>
        <w:t>监理人不得为委托人单位和个人购置或提供通信工具、交通工具和高档办公用品等。</w:t>
      </w:r>
    </w:p>
    <w:p w14:paraId="6B8AE7EB">
      <w:pPr>
        <w:spacing w:line="420" w:lineRule="exact"/>
        <w:ind w:firstLine="420" w:firstLineChars="200"/>
        <w:jc w:val="both"/>
        <w:rPr>
          <w:rFonts w:eastAsia="宋体"/>
          <w:color w:val="auto"/>
          <w:sz w:val="21"/>
          <w:szCs w:val="21"/>
          <w:lang w:eastAsia="zh-CN" w:bidi="ar-SA"/>
        </w:rPr>
      </w:pPr>
      <w:r>
        <w:rPr>
          <w:rFonts w:eastAsia="宋体"/>
          <w:color w:val="auto"/>
          <w:sz w:val="21"/>
          <w:szCs w:val="21"/>
          <w:lang w:eastAsia="zh-CN" w:bidi="ar-SA"/>
        </w:rPr>
        <w:t xml:space="preserve">4. </w:t>
      </w:r>
      <w:r>
        <w:rPr>
          <w:rFonts w:hAnsi="宋体" w:eastAsia="宋体"/>
          <w:color w:val="auto"/>
          <w:sz w:val="21"/>
          <w:szCs w:val="21"/>
          <w:lang w:eastAsia="zh-CN" w:bidi="ar-SA"/>
        </w:rPr>
        <w:t>违约责任</w:t>
      </w:r>
    </w:p>
    <w:p w14:paraId="4AF00760">
      <w:pPr>
        <w:spacing w:line="420" w:lineRule="exact"/>
        <w:ind w:firstLine="420" w:firstLineChars="200"/>
        <w:jc w:val="both"/>
        <w:rPr>
          <w:rFonts w:eastAsia="宋体"/>
          <w:color w:val="auto"/>
          <w:sz w:val="21"/>
          <w:szCs w:val="21"/>
          <w:lang w:eastAsia="zh-CN" w:bidi="ar-SA"/>
        </w:rPr>
      </w:pPr>
      <w:r>
        <w:rPr>
          <w:rFonts w:hint="eastAsia" w:eastAsia="宋体"/>
          <w:color w:val="auto"/>
          <w:sz w:val="21"/>
          <w:szCs w:val="21"/>
          <w:lang w:eastAsia="zh-CN" w:bidi="ar-SA"/>
        </w:rPr>
        <w:t>（1）</w:t>
      </w:r>
      <w:r>
        <w:rPr>
          <w:rFonts w:hAnsi="宋体" w:eastAsia="宋体"/>
          <w:color w:val="auto"/>
          <w:sz w:val="21"/>
          <w:szCs w:val="21"/>
          <w:lang w:eastAsia="zh-CN" w:bidi="ar-SA"/>
        </w:rPr>
        <w:t>委托人及其工作人员违反本合同第</w:t>
      </w:r>
      <w:r>
        <w:rPr>
          <w:rFonts w:eastAsia="宋体"/>
          <w:color w:val="auto"/>
          <w:sz w:val="21"/>
          <w:szCs w:val="21"/>
          <w:lang w:eastAsia="zh-CN" w:bidi="ar-SA"/>
        </w:rPr>
        <w:t>1</w:t>
      </w:r>
      <w:r>
        <w:rPr>
          <w:rFonts w:hAnsi="宋体" w:eastAsia="宋体"/>
          <w:color w:val="auto"/>
          <w:sz w:val="21"/>
          <w:szCs w:val="21"/>
          <w:lang w:eastAsia="zh-CN" w:bidi="ar-SA"/>
        </w:rPr>
        <w:t>、</w:t>
      </w:r>
      <w:r>
        <w:rPr>
          <w:rFonts w:eastAsia="宋体"/>
          <w:color w:val="auto"/>
          <w:sz w:val="21"/>
          <w:szCs w:val="21"/>
          <w:lang w:eastAsia="zh-CN" w:bidi="ar-SA"/>
        </w:rPr>
        <w:t>2</w:t>
      </w:r>
      <w:r>
        <w:rPr>
          <w:rFonts w:hAnsi="宋体" w:eastAsia="宋体"/>
          <w:color w:val="auto"/>
          <w:sz w:val="21"/>
          <w:szCs w:val="21"/>
          <w:lang w:eastAsia="zh-CN" w:bidi="ar-SA"/>
        </w:rPr>
        <w:t>条，按管理权限，依据有关规定给予党纪、政纪或组织处理；涉嫌犯罪的，移交司法机关追究刑事责任：给监理人单位造成经济损失的，应予以赔偿。</w:t>
      </w:r>
    </w:p>
    <w:p w14:paraId="7557C204">
      <w:pPr>
        <w:spacing w:line="420" w:lineRule="exact"/>
        <w:ind w:firstLine="420" w:firstLineChars="200"/>
        <w:jc w:val="both"/>
        <w:rPr>
          <w:rFonts w:eastAsia="宋体"/>
          <w:color w:val="auto"/>
          <w:sz w:val="21"/>
          <w:szCs w:val="21"/>
          <w:lang w:eastAsia="zh-CN" w:bidi="ar-SA"/>
        </w:rPr>
      </w:pPr>
      <w:r>
        <w:rPr>
          <w:rFonts w:hint="eastAsia" w:eastAsia="宋体"/>
          <w:color w:val="auto"/>
          <w:sz w:val="21"/>
          <w:szCs w:val="21"/>
          <w:lang w:eastAsia="zh-CN" w:bidi="ar-SA"/>
        </w:rPr>
        <w:t>（2）</w:t>
      </w:r>
      <w:r>
        <w:rPr>
          <w:rFonts w:hAnsi="宋体" w:eastAsia="宋体"/>
          <w:color w:val="auto"/>
          <w:sz w:val="21"/>
          <w:szCs w:val="21"/>
          <w:lang w:eastAsia="zh-CN" w:bidi="ar-SA"/>
        </w:rPr>
        <w:t>监理人及其工作人员违反本合同第</w:t>
      </w:r>
      <w:r>
        <w:rPr>
          <w:rFonts w:eastAsia="宋体"/>
          <w:color w:val="auto"/>
          <w:sz w:val="21"/>
          <w:szCs w:val="21"/>
          <w:lang w:eastAsia="zh-CN" w:bidi="ar-SA"/>
        </w:rPr>
        <w:t>1</w:t>
      </w:r>
      <w:r>
        <w:rPr>
          <w:rFonts w:hAnsi="宋体" w:eastAsia="宋体"/>
          <w:color w:val="auto"/>
          <w:sz w:val="21"/>
          <w:szCs w:val="21"/>
          <w:lang w:eastAsia="zh-CN" w:bidi="ar-SA"/>
        </w:rPr>
        <w:t>、</w:t>
      </w:r>
      <w:r>
        <w:rPr>
          <w:rFonts w:eastAsia="宋体"/>
          <w:color w:val="auto"/>
          <w:sz w:val="21"/>
          <w:szCs w:val="21"/>
          <w:lang w:eastAsia="zh-CN" w:bidi="ar-SA"/>
        </w:rPr>
        <w:t>3</w:t>
      </w:r>
      <w:r>
        <w:rPr>
          <w:rFonts w:hAnsi="宋体" w:eastAsia="宋体"/>
          <w:color w:val="auto"/>
          <w:sz w:val="21"/>
          <w:szCs w:val="21"/>
          <w:lang w:eastAsia="zh-CN" w:bidi="ar-SA"/>
        </w:rPr>
        <w:t>条，按管理权限，依据有关规定给予党纪、政纪或组织处理：给委托人单位造成经济损失的，应予以赔偿；情节严重的，委托人建议交通运输主管部门给予监理人一至三年内不得进入其主管的</w:t>
      </w:r>
      <w:r>
        <w:rPr>
          <w:rFonts w:hint="eastAsia" w:hAnsi="宋体" w:eastAsia="宋体"/>
          <w:color w:val="auto"/>
          <w:sz w:val="21"/>
          <w:szCs w:val="21"/>
          <w:lang w:eastAsia="zh-CN" w:bidi="ar-SA"/>
        </w:rPr>
        <w:t>交通</w:t>
      </w:r>
      <w:r>
        <w:rPr>
          <w:rFonts w:hAnsi="宋体" w:eastAsia="宋体"/>
          <w:color w:val="auto"/>
          <w:sz w:val="21"/>
          <w:szCs w:val="21"/>
          <w:lang w:eastAsia="zh-CN" w:bidi="ar-SA"/>
        </w:rPr>
        <w:t>建设市场的处罚。</w:t>
      </w:r>
    </w:p>
    <w:p w14:paraId="42BB12FB">
      <w:pPr>
        <w:spacing w:line="420" w:lineRule="exact"/>
        <w:ind w:firstLine="420" w:firstLineChars="200"/>
        <w:jc w:val="both"/>
        <w:rPr>
          <w:rFonts w:eastAsia="宋体"/>
          <w:color w:val="auto"/>
          <w:sz w:val="21"/>
          <w:szCs w:val="21"/>
          <w:lang w:eastAsia="zh-CN" w:bidi="ar-SA"/>
        </w:rPr>
      </w:pPr>
      <w:r>
        <w:rPr>
          <w:rFonts w:eastAsia="宋体"/>
          <w:color w:val="auto"/>
          <w:sz w:val="21"/>
          <w:szCs w:val="21"/>
          <w:lang w:eastAsia="zh-CN" w:bidi="ar-SA"/>
        </w:rPr>
        <w:t>5</w:t>
      </w:r>
      <w:r>
        <w:rPr>
          <w:rFonts w:hint="eastAsia" w:eastAsia="宋体"/>
          <w:color w:val="auto"/>
          <w:sz w:val="21"/>
          <w:szCs w:val="21"/>
          <w:lang w:eastAsia="zh-CN" w:bidi="ar-SA"/>
        </w:rPr>
        <w:t>.</w:t>
      </w:r>
      <w:r>
        <w:rPr>
          <w:rFonts w:hAnsi="宋体" w:eastAsia="宋体"/>
          <w:color w:val="auto"/>
          <w:sz w:val="21"/>
          <w:szCs w:val="21"/>
          <w:lang w:eastAsia="zh-CN" w:bidi="ar-SA"/>
        </w:rPr>
        <w:t>双方约定：本合同由双方的纪检监察部门负责监督执行。</w:t>
      </w:r>
    </w:p>
    <w:p w14:paraId="1DD40705">
      <w:pPr>
        <w:spacing w:line="420" w:lineRule="exact"/>
        <w:ind w:firstLine="420" w:firstLineChars="200"/>
        <w:jc w:val="both"/>
        <w:rPr>
          <w:rFonts w:eastAsia="宋体"/>
          <w:color w:val="auto"/>
          <w:sz w:val="21"/>
          <w:szCs w:val="21"/>
          <w:lang w:eastAsia="zh-CN" w:bidi="ar-SA"/>
        </w:rPr>
      </w:pPr>
      <w:r>
        <w:rPr>
          <w:rFonts w:eastAsia="宋体"/>
          <w:color w:val="auto"/>
          <w:sz w:val="21"/>
          <w:szCs w:val="21"/>
          <w:lang w:eastAsia="zh-CN" w:bidi="ar-SA"/>
        </w:rPr>
        <w:t>6.</w:t>
      </w:r>
      <w:r>
        <w:rPr>
          <w:rFonts w:hAnsi="宋体" w:eastAsia="宋体"/>
          <w:color w:val="auto"/>
          <w:sz w:val="21"/>
          <w:szCs w:val="21"/>
          <w:lang w:eastAsia="zh-CN" w:bidi="ar-SA"/>
        </w:rPr>
        <w:t>本合同有效期为委托人和监理人签署之日起至</w:t>
      </w:r>
      <w:r>
        <w:rPr>
          <w:rFonts w:hint="eastAsia" w:hAnsi="宋体" w:eastAsia="宋体"/>
          <w:color w:val="auto"/>
          <w:sz w:val="21"/>
          <w:szCs w:val="21"/>
          <w:lang w:eastAsia="zh-CN" w:bidi="ar-SA"/>
        </w:rPr>
        <w:t>监理工作</w:t>
      </w:r>
      <w:r>
        <w:rPr>
          <w:rFonts w:hAnsi="宋体" w:eastAsia="宋体"/>
          <w:color w:val="auto"/>
          <w:sz w:val="21"/>
          <w:szCs w:val="21"/>
          <w:lang w:eastAsia="zh-CN" w:bidi="ar-SA"/>
        </w:rPr>
        <w:t>完成止。</w:t>
      </w:r>
    </w:p>
    <w:p w14:paraId="6A1E0A81">
      <w:pPr>
        <w:spacing w:line="420" w:lineRule="exact"/>
        <w:ind w:firstLine="420" w:firstLineChars="200"/>
        <w:jc w:val="both"/>
        <w:rPr>
          <w:rFonts w:eastAsia="宋体"/>
          <w:color w:val="auto"/>
          <w:sz w:val="21"/>
          <w:szCs w:val="21"/>
          <w:lang w:eastAsia="zh-CN" w:bidi="ar-SA"/>
        </w:rPr>
      </w:pPr>
      <w:r>
        <w:rPr>
          <w:rFonts w:eastAsia="宋体"/>
          <w:color w:val="auto"/>
          <w:sz w:val="21"/>
          <w:szCs w:val="21"/>
          <w:lang w:eastAsia="zh-CN" w:bidi="ar-SA"/>
        </w:rPr>
        <w:t>7.</w:t>
      </w:r>
      <w:r>
        <w:rPr>
          <w:rFonts w:hAnsi="宋体" w:eastAsia="宋体"/>
          <w:color w:val="auto"/>
          <w:sz w:val="21"/>
          <w:szCs w:val="21"/>
          <w:lang w:eastAsia="zh-CN" w:bidi="ar-SA"/>
        </w:rPr>
        <w:t>本合同作为</w:t>
      </w:r>
      <w:r>
        <w:rPr>
          <w:rFonts w:hint="eastAsia" w:ascii="宋体" w:hAnsi="宋体" w:eastAsia="宋体" w:cs="Arial"/>
          <w:color w:val="auto"/>
          <w:sz w:val="21"/>
          <w:szCs w:val="21"/>
          <w:u w:val="single"/>
          <w:lang w:eastAsia="zh-CN" w:bidi="ar-SA"/>
        </w:rPr>
        <w:t xml:space="preserve"> </w:t>
      </w:r>
      <w:r>
        <w:rPr>
          <w:rFonts w:ascii="宋体" w:hAnsi="宋体" w:eastAsia="宋体" w:cs="Arial"/>
          <w:color w:val="auto"/>
          <w:sz w:val="21"/>
          <w:szCs w:val="21"/>
          <w:u w:val="single"/>
          <w:lang w:eastAsia="zh-CN" w:bidi="ar-SA"/>
        </w:rPr>
        <w:t xml:space="preserve">     </w:t>
      </w:r>
      <w:r>
        <w:rPr>
          <w:rFonts w:hAnsi="宋体" w:eastAsia="宋体"/>
          <w:color w:val="auto"/>
          <w:sz w:val="21"/>
          <w:szCs w:val="21"/>
          <w:lang w:eastAsia="zh-CN" w:bidi="ar-SA"/>
        </w:rPr>
        <w:t>（项目名称）</w:t>
      </w:r>
      <w:r>
        <w:rPr>
          <w:rFonts w:hint="eastAsia" w:hAnsi="宋体" w:eastAsia="宋体"/>
          <w:color w:val="auto"/>
          <w:sz w:val="21"/>
          <w:szCs w:val="21"/>
          <w:u w:val="single"/>
          <w:lang w:eastAsia="zh-CN" w:bidi="ar-SA"/>
        </w:rPr>
        <w:t xml:space="preserve"> </w:t>
      </w:r>
      <w:r>
        <w:rPr>
          <w:rFonts w:hAnsi="宋体" w:eastAsia="宋体"/>
          <w:color w:val="auto"/>
          <w:sz w:val="21"/>
          <w:szCs w:val="21"/>
          <w:u w:val="single"/>
          <w:lang w:eastAsia="zh-CN" w:bidi="ar-SA"/>
        </w:rPr>
        <w:t xml:space="preserve">    </w:t>
      </w:r>
      <w:r>
        <w:rPr>
          <w:rFonts w:hAnsi="宋体" w:eastAsia="宋体"/>
          <w:color w:val="auto"/>
          <w:sz w:val="21"/>
          <w:szCs w:val="21"/>
          <w:lang w:eastAsia="zh-CN" w:bidi="ar-SA"/>
        </w:rPr>
        <w:t>标段</w:t>
      </w:r>
      <w:r>
        <w:rPr>
          <w:rFonts w:hint="eastAsia" w:hAnsi="宋体" w:eastAsia="宋体"/>
          <w:color w:val="auto"/>
          <w:sz w:val="21"/>
          <w:szCs w:val="21"/>
          <w:lang w:eastAsia="zh-CN" w:bidi="ar-SA"/>
        </w:rPr>
        <w:t>施工监理服务</w:t>
      </w:r>
      <w:r>
        <w:rPr>
          <w:rFonts w:hAnsi="宋体" w:eastAsia="宋体"/>
          <w:color w:val="auto"/>
          <w:sz w:val="21"/>
          <w:szCs w:val="21"/>
          <w:lang w:eastAsia="zh-CN" w:bidi="ar-SA"/>
        </w:rPr>
        <w:t>合同的附件，与</w:t>
      </w:r>
      <w:r>
        <w:rPr>
          <w:rFonts w:hint="eastAsia" w:hAnsi="宋体" w:eastAsia="宋体"/>
          <w:color w:val="auto"/>
          <w:sz w:val="21"/>
          <w:szCs w:val="21"/>
          <w:lang w:eastAsia="zh-CN" w:bidi="ar-SA"/>
        </w:rPr>
        <w:t>施工监理</w:t>
      </w:r>
      <w:r>
        <w:rPr>
          <w:rFonts w:hAnsi="宋体" w:eastAsia="宋体"/>
          <w:color w:val="auto"/>
          <w:sz w:val="21"/>
          <w:szCs w:val="21"/>
          <w:lang w:eastAsia="zh-CN" w:bidi="ar-SA"/>
        </w:rPr>
        <w:t>合同具有同等的法律效力，经合同双方签署后立即生效。</w:t>
      </w:r>
    </w:p>
    <w:p w14:paraId="1D85DFD7">
      <w:pPr>
        <w:spacing w:line="420" w:lineRule="exact"/>
        <w:ind w:firstLine="420" w:firstLineChars="200"/>
        <w:jc w:val="both"/>
        <w:rPr>
          <w:rFonts w:hint="eastAsia" w:ascii="宋体" w:hAnsi="宋体" w:eastAsia="宋体"/>
          <w:color w:val="auto"/>
          <w:sz w:val="21"/>
          <w:szCs w:val="21"/>
          <w:lang w:eastAsia="zh-CN" w:bidi="ar-SA"/>
        </w:rPr>
      </w:pPr>
      <w:r>
        <w:rPr>
          <w:rFonts w:eastAsia="宋体"/>
          <w:color w:val="auto"/>
          <w:sz w:val="21"/>
          <w:szCs w:val="21"/>
          <w:lang w:eastAsia="zh-CN" w:bidi="ar-SA"/>
        </w:rPr>
        <w:t>8.</w:t>
      </w:r>
      <w:r>
        <w:rPr>
          <w:rFonts w:hAnsi="宋体" w:eastAsia="宋体"/>
          <w:color w:val="auto"/>
          <w:sz w:val="21"/>
          <w:szCs w:val="21"/>
          <w:lang w:eastAsia="zh-CN" w:bidi="ar-SA"/>
        </w:rPr>
        <w:t>本合同一式四份，由委托人和监理人各执一份，送交委托人和监理人的监督单位各一份。</w:t>
      </w:r>
    </w:p>
    <w:p w14:paraId="33E900F1">
      <w:pPr>
        <w:wordWrap w:val="0"/>
        <w:spacing w:line="360" w:lineRule="auto"/>
        <w:jc w:val="both"/>
        <w:rPr>
          <w:rFonts w:eastAsia="宋体" w:cs="宋体"/>
          <w:color w:val="auto"/>
          <w:sz w:val="21"/>
          <w:szCs w:val="21"/>
          <w:lang w:eastAsia="zh-CN" w:bidi="ar-SA"/>
        </w:rPr>
      </w:pPr>
    </w:p>
    <w:p w14:paraId="0CD5DC1F">
      <w:pPr>
        <w:spacing w:line="420" w:lineRule="exact"/>
        <w:jc w:val="both"/>
        <w:rPr>
          <w:rFonts w:eastAsia="宋体" w:cs="宋体"/>
          <w:color w:val="auto"/>
          <w:sz w:val="21"/>
          <w:szCs w:val="21"/>
          <w:lang w:eastAsia="zh-CN" w:bidi="ar-SA"/>
        </w:rPr>
      </w:pPr>
      <w:r>
        <w:rPr>
          <w:rFonts w:eastAsia="宋体" w:cs="宋体"/>
          <w:color w:val="auto"/>
          <w:sz w:val="21"/>
          <w:szCs w:val="21"/>
          <w:lang w:eastAsia="zh-CN" w:bidi="ar-SA"/>
        </w:rPr>
        <w:t>委托人：</w:t>
      </w:r>
      <w:r>
        <w:rPr>
          <w:rFonts w:eastAsia="宋体"/>
          <w:color w:val="auto"/>
          <w:sz w:val="21"/>
          <w:szCs w:val="21"/>
          <w:u w:val="single"/>
          <w:lang w:eastAsia="zh-CN" w:bidi="ar-SA"/>
        </w:rPr>
        <w:t xml:space="preserve">              </w:t>
      </w:r>
      <w:r>
        <w:rPr>
          <w:rFonts w:hint="eastAsia" w:eastAsia="宋体"/>
          <w:color w:val="auto"/>
          <w:sz w:val="21"/>
          <w:szCs w:val="21"/>
          <w:u w:val="single"/>
          <w:lang w:eastAsia="zh-CN" w:bidi="ar-SA"/>
        </w:rPr>
        <w:t xml:space="preserve">                 </w:t>
      </w:r>
      <w:r>
        <w:rPr>
          <w:rFonts w:eastAsia="宋体"/>
          <w:color w:val="auto"/>
          <w:sz w:val="21"/>
          <w:szCs w:val="21"/>
          <w:u w:val="single"/>
          <w:lang w:eastAsia="zh-CN" w:bidi="ar-SA"/>
        </w:rPr>
        <w:t xml:space="preserve"> </w:t>
      </w:r>
      <w:r>
        <w:rPr>
          <w:rFonts w:eastAsia="宋体" w:cs="宋体"/>
          <w:color w:val="auto"/>
          <w:sz w:val="21"/>
          <w:szCs w:val="21"/>
          <w:lang w:eastAsia="zh-CN" w:bidi="ar-SA"/>
        </w:rPr>
        <w:t>（盖单位章）</w:t>
      </w:r>
      <w:r>
        <w:rPr>
          <w:rFonts w:hint="eastAsia" w:eastAsia="宋体" w:cs="宋体"/>
          <w:color w:val="auto"/>
          <w:sz w:val="21"/>
          <w:szCs w:val="21"/>
          <w:lang w:eastAsia="zh-CN" w:bidi="ar-SA"/>
        </w:rPr>
        <w:t xml:space="preserve">   监理人</w:t>
      </w:r>
      <w:r>
        <w:rPr>
          <w:rFonts w:eastAsia="宋体" w:cs="宋体"/>
          <w:color w:val="auto"/>
          <w:sz w:val="21"/>
          <w:szCs w:val="21"/>
          <w:lang w:eastAsia="zh-CN" w:bidi="ar-SA"/>
        </w:rPr>
        <w:t>：</w:t>
      </w:r>
      <w:r>
        <w:rPr>
          <w:rFonts w:eastAsia="宋体"/>
          <w:color w:val="auto"/>
          <w:sz w:val="21"/>
          <w:szCs w:val="21"/>
          <w:u w:val="single"/>
          <w:lang w:eastAsia="zh-CN" w:bidi="ar-SA"/>
        </w:rPr>
        <w:t xml:space="preserve">       </w:t>
      </w:r>
      <w:r>
        <w:rPr>
          <w:rFonts w:hint="eastAsia" w:eastAsia="宋体"/>
          <w:color w:val="auto"/>
          <w:sz w:val="21"/>
          <w:szCs w:val="21"/>
          <w:u w:val="single"/>
          <w:lang w:eastAsia="zh-CN" w:bidi="ar-SA"/>
        </w:rPr>
        <w:t xml:space="preserve">                </w:t>
      </w:r>
      <w:r>
        <w:rPr>
          <w:rFonts w:eastAsia="宋体"/>
          <w:color w:val="auto"/>
          <w:sz w:val="21"/>
          <w:szCs w:val="21"/>
          <w:u w:val="single"/>
          <w:lang w:eastAsia="zh-CN" w:bidi="ar-SA"/>
        </w:rPr>
        <w:t xml:space="preserve"> </w:t>
      </w:r>
      <w:r>
        <w:rPr>
          <w:rFonts w:hint="eastAsia" w:eastAsia="宋体"/>
          <w:color w:val="auto"/>
          <w:sz w:val="21"/>
          <w:szCs w:val="21"/>
          <w:u w:val="single"/>
          <w:lang w:eastAsia="zh-CN" w:bidi="ar-SA"/>
        </w:rPr>
        <w:t xml:space="preserve"> </w:t>
      </w:r>
      <w:r>
        <w:rPr>
          <w:rFonts w:eastAsia="宋体"/>
          <w:color w:val="auto"/>
          <w:sz w:val="21"/>
          <w:szCs w:val="21"/>
          <w:u w:val="single"/>
          <w:lang w:eastAsia="zh-CN" w:bidi="ar-SA"/>
        </w:rPr>
        <w:t xml:space="preserve">       </w:t>
      </w:r>
      <w:r>
        <w:rPr>
          <w:rFonts w:eastAsia="宋体" w:cs="宋体"/>
          <w:color w:val="auto"/>
          <w:sz w:val="21"/>
          <w:szCs w:val="21"/>
          <w:lang w:eastAsia="zh-CN" w:bidi="ar-SA"/>
        </w:rPr>
        <w:t>（盖单位章）</w:t>
      </w:r>
    </w:p>
    <w:p w14:paraId="036A3814">
      <w:pPr>
        <w:spacing w:line="420" w:lineRule="exact"/>
        <w:ind w:firstLine="210" w:firstLineChars="100"/>
        <w:jc w:val="both"/>
        <w:rPr>
          <w:rFonts w:eastAsia="宋体" w:cs="宋体"/>
          <w:color w:val="auto"/>
          <w:sz w:val="21"/>
          <w:szCs w:val="21"/>
          <w:lang w:eastAsia="zh-CN" w:bidi="ar-SA"/>
        </w:rPr>
      </w:pPr>
      <w:r>
        <w:rPr>
          <w:rFonts w:eastAsia="宋体" w:cs="宋体"/>
          <w:color w:val="auto"/>
          <w:sz w:val="21"/>
          <w:szCs w:val="21"/>
          <w:lang w:eastAsia="zh-CN" w:bidi="ar-SA"/>
        </w:rPr>
        <w:t>法定代表人</w:t>
      </w:r>
      <w:r>
        <w:rPr>
          <w:rFonts w:hint="eastAsia" w:eastAsia="宋体" w:cs="宋体"/>
          <w:color w:val="auto"/>
          <w:sz w:val="21"/>
          <w:szCs w:val="21"/>
          <w:lang w:eastAsia="zh-CN" w:bidi="ar-SA"/>
        </w:rPr>
        <w:t xml:space="preserve">                                                         </w:t>
      </w:r>
      <w:r>
        <w:rPr>
          <w:rFonts w:eastAsia="宋体" w:cs="宋体"/>
          <w:color w:val="auto"/>
          <w:sz w:val="21"/>
          <w:szCs w:val="21"/>
          <w:lang w:eastAsia="zh-CN" w:bidi="ar-SA"/>
        </w:rPr>
        <w:t>法定代表人</w:t>
      </w:r>
    </w:p>
    <w:p w14:paraId="1CF60E31">
      <w:pPr>
        <w:spacing w:line="420" w:lineRule="exact"/>
        <w:jc w:val="both"/>
        <w:rPr>
          <w:rFonts w:eastAsia="宋体" w:cs="宋体"/>
          <w:color w:val="auto"/>
          <w:sz w:val="21"/>
          <w:szCs w:val="21"/>
          <w:lang w:eastAsia="zh-CN" w:bidi="ar-SA"/>
        </w:rPr>
      </w:pPr>
      <w:r>
        <w:rPr>
          <w:rFonts w:eastAsia="宋体" w:cs="宋体"/>
          <w:color w:val="auto"/>
          <w:sz w:val="21"/>
          <w:szCs w:val="21"/>
          <w:lang w:eastAsia="zh-CN" w:bidi="ar-SA"/>
        </w:rPr>
        <w:t>或其委托代理人：</w:t>
      </w:r>
      <w:r>
        <w:rPr>
          <w:rFonts w:eastAsia="宋体"/>
          <w:color w:val="auto"/>
          <w:sz w:val="21"/>
          <w:szCs w:val="21"/>
          <w:u w:val="single"/>
          <w:lang w:eastAsia="zh-CN" w:bidi="ar-SA"/>
        </w:rPr>
        <w:t xml:space="preserve">  </w:t>
      </w:r>
      <w:r>
        <w:rPr>
          <w:rFonts w:hint="eastAsia" w:eastAsia="宋体"/>
          <w:color w:val="auto"/>
          <w:sz w:val="21"/>
          <w:szCs w:val="21"/>
          <w:u w:val="single"/>
          <w:lang w:eastAsia="zh-CN" w:bidi="ar-SA"/>
        </w:rPr>
        <w:t xml:space="preserve">        </w:t>
      </w:r>
      <w:r>
        <w:rPr>
          <w:rFonts w:eastAsia="宋体"/>
          <w:color w:val="auto"/>
          <w:sz w:val="21"/>
          <w:szCs w:val="21"/>
          <w:u w:val="single"/>
          <w:lang w:eastAsia="zh-CN" w:bidi="ar-SA"/>
        </w:rPr>
        <w:t xml:space="preserve"> </w:t>
      </w:r>
      <w:r>
        <w:rPr>
          <w:rFonts w:hint="eastAsia" w:eastAsia="宋体"/>
          <w:color w:val="auto"/>
          <w:sz w:val="21"/>
          <w:szCs w:val="21"/>
          <w:u w:val="single"/>
          <w:lang w:eastAsia="zh-CN" w:bidi="ar-SA"/>
        </w:rPr>
        <w:t xml:space="preserve">  </w:t>
      </w:r>
      <w:r>
        <w:rPr>
          <w:rFonts w:eastAsia="宋体"/>
          <w:color w:val="auto"/>
          <w:sz w:val="21"/>
          <w:szCs w:val="21"/>
          <w:u w:val="single"/>
          <w:lang w:eastAsia="zh-CN" w:bidi="ar-SA"/>
        </w:rPr>
        <w:t xml:space="preserve"> </w:t>
      </w:r>
      <w:r>
        <w:rPr>
          <w:rFonts w:eastAsia="宋体" w:cs="宋体"/>
          <w:color w:val="auto"/>
          <w:sz w:val="21"/>
          <w:szCs w:val="21"/>
          <w:lang w:eastAsia="zh-CN" w:bidi="ar-SA"/>
        </w:rPr>
        <w:t>（签字）</w:t>
      </w:r>
      <w:r>
        <w:rPr>
          <w:rFonts w:hint="eastAsia" w:eastAsia="宋体" w:cs="宋体"/>
          <w:color w:val="auto"/>
          <w:sz w:val="21"/>
          <w:szCs w:val="21"/>
          <w:lang w:eastAsia="zh-CN" w:bidi="ar-SA"/>
        </w:rPr>
        <w:t xml:space="preserve">               </w:t>
      </w:r>
      <w:r>
        <w:rPr>
          <w:rFonts w:eastAsia="宋体" w:cs="宋体"/>
          <w:color w:val="auto"/>
          <w:sz w:val="21"/>
          <w:szCs w:val="21"/>
          <w:lang w:eastAsia="zh-CN" w:bidi="ar-SA"/>
        </w:rPr>
        <w:t>或其委托代理人</w:t>
      </w:r>
      <w:r>
        <w:rPr>
          <w:rFonts w:hint="eastAsia" w:eastAsia="宋体" w:cs="宋体"/>
          <w:color w:val="auto"/>
          <w:sz w:val="21"/>
          <w:szCs w:val="21"/>
          <w:lang w:eastAsia="zh-CN" w:bidi="ar-SA"/>
        </w:rPr>
        <w:t>：</w:t>
      </w:r>
      <w:r>
        <w:rPr>
          <w:rFonts w:eastAsia="宋体"/>
          <w:color w:val="auto"/>
          <w:sz w:val="21"/>
          <w:szCs w:val="21"/>
          <w:u w:val="single"/>
          <w:lang w:eastAsia="zh-CN" w:bidi="ar-SA"/>
        </w:rPr>
        <w:t xml:space="preserve">  </w:t>
      </w:r>
      <w:r>
        <w:rPr>
          <w:rFonts w:hint="eastAsia" w:eastAsia="宋体"/>
          <w:color w:val="auto"/>
          <w:sz w:val="21"/>
          <w:szCs w:val="21"/>
          <w:u w:val="single"/>
          <w:lang w:eastAsia="zh-CN" w:bidi="ar-SA"/>
        </w:rPr>
        <w:t xml:space="preserve">          </w:t>
      </w:r>
      <w:r>
        <w:rPr>
          <w:rFonts w:eastAsia="宋体"/>
          <w:color w:val="auto"/>
          <w:sz w:val="21"/>
          <w:szCs w:val="21"/>
          <w:u w:val="single"/>
          <w:lang w:eastAsia="zh-CN" w:bidi="ar-SA"/>
        </w:rPr>
        <w:t xml:space="preserve">  </w:t>
      </w:r>
      <w:r>
        <w:rPr>
          <w:rFonts w:eastAsia="宋体" w:cs="宋体"/>
          <w:color w:val="auto"/>
          <w:sz w:val="21"/>
          <w:szCs w:val="21"/>
          <w:lang w:eastAsia="zh-CN" w:bidi="ar-SA"/>
        </w:rPr>
        <w:t>（签字）</w:t>
      </w:r>
    </w:p>
    <w:p w14:paraId="268B26C0">
      <w:pPr>
        <w:spacing w:line="420" w:lineRule="exact"/>
        <w:ind w:firstLine="1115" w:firstLineChars="531"/>
        <w:jc w:val="both"/>
        <w:rPr>
          <w:rFonts w:eastAsia="宋体" w:cs="宋体"/>
          <w:color w:val="auto"/>
          <w:sz w:val="21"/>
          <w:szCs w:val="21"/>
          <w:lang w:eastAsia="zh-CN" w:bidi="ar-SA"/>
        </w:rPr>
      </w:pPr>
      <w:r>
        <w:rPr>
          <w:rFonts w:hint="eastAsia" w:eastAsia="宋体" w:cs="宋体"/>
          <w:color w:val="auto"/>
          <w:sz w:val="21"/>
          <w:szCs w:val="21"/>
          <w:u w:val="single"/>
          <w:lang w:eastAsia="zh-CN" w:bidi="ar-SA"/>
        </w:rPr>
        <w:t xml:space="preserve">      </w:t>
      </w:r>
      <w:r>
        <w:rPr>
          <w:rFonts w:eastAsia="宋体" w:cs="宋体"/>
          <w:color w:val="auto"/>
          <w:sz w:val="21"/>
          <w:szCs w:val="21"/>
          <w:lang w:eastAsia="zh-CN" w:bidi="ar-SA"/>
        </w:rPr>
        <w:t>年</w:t>
      </w:r>
      <w:r>
        <w:rPr>
          <w:rFonts w:hint="eastAsia" w:eastAsia="宋体" w:cs="宋体"/>
          <w:color w:val="auto"/>
          <w:sz w:val="21"/>
          <w:szCs w:val="21"/>
          <w:u w:val="single"/>
          <w:lang w:eastAsia="zh-CN" w:bidi="ar-SA"/>
        </w:rPr>
        <w:t xml:space="preserve">      </w:t>
      </w:r>
      <w:r>
        <w:rPr>
          <w:rFonts w:eastAsia="宋体" w:cs="宋体"/>
          <w:color w:val="auto"/>
          <w:sz w:val="21"/>
          <w:szCs w:val="21"/>
          <w:lang w:eastAsia="zh-CN" w:bidi="ar-SA"/>
        </w:rPr>
        <w:t>月</w:t>
      </w:r>
      <w:r>
        <w:rPr>
          <w:rFonts w:hint="eastAsia" w:eastAsia="宋体" w:cs="宋体"/>
          <w:color w:val="auto"/>
          <w:sz w:val="21"/>
          <w:szCs w:val="21"/>
          <w:u w:val="single"/>
          <w:lang w:eastAsia="zh-CN" w:bidi="ar-SA"/>
        </w:rPr>
        <w:t xml:space="preserve">     </w:t>
      </w:r>
      <w:r>
        <w:rPr>
          <w:rFonts w:eastAsia="宋体" w:cs="宋体"/>
          <w:color w:val="auto"/>
          <w:sz w:val="21"/>
          <w:szCs w:val="21"/>
          <w:lang w:eastAsia="zh-CN" w:bidi="ar-SA"/>
        </w:rPr>
        <w:t>日</w:t>
      </w:r>
      <w:r>
        <w:rPr>
          <w:rFonts w:hint="eastAsia" w:eastAsia="宋体" w:cs="宋体"/>
          <w:color w:val="auto"/>
          <w:sz w:val="21"/>
          <w:szCs w:val="21"/>
          <w:lang w:eastAsia="zh-CN" w:bidi="ar-SA"/>
        </w:rPr>
        <w:t xml:space="preserve">                                                 </w:t>
      </w:r>
      <w:r>
        <w:rPr>
          <w:rFonts w:hint="eastAsia" w:eastAsia="宋体" w:cs="宋体"/>
          <w:color w:val="auto"/>
          <w:sz w:val="21"/>
          <w:szCs w:val="21"/>
          <w:u w:val="single"/>
          <w:lang w:eastAsia="zh-CN" w:bidi="ar-SA"/>
        </w:rPr>
        <w:t xml:space="preserve">       </w:t>
      </w:r>
      <w:r>
        <w:rPr>
          <w:rFonts w:eastAsia="宋体" w:cs="宋体"/>
          <w:color w:val="auto"/>
          <w:sz w:val="21"/>
          <w:szCs w:val="21"/>
          <w:lang w:eastAsia="zh-CN" w:bidi="ar-SA"/>
        </w:rPr>
        <w:t>年</w:t>
      </w:r>
      <w:r>
        <w:rPr>
          <w:rFonts w:hint="eastAsia" w:eastAsia="宋体" w:cs="宋体"/>
          <w:color w:val="auto"/>
          <w:sz w:val="21"/>
          <w:szCs w:val="21"/>
          <w:u w:val="single"/>
          <w:lang w:eastAsia="zh-CN" w:bidi="ar-SA"/>
        </w:rPr>
        <w:t xml:space="preserve">      </w:t>
      </w:r>
      <w:r>
        <w:rPr>
          <w:rFonts w:eastAsia="宋体" w:cs="宋体"/>
          <w:color w:val="auto"/>
          <w:sz w:val="21"/>
          <w:szCs w:val="21"/>
          <w:lang w:eastAsia="zh-CN" w:bidi="ar-SA"/>
        </w:rPr>
        <w:t>月</w:t>
      </w:r>
      <w:r>
        <w:rPr>
          <w:rFonts w:hint="eastAsia" w:eastAsia="宋体" w:cs="宋体"/>
          <w:color w:val="auto"/>
          <w:sz w:val="21"/>
          <w:szCs w:val="21"/>
          <w:u w:val="single"/>
          <w:lang w:eastAsia="zh-CN" w:bidi="ar-SA"/>
        </w:rPr>
        <w:t xml:space="preserve">      </w:t>
      </w:r>
      <w:r>
        <w:rPr>
          <w:rFonts w:eastAsia="宋体" w:cs="宋体"/>
          <w:color w:val="auto"/>
          <w:sz w:val="21"/>
          <w:szCs w:val="21"/>
          <w:lang w:eastAsia="zh-CN" w:bidi="ar-SA"/>
        </w:rPr>
        <w:t>日</w:t>
      </w:r>
    </w:p>
    <w:p w14:paraId="435A4906">
      <w:pPr>
        <w:spacing w:line="420" w:lineRule="exact"/>
        <w:jc w:val="both"/>
        <w:rPr>
          <w:rFonts w:eastAsia="宋体"/>
          <w:color w:val="auto"/>
          <w:sz w:val="21"/>
          <w:szCs w:val="21"/>
          <w:u w:val="single" w:color="000000"/>
          <w:lang w:eastAsia="zh-CN" w:bidi="ar-SA"/>
        </w:rPr>
      </w:pPr>
      <w:r>
        <w:rPr>
          <w:rFonts w:eastAsia="宋体"/>
          <w:color w:val="auto"/>
          <w:sz w:val="21"/>
          <w:szCs w:val="21"/>
          <w:lang w:eastAsia="zh-CN" w:bidi="ar-SA"/>
        </w:rPr>
        <w:t>委托人</w:t>
      </w:r>
      <w:r>
        <w:rPr>
          <w:rFonts w:eastAsia="宋体"/>
          <w:color w:val="auto"/>
          <w:sz w:val="21"/>
          <w:szCs w:val="21"/>
          <w:u w:color="000000"/>
          <w:lang w:eastAsia="zh-CN" w:bidi="ar-SA"/>
        </w:rPr>
        <w:t>监</w:t>
      </w:r>
      <w:r>
        <w:rPr>
          <w:rFonts w:eastAsia="宋体"/>
          <w:color w:val="auto"/>
          <w:sz w:val="21"/>
          <w:szCs w:val="21"/>
          <w:lang w:eastAsia="zh-CN" w:bidi="ar-SA"/>
        </w:rPr>
        <w:t>督单位</w:t>
      </w:r>
      <w:r>
        <w:rPr>
          <w:rFonts w:eastAsia="宋体"/>
          <w:color w:val="auto"/>
          <w:sz w:val="21"/>
          <w:szCs w:val="21"/>
          <w:u w:val="single" w:color="000000"/>
          <w:lang w:eastAsia="zh-CN" w:bidi="ar-SA"/>
        </w:rPr>
        <w:t>：</w:t>
      </w:r>
      <w:r>
        <w:rPr>
          <w:rFonts w:hint="eastAsia" w:eastAsia="宋体"/>
          <w:color w:val="auto"/>
          <w:sz w:val="21"/>
          <w:szCs w:val="21"/>
          <w:u w:val="single" w:color="000000"/>
          <w:lang w:eastAsia="zh-CN" w:bidi="ar-SA"/>
        </w:rPr>
        <w:t>（全称）（</w:t>
      </w:r>
      <w:r>
        <w:rPr>
          <w:rFonts w:eastAsia="宋体"/>
          <w:color w:val="auto"/>
          <w:sz w:val="21"/>
          <w:szCs w:val="21"/>
          <w:u w:val="single" w:color="000000"/>
          <w:lang w:eastAsia="zh-CN" w:bidi="ar-SA"/>
        </w:rPr>
        <w:t>盖单位章</w:t>
      </w:r>
      <w:r>
        <w:rPr>
          <w:rFonts w:hint="eastAsia" w:eastAsia="宋体"/>
          <w:color w:val="auto"/>
          <w:sz w:val="21"/>
          <w:szCs w:val="21"/>
          <w:u w:val="single" w:color="000000"/>
          <w:lang w:eastAsia="zh-CN" w:bidi="ar-SA"/>
        </w:rPr>
        <w:t>）</w:t>
      </w:r>
      <w:r>
        <w:rPr>
          <w:rFonts w:hint="eastAsia" w:eastAsia="宋体"/>
          <w:color w:val="auto"/>
          <w:sz w:val="21"/>
          <w:szCs w:val="21"/>
          <w:lang w:eastAsia="zh-CN" w:bidi="ar-SA"/>
        </w:rPr>
        <w:t xml:space="preserve">   </w:t>
      </w:r>
      <w:r>
        <w:rPr>
          <w:rFonts w:hint="eastAsia" w:eastAsia="宋体"/>
          <w:color w:val="auto"/>
          <w:sz w:val="21"/>
          <w:szCs w:val="21"/>
          <w:u w:val="single"/>
          <w:lang w:eastAsia="zh-CN" w:bidi="ar-SA"/>
        </w:rPr>
        <w:t>监理人</w:t>
      </w:r>
      <w:r>
        <w:rPr>
          <w:rFonts w:eastAsia="宋体"/>
          <w:color w:val="auto"/>
          <w:sz w:val="21"/>
          <w:szCs w:val="21"/>
          <w:u w:val="single" w:color="000000"/>
          <w:lang w:eastAsia="zh-CN" w:bidi="ar-SA"/>
        </w:rPr>
        <w:t>监</w:t>
      </w:r>
      <w:r>
        <w:rPr>
          <w:rFonts w:eastAsia="宋体"/>
          <w:color w:val="auto"/>
          <w:sz w:val="21"/>
          <w:szCs w:val="21"/>
          <w:u w:val="single"/>
          <w:lang w:eastAsia="zh-CN" w:bidi="ar-SA"/>
        </w:rPr>
        <w:t>督单位：</w:t>
      </w:r>
      <w:r>
        <w:rPr>
          <w:rFonts w:eastAsia="宋体"/>
          <w:color w:val="auto"/>
          <w:sz w:val="21"/>
          <w:szCs w:val="21"/>
          <w:u w:val="single" w:color="000000"/>
          <w:lang w:eastAsia="zh-CN" w:bidi="ar-SA"/>
        </w:rPr>
        <w:t>（全称）</w:t>
      </w:r>
      <w:r>
        <w:rPr>
          <w:rFonts w:hint="eastAsia" w:eastAsia="宋体"/>
          <w:color w:val="auto"/>
          <w:sz w:val="21"/>
          <w:szCs w:val="21"/>
          <w:u w:val="single" w:color="000000"/>
          <w:lang w:eastAsia="zh-CN" w:bidi="ar-SA"/>
        </w:rPr>
        <w:t>（</w:t>
      </w:r>
      <w:r>
        <w:rPr>
          <w:rFonts w:eastAsia="宋体"/>
          <w:color w:val="auto"/>
          <w:sz w:val="21"/>
          <w:szCs w:val="21"/>
          <w:u w:val="single" w:color="000000"/>
          <w:lang w:eastAsia="zh-CN" w:bidi="ar-SA"/>
        </w:rPr>
        <w:t>盖单位章</w:t>
      </w:r>
      <w:r>
        <w:rPr>
          <w:rFonts w:hint="eastAsia" w:eastAsia="宋体"/>
          <w:color w:val="auto"/>
          <w:sz w:val="21"/>
          <w:szCs w:val="21"/>
          <w:u w:val="single" w:color="000000"/>
          <w:lang w:eastAsia="zh-CN" w:bidi="ar-SA"/>
        </w:rPr>
        <w:t>）</w:t>
      </w:r>
    </w:p>
    <w:p w14:paraId="79B04AA3">
      <w:pPr>
        <w:spacing w:line="420" w:lineRule="exact"/>
        <w:jc w:val="both"/>
        <w:rPr>
          <w:rFonts w:eastAsia="宋体"/>
          <w:color w:val="auto"/>
          <w:u w:val="single" w:color="000000"/>
          <w:lang w:eastAsia="zh-CN" w:bidi="ar-SA"/>
        </w:rPr>
      </w:pPr>
    </w:p>
    <w:p w14:paraId="29EB208F">
      <w:pPr>
        <w:spacing w:line="420" w:lineRule="exact"/>
        <w:jc w:val="both"/>
        <w:rPr>
          <w:rFonts w:eastAsia="宋体"/>
          <w:color w:val="auto"/>
          <w:u w:val="single" w:color="000000"/>
          <w:lang w:eastAsia="zh-CN" w:bidi="ar-SA"/>
        </w:rPr>
        <w:sectPr>
          <w:footerReference r:id="rId34" w:type="default"/>
          <w:headerReference r:id="rId33" w:type="even"/>
          <w:footerReference r:id="rId35" w:type="even"/>
          <w:footnotePr>
            <w:numFmt w:val="decimalEnclosedCircleChinese"/>
            <w:numRestart w:val="eachPage"/>
          </w:footnotePr>
          <w:pgSz w:w="11906" w:h="16838"/>
          <w:pgMar w:top="1418" w:right="1588" w:bottom="1418" w:left="1588" w:header="680" w:footer="992" w:gutter="0"/>
          <w:cols w:space="720" w:num="1"/>
          <w:docGrid w:linePitch="326" w:charSpace="0"/>
        </w:sectPr>
      </w:pPr>
    </w:p>
    <w:p w14:paraId="6A8B74AC">
      <w:pPr>
        <w:snapToGrid w:val="0"/>
        <w:spacing w:before="240" w:beforeLines="100" w:after="240" w:afterLines="100"/>
        <w:outlineLvl w:val="1"/>
        <w:rPr>
          <w:rFonts w:hint="eastAsia" w:ascii="宋体" w:hAnsi="宋体" w:eastAsia="宋体" w:cs="宋体"/>
          <w:b/>
          <w:color w:val="auto"/>
          <w:spacing w:val="-10"/>
          <w:lang w:eastAsia="zh-CN" w:bidi="ar-SA"/>
        </w:rPr>
      </w:pPr>
      <w:bookmarkStart w:id="860" w:name="_Toc71"/>
      <w:r>
        <w:rPr>
          <w:rFonts w:ascii="宋体" w:hAnsi="宋体" w:eastAsia="宋体" w:cs="宋体"/>
          <w:b/>
          <w:color w:val="auto"/>
          <w:spacing w:val="-10"/>
          <w:lang w:eastAsia="zh-CN" w:bidi="ar-SA"/>
        </w:rPr>
        <w:t>附件</w:t>
      </w:r>
      <w:r>
        <w:rPr>
          <w:rFonts w:hint="eastAsia" w:ascii="宋体" w:hAnsi="宋体" w:eastAsia="宋体" w:cs="宋体"/>
          <w:b/>
          <w:color w:val="auto"/>
          <w:spacing w:val="-10"/>
          <w:lang w:eastAsia="zh-CN" w:bidi="ar-SA"/>
        </w:rPr>
        <w:t>三 安全监理责任合同</w:t>
      </w:r>
      <w:bookmarkEnd w:id="860"/>
    </w:p>
    <w:p w14:paraId="0307DBDB">
      <w:pPr>
        <w:spacing w:after="120" w:afterLines="50" w:line="440" w:lineRule="exact"/>
        <w:jc w:val="center"/>
        <w:rPr>
          <w:rFonts w:eastAsia="黑体"/>
          <w:color w:val="auto"/>
          <w:kern w:val="2"/>
          <w:sz w:val="28"/>
          <w:szCs w:val="22"/>
          <w:lang w:eastAsia="zh-CN" w:bidi="ar-SA"/>
        </w:rPr>
      </w:pPr>
      <w:r>
        <w:rPr>
          <w:rFonts w:hint="eastAsia" w:eastAsia="黑体"/>
          <w:color w:val="auto"/>
          <w:kern w:val="2"/>
          <w:sz w:val="28"/>
          <w:szCs w:val="22"/>
          <w:lang w:eastAsia="zh-CN" w:bidi="ar-SA"/>
        </w:rPr>
        <w:t>安全监理责任合同</w:t>
      </w:r>
    </w:p>
    <w:p w14:paraId="5F8A0D37">
      <w:pPr>
        <w:adjustRightInd w:val="0"/>
        <w:snapToGrid w:val="0"/>
        <w:spacing w:line="480" w:lineRule="auto"/>
        <w:ind w:firstLine="420" w:firstLineChars="200"/>
        <w:jc w:val="both"/>
        <w:rPr>
          <w:rFonts w:hint="eastAsia" w:ascii="宋体" w:hAnsi="宋体" w:eastAsia="宋体"/>
          <w:bCs/>
          <w:color w:val="auto"/>
          <w:kern w:val="2"/>
          <w:sz w:val="21"/>
          <w:szCs w:val="21"/>
          <w:lang w:eastAsia="zh-CN" w:bidi="ar-SA"/>
        </w:rPr>
      </w:pPr>
      <w:r>
        <w:rPr>
          <w:rFonts w:hint="eastAsia" w:ascii="宋体" w:hAnsi="宋体" w:eastAsia="宋体"/>
          <w:color w:val="auto"/>
          <w:kern w:val="2"/>
          <w:sz w:val="21"/>
          <w:szCs w:val="21"/>
          <w:lang w:eastAsia="zh-CN" w:bidi="ar-SA"/>
        </w:rPr>
        <w:t>根据国务院《建设工程安全生产管理条例》，为在</w:t>
      </w:r>
      <w:r>
        <w:rPr>
          <w:rFonts w:ascii="宋体" w:hAnsi="宋体" w:eastAsia="宋体"/>
          <w:color w:val="auto"/>
          <w:kern w:val="2"/>
          <w:sz w:val="21"/>
          <w:szCs w:val="21"/>
          <w:u w:val="single"/>
          <w:lang w:eastAsia="zh-CN" w:bidi="ar-SA"/>
        </w:rPr>
        <w:t xml:space="preserve">                           </w:t>
      </w:r>
      <w:r>
        <w:rPr>
          <w:rFonts w:hint="eastAsia" w:ascii="宋体" w:hAnsi="宋体" w:eastAsia="宋体"/>
          <w:color w:val="auto"/>
          <w:kern w:val="2"/>
          <w:sz w:val="21"/>
          <w:szCs w:val="21"/>
          <w:u w:val="single"/>
          <w:lang w:eastAsia="zh-CN" w:bidi="ar-SA"/>
        </w:rPr>
        <w:t xml:space="preserve"> </w:t>
      </w:r>
      <w:r>
        <w:rPr>
          <w:rFonts w:ascii="宋体" w:hAnsi="宋体" w:eastAsia="宋体"/>
          <w:color w:val="auto"/>
          <w:kern w:val="2"/>
          <w:sz w:val="21"/>
          <w:szCs w:val="21"/>
          <w:lang w:eastAsia="zh-CN" w:bidi="ar-SA"/>
        </w:rPr>
        <w:t>（项目名称）</w:t>
      </w:r>
      <w:r>
        <w:rPr>
          <w:rFonts w:hint="eastAsia" w:ascii="宋体" w:hAnsi="宋体" w:eastAsia="宋体"/>
          <w:color w:val="auto"/>
          <w:kern w:val="2"/>
          <w:sz w:val="21"/>
          <w:szCs w:val="21"/>
          <w:lang w:eastAsia="zh-CN" w:bidi="ar-SA"/>
        </w:rPr>
        <w:t>监理服务合同的实施过程中切实做好本工程的安全生产管理工作，</w:t>
      </w:r>
      <w:r>
        <w:rPr>
          <w:rFonts w:ascii="宋体" w:hAnsi="宋体" w:eastAsia="宋体"/>
          <w:color w:val="auto"/>
          <w:kern w:val="2"/>
          <w:sz w:val="21"/>
          <w:szCs w:val="21"/>
          <w:u w:val="single"/>
          <w:lang w:eastAsia="zh-CN" w:bidi="ar-SA"/>
        </w:rPr>
        <w:t xml:space="preserve">                           </w:t>
      </w:r>
      <w:r>
        <w:rPr>
          <w:rFonts w:ascii="宋体" w:hAnsi="宋体" w:eastAsia="宋体"/>
          <w:color w:val="auto"/>
          <w:kern w:val="2"/>
          <w:sz w:val="21"/>
          <w:szCs w:val="21"/>
          <w:lang w:eastAsia="zh-CN" w:bidi="ar-SA"/>
        </w:rPr>
        <w:t>（委托人名称，以下简称“委托人”）</w:t>
      </w:r>
      <w:r>
        <w:rPr>
          <w:rFonts w:hint="eastAsia" w:ascii="宋体" w:hAnsi="宋体" w:eastAsia="宋体"/>
          <w:color w:val="auto"/>
          <w:kern w:val="2"/>
          <w:sz w:val="21"/>
          <w:szCs w:val="21"/>
          <w:lang w:eastAsia="zh-CN" w:bidi="ar-SA"/>
        </w:rPr>
        <w:t>与</w:t>
      </w:r>
      <w:r>
        <w:rPr>
          <w:rFonts w:hint="eastAsia" w:ascii="宋体" w:hAnsi="宋体" w:eastAsia="宋体"/>
          <w:color w:val="auto"/>
          <w:kern w:val="2"/>
          <w:sz w:val="21"/>
          <w:szCs w:val="21"/>
          <w:u w:val="single"/>
          <w:lang w:eastAsia="zh-CN" w:bidi="ar-SA"/>
        </w:rPr>
        <w:t xml:space="preserve"> </w:t>
      </w:r>
      <w:r>
        <w:rPr>
          <w:rFonts w:ascii="宋体" w:hAnsi="宋体" w:eastAsia="宋体"/>
          <w:color w:val="auto"/>
          <w:kern w:val="2"/>
          <w:sz w:val="21"/>
          <w:szCs w:val="21"/>
          <w:u w:val="single"/>
          <w:lang w:eastAsia="zh-CN" w:bidi="ar-SA"/>
        </w:rPr>
        <w:t xml:space="preserve">                             </w:t>
      </w:r>
      <w:r>
        <w:rPr>
          <w:rFonts w:ascii="宋体" w:hAnsi="宋体" w:eastAsia="宋体"/>
          <w:color w:val="auto"/>
          <w:kern w:val="2"/>
          <w:sz w:val="21"/>
          <w:szCs w:val="21"/>
          <w:lang w:eastAsia="zh-CN" w:bidi="ar-SA"/>
        </w:rPr>
        <w:t>（监理人名称，以下简称“监理人”）</w:t>
      </w:r>
      <w:r>
        <w:rPr>
          <w:rFonts w:hint="eastAsia" w:ascii="宋体" w:hAnsi="宋体" w:eastAsia="宋体"/>
          <w:color w:val="auto"/>
          <w:kern w:val="2"/>
          <w:sz w:val="21"/>
          <w:szCs w:val="21"/>
          <w:lang w:eastAsia="zh-CN" w:bidi="ar-SA"/>
        </w:rPr>
        <w:t>签订如下安全监理责任合同：</w:t>
      </w:r>
    </w:p>
    <w:p w14:paraId="4E29DAB6">
      <w:pPr>
        <w:adjustRightInd w:val="0"/>
        <w:snapToGrid w:val="0"/>
        <w:spacing w:line="480" w:lineRule="auto"/>
        <w:ind w:firstLine="420" w:firstLineChars="200"/>
        <w:jc w:val="both"/>
        <w:rPr>
          <w:rFonts w:hint="eastAsia" w:ascii="宋体" w:hAnsi="宋体" w:eastAsia="宋体"/>
          <w:color w:val="auto"/>
          <w:kern w:val="2"/>
          <w:sz w:val="21"/>
          <w:szCs w:val="21"/>
          <w:lang w:eastAsia="zh-CN" w:bidi="ar-SA"/>
        </w:rPr>
      </w:pPr>
      <w:r>
        <w:rPr>
          <w:rFonts w:hint="eastAsia" w:ascii="宋体" w:hAnsi="宋体" w:eastAsia="宋体"/>
          <w:color w:val="auto"/>
          <w:kern w:val="2"/>
          <w:sz w:val="21"/>
          <w:szCs w:val="21"/>
          <w:lang w:eastAsia="zh-CN" w:bidi="ar-SA"/>
        </w:rPr>
        <w:t>一、委托人职责</w:t>
      </w:r>
    </w:p>
    <w:p w14:paraId="36B85FE5">
      <w:pPr>
        <w:adjustRightInd w:val="0"/>
        <w:snapToGrid w:val="0"/>
        <w:spacing w:line="480" w:lineRule="auto"/>
        <w:ind w:firstLine="420" w:firstLineChars="200"/>
        <w:jc w:val="both"/>
        <w:rPr>
          <w:rFonts w:hint="eastAsia" w:ascii="宋体" w:hAnsi="宋体" w:eastAsia="宋体"/>
          <w:color w:val="auto"/>
          <w:kern w:val="2"/>
          <w:sz w:val="21"/>
          <w:szCs w:val="21"/>
          <w:lang w:eastAsia="zh-CN" w:bidi="ar-SA"/>
        </w:rPr>
      </w:pPr>
      <w:r>
        <w:rPr>
          <w:rFonts w:hint="eastAsia" w:ascii="宋体" w:hAnsi="宋体" w:eastAsia="宋体"/>
          <w:color w:val="auto"/>
          <w:kern w:val="2"/>
          <w:sz w:val="21"/>
          <w:szCs w:val="21"/>
          <w:lang w:eastAsia="zh-CN" w:bidi="ar-SA"/>
        </w:rPr>
        <w:t>1．严格遵守国家有关安全生产的法律法规，支持监理人按条例要求对规定的施工安全实施监理。</w:t>
      </w:r>
    </w:p>
    <w:p w14:paraId="5A439D9F">
      <w:pPr>
        <w:adjustRightInd w:val="0"/>
        <w:snapToGrid w:val="0"/>
        <w:spacing w:line="480" w:lineRule="auto"/>
        <w:ind w:firstLine="420" w:firstLineChars="200"/>
        <w:jc w:val="both"/>
        <w:rPr>
          <w:rFonts w:hint="eastAsia" w:ascii="宋体" w:hAnsi="宋体" w:eastAsia="宋体"/>
          <w:color w:val="auto"/>
          <w:kern w:val="2"/>
          <w:sz w:val="21"/>
          <w:szCs w:val="21"/>
          <w:lang w:eastAsia="zh-CN" w:bidi="ar-SA"/>
        </w:rPr>
      </w:pPr>
      <w:r>
        <w:rPr>
          <w:rFonts w:hint="eastAsia" w:ascii="宋体" w:hAnsi="宋体" w:eastAsia="宋体"/>
          <w:color w:val="auto"/>
          <w:kern w:val="2"/>
          <w:sz w:val="21"/>
          <w:szCs w:val="21"/>
          <w:lang w:eastAsia="zh-CN" w:bidi="ar-SA"/>
        </w:rPr>
        <w:t>2．按照“安全第一、预防为主”和坚持“管生产必须管安全”的原则进行安全生产管理，做到生产与安全工作同时计划、布置、检查、总结和评比。</w:t>
      </w:r>
    </w:p>
    <w:p w14:paraId="6F02B6E6">
      <w:pPr>
        <w:adjustRightInd w:val="0"/>
        <w:snapToGrid w:val="0"/>
        <w:spacing w:line="480" w:lineRule="auto"/>
        <w:ind w:firstLine="420" w:firstLineChars="200"/>
        <w:jc w:val="both"/>
        <w:rPr>
          <w:rFonts w:hint="eastAsia" w:ascii="宋体" w:hAnsi="宋体" w:eastAsia="宋体"/>
          <w:color w:val="auto"/>
          <w:kern w:val="2"/>
          <w:sz w:val="21"/>
          <w:szCs w:val="21"/>
          <w:lang w:eastAsia="zh-CN" w:bidi="ar-SA"/>
        </w:rPr>
      </w:pPr>
      <w:r>
        <w:rPr>
          <w:rFonts w:hint="eastAsia" w:ascii="宋体" w:hAnsi="宋体" w:eastAsia="宋体"/>
          <w:color w:val="auto"/>
          <w:kern w:val="2"/>
          <w:sz w:val="21"/>
          <w:szCs w:val="21"/>
          <w:lang w:eastAsia="zh-CN" w:bidi="ar-SA"/>
        </w:rPr>
        <w:t>3．重要的安全设施必须坚持与主体工程“三同时”的原则，即：同时设计、审批，同时施工，同时验收、投入使用。</w:t>
      </w:r>
    </w:p>
    <w:p w14:paraId="562F8319">
      <w:pPr>
        <w:adjustRightInd w:val="0"/>
        <w:snapToGrid w:val="0"/>
        <w:spacing w:line="480" w:lineRule="auto"/>
        <w:ind w:firstLine="420" w:firstLineChars="200"/>
        <w:jc w:val="both"/>
        <w:rPr>
          <w:rFonts w:hint="eastAsia" w:ascii="宋体" w:hAnsi="宋体" w:eastAsia="宋体"/>
          <w:color w:val="auto"/>
          <w:kern w:val="2"/>
          <w:sz w:val="21"/>
          <w:szCs w:val="21"/>
          <w:lang w:eastAsia="zh-CN" w:bidi="ar-SA"/>
        </w:rPr>
      </w:pPr>
      <w:r>
        <w:rPr>
          <w:rFonts w:hint="eastAsia" w:ascii="宋体" w:hAnsi="宋体" w:eastAsia="宋体"/>
          <w:color w:val="auto"/>
          <w:kern w:val="2"/>
          <w:sz w:val="21"/>
          <w:szCs w:val="21"/>
          <w:lang w:eastAsia="zh-CN" w:bidi="ar-SA"/>
        </w:rPr>
        <w:t>4．定期召开安全生产调度会，及时传达中央及地方有关安全生产的精神。</w:t>
      </w:r>
    </w:p>
    <w:p w14:paraId="77C5457F">
      <w:pPr>
        <w:adjustRightInd w:val="0"/>
        <w:snapToGrid w:val="0"/>
        <w:spacing w:line="480" w:lineRule="auto"/>
        <w:ind w:firstLine="420" w:firstLineChars="200"/>
        <w:jc w:val="both"/>
        <w:rPr>
          <w:rFonts w:hint="eastAsia" w:ascii="宋体" w:hAnsi="宋体" w:eastAsia="宋体"/>
          <w:color w:val="auto"/>
          <w:kern w:val="2"/>
          <w:sz w:val="21"/>
          <w:szCs w:val="21"/>
          <w:lang w:eastAsia="zh-CN" w:bidi="ar-SA"/>
        </w:rPr>
      </w:pPr>
      <w:r>
        <w:rPr>
          <w:rFonts w:hint="eastAsia" w:ascii="宋体" w:hAnsi="宋体" w:eastAsia="宋体"/>
          <w:color w:val="auto"/>
          <w:kern w:val="2"/>
          <w:sz w:val="21"/>
          <w:szCs w:val="21"/>
          <w:lang w:eastAsia="zh-CN" w:bidi="ar-SA"/>
        </w:rPr>
        <w:t>5．组织对施工现场的安全生产检查，监督承包人及时处理发现的各项安全隐患。</w:t>
      </w:r>
    </w:p>
    <w:p w14:paraId="66081D29">
      <w:pPr>
        <w:adjustRightInd w:val="0"/>
        <w:snapToGrid w:val="0"/>
        <w:spacing w:line="480" w:lineRule="auto"/>
        <w:ind w:firstLine="420" w:firstLineChars="200"/>
        <w:jc w:val="both"/>
        <w:rPr>
          <w:rFonts w:hint="eastAsia" w:ascii="宋体" w:hAnsi="宋体" w:eastAsia="宋体"/>
          <w:color w:val="auto"/>
          <w:kern w:val="2"/>
          <w:sz w:val="21"/>
          <w:szCs w:val="21"/>
          <w:lang w:eastAsia="zh-CN" w:bidi="ar-SA"/>
        </w:rPr>
      </w:pPr>
      <w:r>
        <w:rPr>
          <w:rFonts w:hint="eastAsia" w:ascii="宋体" w:hAnsi="宋体" w:eastAsia="宋体"/>
          <w:color w:val="auto"/>
          <w:kern w:val="2"/>
          <w:sz w:val="21"/>
          <w:szCs w:val="21"/>
          <w:lang w:eastAsia="zh-CN" w:bidi="ar-SA"/>
        </w:rPr>
        <w:t>二、监理人职责</w:t>
      </w:r>
    </w:p>
    <w:p w14:paraId="605389D4">
      <w:pPr>
        <w:adjustRightInd w:val="0"/>
        <w:snapToGrid w:val="0"/>
        <w:spacing w:line="480" w:lineRule="auto"/>
        <w:ind w:firstLine="420" w:firstLineChars="200"/>
        <w:jc w:val="both"/>
        <w:rPr>
          <w:rFonts w:hint="eastAsia" w:ascii="宋体" w:hAnsi="宋体" w:eastAsia="宋体"/>
          <w:color w:val="auto"/>
          <w:kern w:val="2"/>
          <w:sz w:val="21"/>
          <w:szCs w:val="21"/>
          <w:lang w:eastAsia="zh-CN" w:bidi="ar-SA"/>
        </w:rPr>
      </w:pPr>
      <w:r>
        <w:rPr>
          <w:rFonts w:hint="eastAsia" w:ascii="宋体" w:hAnsi="宋体" w:eastAsia="宋体"/>
          <w:color w:val="auto"/>
          <w:kern w:val="2"/>
          <w:sz w:val="21"/>
          <w:szCs w:val="21"/>
          <w:lang w:eastAsia="zh-CN" w:bidi="ar-SA"/>
        </w:rPr>
        <w:t>1．督促承包人严格遵守党和国家有关法律法规、交通运输部及省交通运输厅的有关规定，认真执行工程承包合同中的有关安全要求。</w:t>
      </w:r>
    </w:p>
    <w:p w14:paraId="7FDB8558">
      <w:pPr>
        <w:adjustRightInd w:val="0"/>
        <w:snapToGrid w:val="0"/>
        <w:spacing w:line="480" w:lineRule="auto"/>
        <w:ind w:firstLine="420" w:firstLineChars="200"/>
        <w:jc w:val="both"/>
        <w:rPr>
          <w:rFonts w:hint="eastAsia" w:ascii="宋体" w:hAnsi="宋体" w:eastAsia="宋体"/>
          <w:color w:val="auto"/>
          <w:kern w:val="2"/>
          <w:sz w:val="21"/>
          <w:szCs w:val="21"/>
          <w:lang w:eastAsia="zh-CN" w:bidi="ar-SA"/>
        </w:rPr>
      </w:pPr>
      <w:r>
        <w:rPr>
          <w:rFonts w:hint="eastAsia" w:ascii="宋体" w:hAnsi="宋体" w:eastAsia="宋体"/>
          <w:color w:val="auto"/>
          <w:kern w:val="2"/>
          <w:sz w:val="21"/>
          <w:szCs w:val="21"/>
          <w:lang w:eastAsia="zh-CN" w:bidi="ar-SA"/>
        </w:rPr>
        <w:t>2．坚持“安全第一、预防为主”和“管生产必须管安全”的原则，督促承包人加强安全生产宣传教育，增强全员安全生产意识，建立健全各项安全生产的管理机构和安全生产管理制度，配备专职及兼职安全检查人员，有组织、有领导地开展安全生产活动。</w:t>
      </w:r>
    </w:p>
    <w:p w14:paraId="2397806D">
      <w:pPr>
        <w:adjustRightInd w:val="0"/>
        <w:snapToGrid w:val="0"/>
        <w:spacing w:line="480" w:lineRule="auto"/>
        <w:ind w:firstLine="420" w:firstLineChars="200"/>
        <w:jc w:val="both"/>
        <w:rPr>
          <w:rFonts w:hint="eastAsia" w:ascii="宋体" w:hAnsi="宋体" w:eastAsia="宋体"/>
          <w:color w:val="auto"/>
          <w:kern w:val="2"/>
          <w:sz w:val="21"/>
          <w:szCs w:val="21"/>
          <w:lang w:eastAsia="zh-CN" w:bidi="ar-SA"/>
        </w:rPr>
      </w:pPr>
      <w:r>
        <w:rPr>
          <w:rFonts w:hint="eastAsia" w:ascii="宋体" w:hAnsi="宋体" w:eastAsia="宋体"/>
          <w:color w:val="auto"/>
          <w:kern w:val="2"/>
          <w:sz w:val="21"/>
          <w:szCs w:val="21"/>
          <w:lang w:eastAsia="zh-CN" w:bidi="ar-SA"/>
        </w:rPr>
        <w:t>3. 建立健全安全监理制度，加强安全知识教育培训，明确各岗位监理人员的安全监理职责，增强安全意识。</w:t>
      </w:r>
    </w:p>
    <w:p w14:paraId="06268807">
      <w:pPr>
        <w:adjustRightInd w:val="0"/>
        <w:snapToGrid w:val="0"/>
        <w:spacing w:line="480" w:lineRule="auto"/>
        <w:ind w:firstLine="420" w:firstLineChars="200"/>
        <w:jc w:val="both"/>
        <w:rPr>
          <w:rFonts w:hint="eastAsia" w:ascii="宋体" w:hAnsi="宋体" w:eastAsia="宋体"/>
          <w:color w:val="auto"/>
          <w:kern w:val="2"/>
          <w:sz w:val="21"/>
          <w:szCs w:val="21"/>
          <w:lang w:eastAsia="zh-CN" w:bidi="ar-SA"/>
        </w:rPr>
      </w:pPr>
      <w:r>
        <w:rPr>
          <w:rFonts w:hint="eastAsia" w:ascii="宋体" w:hAnsi="宋体" w:eastAsia="宋体"/>
          <w:color w:val="auto"/>
          <w:kern w:val="2"/>
          <w:sz w:val="21"/>
          <w:szCs w:val="21"/>
          <w:lang w:eastAsia="zh-CN" w:bidi="ar-SA"/>
        </w:rPr>
        <w:t>4．在审查施工组织设计的同时，要同步审查施工组织设计中的安全技术措施，审查专项施工方案是否符合工程建设强制性标准。</w:t>
      </w:r>
    </w:p>
    <w:p w14:paraId="0F3D3163">
      <w:pPr>
        <w:adjustRightInd w:val="0"/>
        <w:snapToGrid w:val="0"/>
        <w:spacing w:line="480" w:lineRule="auto"/>
        <w:ind w:firstLine="420" w:firstLineChars="200"/>
        <w:jc w:val="both"/>
        <w:rPr>
          <w:rFonts w:hint="eastAsia" w:ascii="宋体" w:hAnsi="宋体" w:eastAsia="宋体"/>
          <w:color w:val="auto"/>
          <w:kern w:val="2"/>
          <w:sz w:val="21"/>
          <w:szCs w:val="21"/>
          <w:lang w:eastAsia="zh-CN" w:bidi="ar-SA"/>
        </w:rPr>
      </w:pPr>
      <w:r>
        <w:rPr>
          <w:rFonts w:hint="eastAsia" w:ascii="宋体" w:hAnsi="宋体" w:eastAsia="宋体"/>
          <w:color w:val="auto"/>
          <w:kern w:val="2"/>
          <w:sz w:val="21"/>
          <w:szCs w:val="21"/>
          <w:lang w:eastAsia="zh-CN" w:bidi="ar-SA"/>
        </w:rPr>
        <w:t>5．在实施监理过程中，发现存在安全事故隐患的，应立即要求承包人整改；情况严重的，应立即要求承包人停止施工，并及时报告委托人。承包人拒不整改或不停止施工的，监理人应及时向有关主管部门报告。</w:t>
      </w:r>
    </w:p>
    <w:p w14:paraId="399C6953">
      <w:pPr>
        <w:adjustRightInd w:val="0"/>
        <w:snapToGrid w:val="0"/>
        <w:spacing w:line="480" w:lineRule="auto"/>
        <w:ind w:firstLine="420" w:firstLineChars="200"/>
        <w:jc w:val="both"/>
        <w:rPr>
          <w:rFonts w:hint="eastAsia" w:ascii="宋体" w:hAnsi="宋体" w:eastAsia="宋体"/>
          <w:color w:val="auto"/>
          <w:kern w:val="2"/>
          <w:sz w:val="21"/>
          <w:szCs w:val="21"/>
          <w:lang w:eastAsia="zh-CN" w:bidi="ar-SA"/>
        </w:rPr>
      </w:pPr>
      <w:r>
        <w:rPr>
          <w:rFonts w:hint="eastAsia" w:ascii="宋体" w:hAnsi="宋体" w:eastAsia="宋体"/>
          <w:color w:val="auto"/>
          <w:kern w:val="2"/>
          <w:sz w:val="21"/>
          <w:szCs w:val="21"/>
          <w:lang w:eastAsia="zh-CN" w:bidi="ar-SA"/>
        </w:rPr>
        <w:t>6．监理人及其监理工程师应当按照法律、法规和工程建设强制性标准实施监理，并对建设工程安全生产承担监理责任。</w:t>
      </w:r>
    </w:p>
    <w:p w14:paraId="40815E22">
      <w:pPr>
        <w:adjustRightInd w:val="0"/>
        <w:snapToGrid w:val="0"/>
        <w:spacing w:line="480" w:lineRule="auto"/>
        <w:ind w:firstLine="420" w:firstLineChars="200"/>
        <w:jc w:val="both"/>
        <w:rPr>
          <w:rFonts w:hint="eastAsia" w:ascii="宋体" w:hAnsi="宋体" w:eastAsia="宋体"/>
          <w:color w:val="auto"/>
          <w:kern w:val="2"/>
          <w:sz w:val="21"/>
          <w:szCs w:val="21"/>
          <w:lang w:eastAsia="zh-CN" w:bidi="ar-SA"/>
        </w:rPr>
      </w:pPr>
      <w:r>
        <w:rPr>
          <w:rFonts w:hint="eastAsia" w:ascii="宋体" w:hAnsi="宋体" w:eastAsia="宋体"/>
          <w:color w:val="auto"/>
          <w:kern w:val="2"/>
          <w:sz w:val="21"/>
          <w:szCs w:val="21"/>
          <w:lang w:eastAsia="zh-CN" w:bidi="ar-SA"/>
        </w:rPr>
        <w:t>7．监理人应督促承包人按照本工程特点，组织制定本工程实施中的生产安全事故应急救援预案；如果发生安全事故，应按照《国务院关于特大安全事故行政责任追究的规定》及其它有关规定，及时上报有关部门，并坚持“三不放过”的原则。</w:t>
      </w:r>
    </w:p>
    <w:p w14:paraId="3E05150B">
      <w:pPr>
        <w:adjustRightInd w:val="0"/>
        <w:snapToGrid w:val="0"/>
        <w:spacing w:line="480" w:lineRule="auto"/>
        <w:ind w:firstLine="420" w:firstLineChars="200"/>
        <w:jc w:val="both"/>
        <w:rPr>
          <w:rFonts w:hint="eastAsia" w:ascii="宋体" w:hAnsi="宋体" w:eastAsia="宋体"/>
          <w:color w:val="auto"/>
          <w:kern w:val="2"/>
          <w:sz w:val="21"/>
          <w:szCs w:val="21"/>
          <w:lang w:eastAsia="zh-CN" w:bidi="ar-SA"/>
        </w:rPr>
      </w:pPr>
      <w:r>
        <w:rPr>
          <w:rFonts w:hint="eastAsia" w:ascii="宋体" w:hAnsi="宋体" w:eastAsia="宋体"/>
          <w:color w:val="auto"/>
          <w:kern w:val="2"/>
          <w:sz w:val="21"/>
          <w:szCs w:val="21"/>
          <w:lang w:eastAsia="zh-CN" w:bidi="ar-SA"/>
        </w:rPr>
        <w:t>三、违约责任</w:t>
      </w:r>
    </w:p>
    <w:p w14:paraId="640526E7">
      <w:pPr>
        <w:adjustRightInd w:val="0"/>
        <w:snapToGrid w:val="0"/>
        <w:spacing w:line="480" w:lineRule="auto"/>
        <w:ind w:firstLine="420" w:firstLineChars="200"/>
        <w:jc w:val="both"/>
        <w:rPr>
          <w:rFonts w:hint="eastAsia" w:ascii="宋体" w:hAnsi="宋体" w:eastAsia="宋体"/>
          <w:color w:val="auto"/>
          <w:kern w:val="2"/>
          <w:sz w:val="21"/>
          <w:szCs w:val="21"/>
          <w:lang w:eastAsia="zh-CN" w:bidi="ar-SA"/>
        </w:rPr>
      </w:pPr>
      <w:r>
        <w:rPr>
          <w:rFonts w:hint="eastAsia" w:ascii="宋体" w:hAnsi="宋体" w:eastAsia="宋体"/>
          <w:color w:val="auto"/>
          <w:kern w:val="2"/>
          <w:sz w:val="21"/>
          <w:szCs w:val="21"/>
          <w:lang w:eastAsia="zh-CN" w:bidi="ar-SA"/>
        </w:rPr>
        <w:t>1、如因委托人或监理人违约造成安全事故，将依法追究责任。</w:t>
      </w:r>
    </w:p>
    <w:p w14:paraId="34B258F1">
      <w:pPr>
        <w:adjustRightInd w:val="0"/>
        <w:snapToGrid w:val="0"/>
        <w:spacing w:line="480" w:lineRule="auto"/>
        <w:ind w:firstLine="420" w:firstLineChars="200"/>
        <w:jc w:val="both"/>
        <w:rPr>
          <w:rFonts w:hint="eastAsia" w:ascii="宋体" w:hAnsi="宋体" w:eastAsia="宋体"/>
          <w:color w:val="auto"/>
          <w:kern w:val="2"/>
          <w:sz w:val="21"/>
          <w:szCs w:val="21"/>
          <w:lang w:eastAsia="zh-CN" w:bidi="ar-SA"/>
        </w:rPr>
      </w:pPr>
      <w:r>
        <w:rPr>
          <w:rFonts w:hint="eastAsia" w:ascii="宋体" w:hAnsi="宋体" w:eastAsia="宋体"/>
          <w:color w:val="auto"/>
          <w:kern w:val="2"/>
          <w:sz w:val="21"/>
          <w:szCs w:val="21"/>
          <w:lang w:eastAsia="zh-CN" w:bidi="ar-SA"/>
        </w:rPr>
        <w:t>2、本合同一式陆份，合同双方各执叁份。由双方法定代表人或其授权的代理人签署并加盖单位公章后生效，全部工程竣工验收后失效。</w:t>
      </w:r>
    </w:p>
    <w:p w14:paraId="390AD40B">
      <w:pPr>
        <w:spacing w:line="480" w:lineRule="auto"/>
        <w:jc w:val="both"/>
        <w:rPr>
          <w:rFonts w:hint="eastAsia" w:ascii="宋体" w:hAnsi="宋体" w:eastAsia="宋体"/>
          <w:color w:val="auto"/>
          <w:kern w:val="2"/>
          <w:sz w:val="21"/>
          <w:szCs w:val="21"/>
          <w:lang w:eastAsia="zh-CN" w:bidi="ar-SA"/>
        </w:rPr>
      </w:pPr>
    </w:p>
    <w:p w14:paraId="6F757034">
      <w:pPr>
        <w:spacing w:line="480" w:lineRule="auto"/>
        <w:jc w:val="both"/>
        <w:rPr>
          <w:rFonts w:hint="eastAsia" w:ascii="宋体" w:hAnsi="宋体" w:eastAsia="宋体"/>
          <w:color w:val="auto"/>
          <w:kern w:val="2"/>
          <w:sz w:val="21"/>
          <w:szCs w:val="21"/>
          <w:lang w:eastAsia="zh-CN" w:bidi="ar-SA"/>
        </w:rPr>
      </w:pPr>
    </w:p>
    <w:p w14:paraId="075E5C4D">
      <w:pPr>
        <w:spacing w:line="480" w:lineRule="auto"/>
        <w:ind w:firstLine="420" w:firstLineChars="200"/>
        <w:jc w:val="both"/>
        <w:rPr>
          <w:rFonts w:hint="eastAsia" w:ascii="宋体" w:hAnsi="宋体" w:eastAsia="宋体"/>
          <w:color w:val="auto"/>
          <w:kern w:val="2"/>
          <w:sz w:val="21"/>
          <w:szCs w:val="21"/>
          <w:lang w:eastAsia="zh-CN" w:bidi="ar-SA"/>
        </w:rPr>
      </w:pPr>
      <w:r>
        <w:rPr>
          <w:rFonts w:hint="eastAsia" w:ascii="宋体" w:hAnsi="宋体" w:eastAsia="宋体"/>
          <w:color w:val="auto"/>
          <w:kern w:val="2"/>
          <w:sz w:val="21"/>
          <w:szCs w:val="21"/>
          <w:lang w:eastAsia="zh-CN" w:bidi="ar-SA"/>
        </w:rPr>
        <w:t>委 托 人：</w:t>
      </w:r>
      <w:r>
        <w:rPr>
          <w:rFonts w:hint="eastAsia" w:ascii="宋体" w:hAnsi="宋体" w:eastAsia="宋体"/>
          <w:color w:val="auto"/>
          <w:kern w:val="2"/>
          <w:sz w:val="21"/>
          <w:szCs w:val="21"/>
          <w:u w:val="single"/>
          <w:lang w:eastAsia="zh-CN" w:bidi="ar-SA"/>
        </w:rPr>
        <w:t xml:space="preserve">（单位全称）（盖单位公章） </w:t>
      </w:r>
      <w:r>
        <w:rPr>
          <w:rFonts w:hint="eastAsia" w:ascii="宋体" w:hAnsi="宋体" w:eastAsia="宋体"/>
          <w:color w:val="auto"/>
          <w:kern w:val="2"/>
          <w:sz w:val="21"/>
          <w:szCs w:val="21"/>
          <w:lang w:eastAsia="zh-CN" w:bidi="ar-SA"/>
        </w:rPr>
        <w:t xml:space="preserve"> 监 理 人：</w:t>
      </w:r>
      <w:r>
        <w:rPr>
          <w:rFonts w:hint="eastAsia" w:ascii="宋体" w:hAnsi="宋体" w:eastAsia="宋体"/>
          <w:color w:val="auto"/>
          <w:kern w:val="2"/>
          <w:sz w:val="21"/>
          <w:szCs w:val="21"/>
          <w:u w:val="single"/>
          <w:lang w:eastAsia="zh-CN" w:bidi="ar-SA"/>
        </w:rPr>
        <w:t>（单位全称）（盖单位公章）</w:t>
      </w:r>
    </w:p>
    <w:p w14:paraId="4A07AE8B">
      <w:pPr>
        <w:spacing w:line="480" w:lineRule="auto"/>
        <w:ind w:firstLine="420" w:firstLineChars="200"/>
        <w:jc w:val="both"/>
        <w:rPr>
          <w:rFonts w:hint="eastAsia" w:ascii="宋体" w:hAnsi="宋体" w:eastAsia="宋体"/>
          <w:color w:val="auto"/>
          <w:kern w:val="2"/>
          <w:sz w:val="21"/>
          <w:szCs w:val="21"/>
          <w:lang w:eastAsia="zh-CN" w:bidi="ar-SA"/>
        </w:rPr>
      </w:pPr>
      <w:r>
        <w:rPr>
          <w:rFonts w:hint="eastAsia" w:ascii="宋体" w:hAnsi="宋体" w:eastAsia="宋体"/>
          <w:color w:val="auto"/>
          <w:kern w:val="2"/>
          <w:sz w:val="21"/>
          <w:szCs w:val="21"/>
          <w:lang w:eastAsia="zh-CN" w:bidi="ar-SA"/>
        </w:rPr>
        <w:t>法定代表人                            法定代表人</w:t>
      </w:r>
    </w:p>
    <w:p w14:paraId="23BFE9A8">
      <w:pPr>
        <w:spacing w:line="480" w:lineRule="auto"/>
        <w:ind w:firstLine="946"/>
        <w:jc w:val="both"/>
        <w:rPr>
          <w:rFonts w:hint="eastAsia" w:ascii="宋体" w:hAnsi="宋体" w:eastAsia="宋体"/>
          <w:color w:val="auto"/>
          <w:kern w:val="2"/>
          <w:sz w:val="21"/>
          <w:szCs w:val="21"/>
          <w:lang w:eastAsia="zh-CN" w:bidi="ar-SA"/>
        </w:rPr>
      </w:pPr>
      <w:r>
        <w:rPr>
          <w:rFonts w:hint="eastAsia" w:ascii="宋体" w:hAnsi="宋体" w:eastAsia="宋体"/>
          <w:color w:val="auto"/>
          <w:kern w:val="2"/>
          <w:sz w:val="21"/>
          <w:szCs w:val="21"/>
          <w:lang w:eastAsia="zh-CN" w:bidi="ar-SA"/>
        </w:rPr>
        <w:t>或                                  或</w:t>
      </w:r>
    </w:p>
    <w:p w14:paraId="14739FBC">
      <w:pPr>
        <w:tabs>
          <w:tab w:val="left" w:pos="4395"/>
        </w:tabs>
        <w:spacing w:line="480" w:lineRule="auto"/>
        <w:ind w:firstLine="420" w:firstLineChars="200"/>
        <w:jc w:val="both"/>
        <w:rPr>
          <w:rFonts w:hint="eastAsia" w:ascii="宋体" w:hAnsi="宋体" w:eastAsia="宋体"/>
          <w:color w:val="auto"/>
          <w:kern w:val="2"/>
          <w:sz w:val="21"/>
          <w:szCs w:val="21"/>
          <w:u w:val="single"/>
          <w:lang w:eastAsia="zh-CN" w:bidi="ar-SA"/>
        </w:rPr>
      </w:pPr>
      <w:r>
        <w:rPr>
          <w:rFonts w:hint="eastAsia" w:ascii="宋体" w:hAnsi="宋体" w:eastAsia="宋体"/>
          <w:color w:val="auto"/>
          <w:kern w:val="2"/>
          <w:sz w:val="21"/>
          <w:szCs w:val="21"/>
          <w:lang w:eastAsia="zh-CN" w:bidi="ar-SA"/>
        </w:rPr>
        <w:t>其授权代的理人：</w:t>
      </w:r>
      <w:r>
        <w:rPr>
          <w:rFonts w:hint="eastAsia" w:ascii="宋体" w:hAnsi="宋体" w:eastAsia="宋体"/>
          <w:color w:val="auto"/>
          <w:kern w:val="2"/>
          <w:sz w:val="21"/>
          <w:szCs w:val="21"/>
          <w:u w:val="single"/>
          <w:lang w:eastAsia="zh-CN" w:bidi="ar-SA"/>
        </w:rPr>
        <w:t xml:space="preserve">     （职务）   </w:t>
      </w:r>
      <w:r>
        <w:rPr>
          <w:rFonts w:hint="eastAsia" w:ascii="宋体" w:hAnsi="宋体" w:eastAsia="宋体"/>
          <w:color w:val="auto"/>
          <w:kern w:val="2"/>
          <w:sz w:val="21"/>
          <w:szCs w:val="21"/>
          <w:lang w:eastAsia="zh-CN" w:bidi="ar-SA"/>
        </w:rPr>
        <w:t xml:space="preserve">      其授权代的理人：</w:t>
      </w:r>
      <w:r>
        <w:rPr>
          <w:rFonts w:hint="eastAsia" w:ascii="宋体" w:hAnsi="宋体" w:eastAsia="宋体"/>
          <w:color w:val="auto"/>
          <w:kern w:val="2"/>
          <w:sz w:val="21"/>
          <w:szCs w:val="21"/>
          <w:u w:val="single"/>
          <w:lang w:eastAsia="zh-CN" w:bidi="ar-SA"/>
        </w:rPr>
        <w:t xml:space="preserve">  （职务）    </w:t>
      </w:r>
    </w:p>
    <w:p w14:paraId="32C3B0A3">
      <w:pPr>
        <w:spacing w:line="480" w:lineRule="auto"/>
        <w:jc w:val="both"/>
        <w:rPr>
          <w:rFonts w:hint="eastAsia" w:ascii="宋体" w:hAnsi="宋体" w:eastAsia="宋体"/>
          <w:color w:val="auto"/>
          <w:kern w:val="2"/>
          <w:sz w:val="21"/>
          <w:szCs w:val="21"/>
          <w:u w:val="single"/>
          <w:lang w:eastAsia="zh-CN" w:bidi="ar-SA"/>
        </w:rPr>
      </w:pPr>
      <w:r>
        <w:rPr>
          <w:rFonts w:hint="eastAsia" w:ascii="宋体" w:hAnsi="宋体" w:eastAsia="宋体"/>
          <w:color w:val="auto"/>
          <w:kern w:val="2"/>
          <w:sz w:val="21"/>
          <w:szCs w:val="21"/>
          <w:lang w:eastAsia="zh-CN" w:bidi="ar-SA"/>
        </w:rPr>
        <w:t xml:space="preserve">                   </w:t>
      </w:r>
      <w:r>
        <w:rPr>
          <w:rFonts w:hint="eastAsia" w:ascii="宋体" w:hAnsi="宋体" w:eastAsia="宋体"/>
          <w:color w:val="auto"/>
          <w:kern w:val="2"/>
          <w:sz w:val="21"/>
          <w:szCs w:val="21"/>
          <w:u w:val="single"/>
          <w:lang w:eastAsia="zh-CN" w:bidi="ar-SA"/>
        </w:rPr>
        <w:t xml:space="preserve">     （姓名）    </w:t>
      </w:r>
      <w:r>
        <w:rPr>
          <w:rFonts w:hint="eastAsia" w:ascii="宋体" w:hAnsi="宋体" w:eastAsia="宋体"/>
          <w:color w:val="auto"/>
          <w:kern w:val="2"/>
          <w:sz w:val="21"/>
          <w:szCs w:val="21"/>
          <w:lang w:eastAsia="zh-CN" w:bidi="ar-SA"/>
        </w:rPr>
        <w:t xml:space="preserve">                     </w:t>
      </w:r>
      <w:r>
        <w:rPr>
          <w:rFonts w:hint="eastAsia" w:ascii="宋体" w:hAnsi="宋体" w:eastAsia="宋体"/>
          <w:color w:val="auto"/>
          <w:kern w:val="2"/>
          <w:sz w:val="21"/>
          <w:szCs w:val="21"/>
          <w:u w:val="single"/>
          <w:lang w:eastAsia="zh-CN" w:bidi="ar-SA"/>
        </w:rPr>
        <w:t xml:space="preserve">    （姓名）   </w:t>
      </w:r>
    </w:p>
    <w:p w14:paraId="185C1FAE">
      <w:pPr>
        <w:spacing w:line="480" w:lineRule="auto"/>
        <w:jc w:val="both"/>
        <w:rPr>
          <w:rFonts w:hint="eastAsia" w:ascii="宋体" w:hAnsi="宋体" w:eastAsia="宋体"/>
          <w:color w:val="auto"/>
          <w:kern w:val="2"/>
          <w:sz w:val="21"/>
          <w:szCs w:val="21"/>
          <w:lang w:eastAsia="zh-CN" w:bidi="ar-SA"/>
        </w:rPr>
      </w:pPr>
      <w:r>
        <w:rPr>
          <w:rFonts w:hint="eastAsia" w:ascii="宋体" w:hAnsi="宋体" w:eastAsia="宋体"/>
          <w:color w:val="auto"/>
          <w:kern w:val="2"/>
          <w:sz w:val="21"/>
          <w:szCs w:val="21"/>
          <w:lang w:eastAsia="zh-CN" w:bidi="ar-SA"/>
        </w:rPr>
        <w:t xml:space="preserve">                   </w:t>
      </w:r>
      <w:r>
        <w:rPr>
          <w:rFonts w:hint="eastAsia" w:ascii="宋体" w:hAnsi="宋体" w:eastAsia="宋体"/>
          <w:color w:val="auto"/>
          <w:kern w:val="2"/>
          <w:sz w:val="21"/>
          <w:szCs w:val="21"/>
          <w:u w:val="single"/>
          <w:lang w:eastAsia="zh-CN" w:bidi="ar-SA"/>
        </w:rPr>
        <w:t xml:space="preserve">     （签字）    </w:t>
      </w:r>
      <w:r>
        <w:rPr>
          <w:rFonts w:hint="eastAsia" w:ascii="宋体" w:hAnsi="宋体" w:eastAsia="宋体"/>
          <w:color w:val="auto"/>
          <w:kern w:val="2"/>
          <w:sz w:val="21"/>
          <w:szCs w:val="21"/>
          <w:lang w:eastAsia="zh-CN" w:bidi="ar-SA"/>
        </w:rPr>
        <w:t xml:space="preserve">                     </w:t>
      </w:r>
      <w:r>
        <w:rPr>
          <w:rFonts w:hint="eastAsia" w:ascii="宋体" w:hAnsi="宋体" w:eastAsia="宋体"/>
          <w:color w:val="auto"/>
          <w:kern w:val="2"/>
          <w:sz w:val="21"/>
          <w:szCs w:val="21"/>
          <w:u w:val="single"/>
          <w:lang w:eastAsia="zh-CN" w:bidi="ar-SA"/>
        </w:rPr>
        <w:t xml:space="preserve">    （签字）   </w:t>
      </w:r>
    </w:p>
    <w:p w14:paraId="21380E1C">
      <w:pPr>
        <w:spacing w:line="480" w:lineRule="auto"/>
        <w:ind w:firstLine="420" w:firstLineChars="200"/>
        <w:jc w:val="both"/>
        <w:rPr>
          <w:rFonts w:hint="eastAsia" w:ascii="宋体" w:hAnsi="宋体" w:eastAsia="宋体"/>
          <w:color w:val="auto"/>
          <w:kern w:val="2"/>
          <w:sz w:val="21"/>
          <w:szCs w:val="21"/>
          <w:lang w:eastAsia="zh-CN" w:bidi="ar-SA"/>
        </w:rPr>
      </w:pPr>
      <w:r>
        <w:rPr>
          <w:rFonts w:hint="eastAsia" w:ascii="宋体" w:hAnsi="宋体" w:eastAsia="宋体"/>
          <w:color w:val="auto"/>
          <w:kern w:val="2"/>
          <w:sz w:val="21"/>
          <w:szCs w:val="21"/>
          <w:lang w:eastAsia="zh-CN" w:bidi="ar-SA"/>
        </w:rPr>
        <w:t>地      址：</w:t>
      </w:r>
      <w:r>
        <w:rPr>
          <w:rFonts w:hint="eastAsia" w:ascii="宋体" w:hAnsi="宋体" w:eastAsia="宋体"/>
          <w:color w:val="auto"/>
          <w:kern w:val="2"/>
          <w:sz w:val="21"/>
          <w:szCs w:val="21"/>
          <w:u w:val="single"/>
          <w:lang w:eastAsia="zh-CN" w:bidi="ar-SA"/>
        </w:rPr>
        <w:t xml:space="preserve">                    </w:t>
      </w:r>
      <w:r>
        <w:rPr>
          <w:rFonts w:hint="eastAsia" w:ascii="宋体" w:hAnsi="宋体" w:eastAsia="宋体"/>
          <w:color w:val="auto"/>
          <w:kern w:val="2"/>
          <w:sz w:val="21"/>
          <w:szCs w:val="21"/>
          <w:lang w:eastAsia="zh-CN" w:bidi="ar-SA"/>
        </w:rPr>
        <w:t xml:space="preserve">     地      址：</w:t>
      </w:r>
      <w:r>
        <w:rPr>
          <w:rFonts w:hint="eastAsia" w:ascii="宋体" w:hAnsi="宋体" w:eastAsia="宋体"/>
          <w:color w:val="auto"/>
          <w:kern w:val="2"/>
          <w:sz w:val="21"/>
          <w:szCs w:val="21"/>
          <w:u w:val="single"/>
          <w:lang w:eastAsia="zh-CN" w:bidi="ar-SA"/>
        </w:rPr>
        <w:t xml:space="preserve">                   </w:t>
      </w:r>
    </w:p>
    <w:p w14:paraId="7E820EFA">
      <w:pPr>
        <w:spacing w:line="480" w:lineRule="auto"/>
        <w:ind w:firstLine="420" w:firstLineChars="200"/>
        <w:jc w:val="both"/>
        <w:rPr>
          <w:rFonts w:hint="eastAsia" w:ascii="宋体" w:hAnsi="宋体" w:eastAsia="宋体"/>
          <w:color w:val="auto"/>
          <w:kern w:val="2"/>
          <w:sz w:val="21"/>
          <w:szCs w:val="21"/>
          <w:lang w:eastAsia="zh-CN" w:bidi="ar-SA"/>
        </w:rPr>
      </w:pPr>
      <w:r>
        <w:rPr>
          <w:rFonts w:hint="eastAsia" w:ascii="宋体" w:hAnsi="宋体" w:eastAsia="宋体"/>
          <w:color w:val="auto"/>
          <w:kern w:val="2"/>
          <w:sz w:val="21"/>
          <w:szCs w:val="21"/>
          <w:lang w:eastAsia="zh-CN" w:bidi="ar-SA"/>
        </w:rPr>
        <w:t>电      话：</w:t>
      </w:r>
      <w:r>
        <w:rPr>
          <w:rFonts w:hint="eastAsia" w:ascii="宋体" w:hAnsi="宋体" w:eastAsia="宋体"/>
          <w:color w:val="auto"/>
          <w:kern w:val="2"/>
          <w:sz w:val="21"/>
          <w:szCs w:val="21"/>
          <w:u w:val="single"/>
          <w:lang w:eastAsia="zh-CN" w:bidi="ar-SA"/>
        </w:rPr>
        <w:t xml:space="preserve">                    </w:t>
      </w:r>
      <w:r>
        <w:rPr>
          <w:rFonts w:hint="eastAsia" w:ascii="宋体" w:hAnsi="宋体" w:eastAsia="宋体"/>
          <w:color w:val="auto"/>
          <w:kern w:val="2"/>
          <w:sz w:val="21"/>
          <w:szCs w:val="21"/>
          <w:lang w:eastAsia="zh-CN" w:bidi="ar-SA"/>
        </w:rPr>
        <w:t xml:space="preserve">     电      话：</w:t>
      </w:r>
      <w:r>
        <w:rPr>
          <w:rFonts w:hint="eastAsia" w:ascii="宋体" w:hAnsi="宋体" w:eastAsia="宋体"/>
          <w:color w:val="auto"/>
          <w:kern w:val="2"/>
          <w:sz w:val="21"/>
          <w:szCs w:val="21"/>
          <w:u w:val="single"/>
          <w:lang w:eastAsia="zh-CN" w:bidi="ar-SA"/>
        </w:rPr>
        <w:t xml:space="preserve">                   </w:t>
      </w:r>
    </w:p>
    <w:p w14:paraId="5E857F9C">
      <w:pPr>
        <w:spacing w:line="600" w:lineRule="exact"/>
        <w:ind w:firstLine="420" w:firstLineChars="200"/>
        <w:rPr>
          <w:rFonts w:eastAsia="宋体"/>
          <w:color w:val="auto"/>
          <w:kern w:val="2"/>
          <w:sz w:val="21"/>
          <w:szCs w:val="22"/>
          <w:u w:val="single"/>
          <w:lang w:eastAsia="zh-CN" w:bidi="ar-SA"/>
        </w:rPr>
      </w:pPr>
      <w:r>
        <w:rPr>
          <w:rFonts w:hint="eastAsia" w:ascii="宋体" w:hAnsi="宋体" w:eastAsia="宋体"/>
          <w:color w:val="auto"/>
          <w:kern w:val="2"/>
          <w:sz w:val="21"/>
          <w:szCs w:val="21"/>
          <w:lang w:eastAsia="zh-CN" w:bidi="ar-SA"/>
        </w:rPr>
        <w:t>日      期：</w:t>
      </w:r>
      <w:r>
        <w:rPr>
          <w:rFonts w:hint="eastAsia" w:ascii="宋体" w:hAnsi="宋体" w:eastAsia="宋体"/>
          <w:color w:val="auto"/>
          <w:kern w:val="2"/>
          <w:sz w:val="21"/>
          <w:szCs w:val="21"/>
          <w:u w:val="single"/>
          <w:lang w:eastAsia="zh-CN" w:bidi="ar-SA"/>
        </w:rPr>
        <w:t xml:space="preserve">                    </w:t>
      </w:r>
      <w:r>
        <w:rPr>
          <w:rFonts w:hint="eastAsia" w:ascii="宋体" w:hAnsi="宋体" w:eastAsia="宋体"/>
          <w:color w:val="auto"/>
          <w:kern w:val="2"/>
          <w:sz w:val="21"/>
          <w:szCs w:val="21"/>
          <w:lang w:eastAsia="zh-CN" w:bidi="ar-SA"/>
        </w:rPr>
        <w:t xml:space="preserve">     日      期：</w:t>
      </w:r>
      <w:r>
        <w:rPr>
          <w:rFonts w:hint="eastAsia" w:ascii="宋体" w:hAnsi="宋体" w:eastAsia="宋体"/>
          <w:color w:val="auto"/>
          <w:kern w:val="2"/>
          <w:sz w:val="21"/>
          <w:szCs w:val="21"/>
          <w:u w:val="single"/>
          <w:lang w:eastAsia="zh-CN" w:bidi="ar-SA"/>
        </w:rPr>
        <w:t xml:space="preserve">                   </w:t>
      </w:r>
    </w:p>
    <w:p w14:paraId="64C94A3E">
      <w:pPr>
        <w:spacing w:line="600" w:lineRule="exact"/>
        <w:jc w:val="both"/>
        <w:rPr>
          <w:rFonts w:eastAsia="宋体"/>
          <w:color w:val="auto"/>
          <w:kern w:val="2"/>
          <w:sz w:val="21"/>
          <w:szCs w:val="22"/>
          <w:u w:val="single"/>
          <w:lang w:eastAsia="zh-CN" w:bidi="ar-SA"/>
        </w:rPr>
        <w:sectPr>
          <w:footnotePr>
            <w:numFmt w:val="decimalEnclosedCircleChinese"/>
            <w:numRestart w:val="eachPage"/>
          </w:footnotePr>
          <w:pgSz w:w="11906" w:h="16838"/>
          <w:pgMar w:top="1418" w:right="1588" w:bottom="1418" w:left="1588" w:header="680" w:footer="992" w:gutter="0"/>
          <w:cols w:space="720" w:num="1"/>
          <w:docGrid w:linePitch="326" w:charSpace="0"/>
        </w:sectPr>
      </w:pPr>
    </w:p>
    <w:p w14:paraId="600BAA28">
      <w:pPr>
        <w:snapToGrid w:val="0"/>
        <w:spacing w:before="240" w:beforeLines="100" w:after="240" w:afterLines="100"/>
        <w:outlineLvl w:val="1"/>
        <w:rPr>
          <w:rFonts w:hint="eastAsia" w:ascii="宋体" w:hAnsi="宋体" w:eastAsia="宋体" w:cs="宋体"/>
          <w:b/>
          <w:color w:val="auto"/>
          <w:spacing w:val="-10"/>
          <w:lang w:eastAsia="zh-CN" w:bidi="ar-SA"/>
        </w:rPr>
      </w:pPr>
      <w:bookmarkStart w:id="861" w:name="_Toc492300704"/>
      <w:bookmarkStart w:id="862" w:name="_Toc491798523"/>
      <w:bookmarkStart w:id="863" w:name="_Toc11426"/>
      <w:r>
        <w:rPr>
          <w:rFonts w:ascii="宋体" w:hAnsi="宋体" w:eastAsia="宋体" w:cs="宋体"/>
          <w:b/>
          <w:color w:val="auto"/>
          <w:spacing w:val="-10"/>
          <w:lang w:eastAsia="zh-CN" w:bidi="ar-SA"/>
        </w:rPr>
        <w:t>附件</w:t>
      </w:r>
      <w:r>
        <w:rPr>
          <w:rFonts w:hint="eastAsia" w:ascii="宋体" w:hAnsi="宋体" w:eastAsia="宋体" w:cs="宋体"/>
          <w:b/>
          <w:color w:val="auto"/>
          <w:spacing w:val="-10"/>
          <w:lang w:eastAsia="zh-CN" w:bidi="ar-SA"/>
        </w:rPr>
        <w:t xml:space="preserve">四 </w:t>
      </w:r>
      <w:r>
        <w:rPr>
          <w:rFonts w:ascii="宋体" w:hAnsi="宋体" w:eastAsia="宋体" w:cs="宋体"/>
          <w:b/>
          <w:color w:val="auto"/>
          <w:spacing w:val="-10"/>
          <w:lang w:eastAsia="zh-CN" w:bidi="ar-SA"/>
        </w:rPr>
        <w:t>履约保证金格式</w:t>
      </w:r>
      <w:bookmarkEnd w:id="861"/>
      <w:bookmarkEnd w:id="862"/>
      <w:bookmarkEnd w:id="863"/>
    </w:p>
    <w:p w14:paraId="3A8B986C">
      <w:pPr>
        <w:spacing w:line="440" w:lineRule="exact"/>
        <w:jc w:val="both"/>
        <w:rPr>
          <w:rFonts w:eastAsia="宋体"/>
          <w:color w:val="auto"/>
          <w:kern w:val="2"/>
          <w:sz w:val="21"/>
          <w:szCs w:val="21"/>
          <w:lang w:eastAsia="zh-CN" w:bidi="ar-SA"/>
        </w:rPr>
      </w:pPr>
      <w:r>
        <w:rPr>
          <w:rFonts w:eastAsia="宋体"/>
          <w:color w:val="auto"/>
          <w:kern w:val="2"/>
          <w:sz w:val="21"/>
          <w:szCs w:val="21"/>
          <w:lang w:eastAsia="zh-CN" w:bidi="ar-SA"/>
        </w:rPr>
        <w:t>如采用银行保函，格式如下。</w:t>
      </w:r>
    </w:p>
    <w:p w14:paraId="1863438C">
      <w:pPr>
        <w:spacing w:line="440" w:lineRule="exact"/>
        <w:jc w:val="center"/>
        <w:rPr>
          <w:rFonts w:eastAsia="黑体"/>
          <w:color w:val="auto"/>
          <w:kern w:val="2"/>
          <w:sz w:val="28"/>
          <w:szCs w:val="22"/>
          <w:lang w:eastAsia="zh-CN" w:bidi="ar-SA"/>
        </w:rPr>
      </w:pPr>
      <w:r>
        <w:rPr>
          <w:rFonts w:eastAsia="黑体"/>
          <w:color w:val="auto"/>
          <w:kern w:val="2"/>
          <w:sz w:val="28"/>
          <w:szCs w:val="22"/>
          <w:lang w:eastAsia="zh-CN" w:bidi="ar-SA"/>
        </w:rPr>
        <w:t>履约保证金</w:t>
      </w:r>
    </w:p>
    <w:p w14:paraId="3323234F">
      <w:pPr>
        <w:spacing w:line="440" w:lineRule="exact"/>
        <w:jc w:val="both"/>
        <w:rPr>
          <w:rFonts w:eastAsia="宋体"/>
          <w:color w:val="auto"/>
          <w:kern w:val="2"/>
          <w:sz w:val="21"/>
          <w:szCs w:val="22"/>
          <w:u w:val="single"/>
          <w:lang w:eastAsia="zh-CN" w:bidi="ar-SA"/>
        </w:rPr>
      </w:pPr>
    </w:p>
    <w:p w14:paraId="660E522F">
      <w:pPr>
        <w:spacing w:line="440" w:lineRule="exact"/>
        <w:jc w:val="both"/>
        <w:rPr>
          <w:rFonts w:eastAsia="宋体"/>
          <w:color w:val="auto"/>
          <w:kern w:val="2"/>
          <w:sz w:val="21"/>
          <w:szCs w:val="22"/>
          <w:lang w:eastAsia="zh-CN" w:bidi="ar-SA"/>
        </w:rPr>
      </w:pPr>
      <w:r>
        <w:rPr>
          <w:rFonts w:eastAsia="宋体"/>
          <w:color w:val="auto"/>
          <w:kern w:val="2"/>
          <w:sz w:val="21"/>
          <w:szCs w:val="22"/>
          <w:u w:val="single"/>
          <w:lang w:eastAsia="zh-CN" w:bidi="ar-SA"/>
        </w:rPr>
        <w:t xml:space="preserve">                        </w:t>
      </w:r>
      <w:r>
        <w:rPr>
          <w:rFonts w:eastAsia="宋体"/>
          <w:color w:val="auto"/>
          <w:kern w:val="2"/>
          <w:sz w:val="21"/>
          <w:szCs w:val="22"/>
          <w:lang w:eastAsia="zh-CN" w:bidi="ar-SA"/>
        </w:rPr>
        <w:t>（委托人名称）：</w:t>
      </w:r>
    </w:p>
    <w:p w14:paraId="4E73AFA9">
      <w:pPr>
        <w:spacing w:line="440" w:lineRule="exact"/>
        <w:jc w:val="both"/>
        <w:rPr>
          <w:rFonts w:eastAsia="宋体"/>
          <w:color w:val="auto"/>
          <w:kern w:val="2"/>
          <w:sz w:val="21"/>
          <w:szCs w:val="21"/>
          <w:lang w:eastAsia="zh-CN" w:bidi="ar-SA"/>
        </w:rPr>
      </w:pPr>
    </w:p>
    <w:p w14:paraId="4726D763">
      <w:pPr>
        <w:spacing w:line="44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鉴于</w:t>
      </w:r>
      <w:r>
        <w:rPr>
          <w:rFonts w:eastAsia="宋体"/>
          <w:color w:val="auto"/>
          <w:kern w:val="2"/>
          <w:sz w:val="21"/>
          <w:szCs w:val="22"/>
          <w:u w:val="single"/>
          <w:lang w:eastAsia="zh-CN" w:bidi="ar-SA"/>
        </w:rPr>
        <w:t>（委托人名称，以下简称“委托人”）</w:t>
      </w:r>
      <w:r>
        <w:rPr>
          <w:rFonts w:hint="eastAsia" w:eastAsia="宋体"/>
          <w:color w:val="auto"/>
          <w:kern w:val="2"/>
          <w:sz w:val="21"/>
          <w:szCs w:val="22"/>
          <w:lang w:eastAsia="zh-CN" w:bidi="ar-SA"/>
        </w:rPr>
        <w:t>已</w:t>
      </w:r>
      <w:r>
        <w:rPr>
          <w:rFonts w:eastAsia="宋体"/>
          <w:color w:val="auto"/>
          <w:kern w:val="2"/>
          <w:sz w:val="21"/>
          <w:szCs w:val="22"/>
          <w:lang w:eastAsia="zh-CN" w:bidi="ar-SA"/>
        </w:rPr>
        <w:t>接受</w:t>
      </w:r>
      <w:r>
        <w:rPr>
          <w:rFonts w:eastAsia="宋体"/>
          <w:color w:val="auto"/>
          <w:kern w:val="2"/>
          <w:sz w:val="21"/>
          <w:szCs w:val="22"/>
          <w:u w:val="single"/>
          <w:lang w:eastAsia="zh-CN" w:bidi="ar-SA"/>
        </w:rPr>
        <w:t>（</w:t>
      </w:r>
      <w:r>
        <w:rPr>
          <w:rFonts w:eastAsia="宋体"/>
          <w:color w:val="auto"/>
          <w:kern w:val="2"/>
          <w:sz w:val="21"/>
          <w:szCs w:val="21"/>
          <w:u w:val="single"/>
          <w:lang w:eastAsia="zh-CN" w:bidi="ar-SA"/>
        </w:rPr>
        <w:t>监理人</w:t>
      </w:r>
      <w:r>
        <w:rPr>
          <w:rFonts w:eastAsia="宋体"/>
          <w:color w:val="auto"/>
          <w:kern w:val="2"/>
          <w:sz w:val="21"/>
          <w:szCs w:val="22"/>
          <w:u w:val="single"/>
          <w:lang w:eastAsia="zh-CN" w:bidi="ar-SA"/>
        </w:rPr>
        <w:t>名称，以下</w:t>
      </w:r>
      <w:r>
        <w:rPr>
          <w:rFonts w:eastAsia="宋体"/>
          <w:color w:val="auto"/>
          <w:kern w:val="2"/>
          <w:sz w:val="21"/>
          <w:szCs w:val="21"/>
          <w:u w:val="single"/>
          <w:lang w:eastAsia="zh-CN" w:bidi="ar-SA"/>
        </w:rPr>
        <w:t>称“监理人”</w:t>
      </w:r>
      <w:r>
        <w:rPr>
          <w:rFonts w:eastAsia="宋体"/>
          <w:color w:val="auto"/>
          <w:kern w:val="2"/>
          <w:sz w:val="21"/>
          <w:szCs w:val="22"/>
          <w:u w:val="single"/>
          <w:lang w:eastAsia="zh-CN" w:bidi="ar-SA"/>
        </w:rPr>
        <w:t>）</w:t>
      </w:r>
      <w:r>
        <w:rPr>
          <w:rFonts w:eastAsia="宋体"/>
          <w:color w:val="auto"/>
          <w:kern w:val="2"/>
          <w:sz w:val="21"/>
          <w:szCs w:val="22"/>
          <w:lang w:eastAsia="zh-CN" w:bidi="ar-SA"/>
        </w:rPr>
        <w:t>于</w:t>
      </w:r>
      <w:r>
        <w:rPr>
          <w:rFonts w:eastAsia="宋体"/>
          <w:color w:val="auto"/>
          <w:kern w:val="2"/>
          <w:sz w:val="21"/>
          <w:szCs w:val="22"/>
          <w:u w:val="single"/>
          <w:lang w:eastAsia="zh-CN" w:bidi="ar-SA"/>
        </w:rPr>
        <w:t xml:space="preserve">    </w:t>
      </w:r>
      <w:r>
        <w:rPr>
          <w:rFonts w:eastAsia="宋体"/>
          <w:color w:val="auto"/>
          <w:kern w:val="2"/>
          <w:sz w:val="21"/>
          <w:szCs w:val="22"/>
          <w:lang w:eastAsia="zh-CN" w:bidi="ar-SA"/>
        </w:rPr>
        <w:t>年</w:t>
      </w:r>
      <w:r>
        <w:rPr>
          <w:rFonts w:eastAsia="宋体"/>
          <w:color w:val="auto"/>
          <w:kern w:val="2"/>
          <w:sz w:val="21"/>
          <w:szCs w:val="22"/>
          <w:u w:val="single"/>
          <w:lang w:eastAsia="zh-CN" w:bidi="ar-SA"/>
        </w:rPr>
        <w:t xml:space="preserve">    </w:t>
      </w:r>
      <w:r>
        <w:rPr>
          <w:rFonts w:eastAsia="宋体"/>
          <w:color w:val="auto"/>
          <w:kern w:val="2"/>
          <w:sz w:val="21"/>
          <w:szCs w:val="22"/>
          <w:lang w:eastAsia="zh-CN" w:bidi="ar-SA"/>
        </w:rPr>
        <w:t>月</w:t>
      </w:r>
    </w:p>
    <w:p w14:paraId="3821C782">
      <w:pPr>
        <w:spacing w:line="440" w:lineRule="exact"/>
        <w:jc w:val="both"/>
        <w:rPr>
          <w:rFonts w:eastAsia="宋体"/>
          <w:color w:val="auto"/>
          <w:kern w:val="2"/>
          <w:sz w:val="21"/>
          <w:szCs w:val="22"/>
          <w:lang w:eastAsia="zh-CN" w:bidi="ar-SA"/>
        </w:rPr>
      </w:pPr>
      <w:r>
        <w:rPr>
          <w:rFonts w:eastAsia="宋体"/>
          <w:color w:val="auto"/>
          <w:kern w:val="2"/>
          <w:sz w:val="21"/>
          <w:szCs w:val="22"/>
          <w:u w:val="single"/>
          <w:lang w:eastAsia="zh-CN" w:bidi="ar-SA"/>
        </w:rPr>
        <w:t xml:space="preserve">     </w:t>
      </w:r>
      <w:r>
        <w:rPr>
          <w:rFonts w:eastAsia="宋体"/>
          <w:color w:val="auto"/>
          <w:kern w:val="2"/>
          <w:sz w:val="21"/>
          <w:szCs w:val="22"/>
          <w:lang w:eastAsia="zh-CN" w:bidi="ar-SA"/>
        </w:rPr>
        <w:t>日参加</w:t>
      </w:r>
      <w:r>
        <w:rPr>
          <w:rFonts w:eastAsia="宋体"/>
          <w:color w:val="auto"/>
          <w:kern w:val="2"/>
          <w:sz w:val="21"/>
          <w:szCs w:val="22"/>
          <w:u w:val="single"/>
          <w:lang w:eastAsia="zh-CN" w:bidi="ar-SA"/>
        </w:rPr>
        <w:t xml:space="preserve">            </w:t>
      </w:r>
      <w:r>
        <w:rPr>
          <w:rFonts w:eastAsia="宋体"/>
          <w:color w:val="auto"/>
          <w:kern w:val="2"/>
          <w:sz w:val="21"/>
          <w:szCs w:val="22"/>
          <w:lang w:eastAsia="zh-CN" w:bidi="ar-SA"/>
        </w:rPr>
        <w:t>（项目名称）监理招标项目的投标。我方愿意无条件地、不可撤销地就</w:t>
      </w:r>
      <w:r>
        <w:rPr>
          <w:rFonts w:eastAsia="宋体"/>
          <w:color w:val="auto"/>
          <w:kern w:val="2"/>
          <w:sz w:val="21"/>
          <w:szCs w:val="21"/>
          <w:lang w:eastAsia="zh-CN" w:bidi="ar-SA"/>
        </w:rPr>
        <w:t>监理人</w:t>
      </w:r>
      <w:r>
        <w:rPr>
          <w:rFonts w:eastAsia="宋体"/>
          <w:color w:val="auto"/>
          <w:kern w:val="2"/>
          <w:sz w:val="21"/>
          <w:szCs w:val="22"/>
          <w:lang w:eastAsia="zh-CN" w:bidi="ar-SA"/>
        </w:rPr>
        <w:t>履行与你方订立的合同，向你方提供担保。</w:t>
      </w:r>
    </w:p>
    <w:p w14:paraId="02EF9834">
      <w:pPr>
        <w:spacing w:line="44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1. 担保金额人民币（大写）</w:t>
      </w:r>
      <w:r>
        <w:rPr>
          <w:rFonts w:eastAsia="宋体"/>
          <w:color w:val="auto"/>
          <w:kern w:val="2"/>
          <w:sz w:val="21"/>
          <w:szCs w:val="22"/>
          <w:u w:val="single"/>
          <w:lang w:eastAsia="zh-CN" w:bidi="ar-SA"/>
        </w:rPr>
        <w:t xml:space="preserve">              </w:t>
      </w:r>
      <w:r>
        <w:rPr>
          <w:rFonts w:eastAsia="宋体"/>
          <w:color w:val="auto"/>
          <w:kern w:val="2"/>
          <w:sz w:val="21"/>
          <w:szCs w:val="22"/>
          <w:lang w:eastAsia="zh-CN" w:bidi="ar-SA"/>
        </w:rPr>
        <w:t>（¥）</w:t>
      </w:r>
      <w:r>
        <w:rPr>
          <w:rFonts w:eastAsia="宋体"/>
          <w:color w:val="auto"/>
          <w:kern w:val="2"/>
          <w:sz w:val="21"/>
          <w:szCs w:val="22"/>
          <w:u w:val="single"/>
          <w:lang w:eastAsia="zh-CN" w:bidi="ar-SA"/>
        </w:rPr>
        <w:t xml:space="preserve">              </w:t>
      </w:r>
      <w:r>
        <w:rPr>
          <w:rFonts w:eastAsia="宋体"/>
          <w:color w:val="auto"/>
          <w:kern w:val="2"/>
          <w:sz w:val="21"/>
          <w:szCs w:val="22"/>
          <w:lang w:eastAsia="zh-CN" w:bidi="ar-SA"/>
        </w:rPr>
        <w:t>。</w:t>
      </w:r>
    </w:p>
    <w:p w14:paraId="3CAEAB6D">
      <w:pPr>
        <w:spacing w:line="440" w:lineRule="exact"/>
        <w:ind w:firstLine="420" w:firstLineChars="200"/>
        <w:jc w:val="both"/>
        <w:rPr>
          <w:rFonts w:eastAsia="宋体"/>
          <w:color w:val="auto"/>
          <w:kern w:val="2"/>
          <w:sz w:val="21"/>
          <w:szCs w:val="21"/>
          <w:lang w:eastAsia="zh-CN" w:bidi="ar-SA"/>
        </w:rPr>
      </w:pPr>
      <w:r>
        <w:rPr>
          <w:rFonts w:eastAsia="宋体"/>
          <w:color w:val="auto"/>
          <w:kern w:val="2"/>
          <w:sz w:val="21"/>
          <w:szCs w:val="21"/>
          <w:lang w:eastAsia="zh-CN" w:bidi="ar-SA"/>
        </w:rPr>
        <w:t xml:space="preserve">2. </w:t>
      </w:r>
      <w:r>
        <w:rPr>
          <w:rFonts w:hint="eastAsia" w:eastAsia="宋体"/>
          <w:color w:val="auto"/>
          <w:kern w:val="2"/>
          <w:sz w:val="21"/>
          <w:szCs w:val="21"/>
          <w:lang w:eastAsia="zh-CN" w:bidi="ar-SA"/>
        </w:rPr>
        <w:t>担保有效期自委托人与监理人签订的合同生效之日起至委托人签发竣工验收证书之日起</w:t>
      </w:r>
      <w:r>
        <w:rPr>
          <w:rFonts w:eastAsia="宋体"/>
          <w:color w:val="auto"/>
          <w:kern w:val="2"/>
          <w:sz w:val="21"/>
          <w:szCs w:val="21"/>
          <w:lang w:eastAsia="zh-CN" w:bidi="ar-SA"/>
        </w:rPr>
        <w:t>28</w:t>
      </w:r>
      <w:r>
        <w:rPr>
          <w:rFonts w:hint="eastAsia" w:eastAsia="宋体"/>
          <w:color w:val="auto"/>
          <w:kern w:val="2"/>
          <w:sz w:val="21"/>
          <w:szCs w:val="21"/>
          <w:lang w:eastAsia="zh-CN" w:bidi="ar-SA"/>
        </w:rPr>
        <w:t>日后失效。</w:t>
      </w:r>
    </w:p>
    <w:p w14:paraId="13F358B5">
      <w:pPr>
        <w:spacing w:line="44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3. 在本担保有效期内，</w:t>
      </w:r>
      <w:r>
        <w:rPr>
          <w:rFonts w:eastAsia="宋体"/>
          <w:color w:val="auto"/>
          <w:kern w:val="2"/>
          <w:sz w:val="21"/>
          <w:szCs w:val="21"/>
          <w:lang w:eastAsia="zh-CN" w:bidi="ar-SA"/>
        </w:rPr>
        <w:t>如果监理人不履行合同约定的义务或其履行不符合合同的约定，</w:t>
      </w:r>
      <w:r>
        <w:rPr>
          <w:rFonts w:eastAsia="宋体"/>
          <w:color w:val="auto"/>
          <w:kern w:val="2"/>
          <w:sz w:val="21"/>
          <w:szCs w:val="22"/>
          <w:lang w:eastAsia="zh-CN" w:bidi="ar-SA"/>
        </w:rPr>
        <w:t>我方在收到你方以书面形式提出的在担保金额内的赔偿要求后，在7日内无条件支付。</w:t>
      </w:r>
    </w:p>
    <w:p w14:paraId="799ED5A4">
      <w:pPr>
        <w:spacing w:line="440" w:lineRule="exact"/>
        <w:ind w:firstLine="420" w:firstLineChars="200"/>
        <w:jc w:val="both"/>
        <w:rPr>
          <w:rFonts w:eastAsia="宋体"/>
          <w:color w:val="auto"/>
          <w:kern w:val="2"/>
          <w:sz w:val="21"/>
          <w:szCs w:val="22"/>
          <w:lang w:eastAsia="zh-CN" w:bidi="ar-SA"/>
        </w:rPr>
      </w:pPr>
      <w:r>
        <w:rPr>
          <w:rFonts w:eastAsia="宋体"/>
          <w:color w:val="auto"/>
          <w:kern w:val="2"/>
          <w:sz w:val="21"/>
          <w:szCs w:val="22"/>
          <w:lang w:eastAsia="zh-CN" w:bidi="ar-SA"/>
        </w:rPr>
        <w:t>4. 委托人和</w:t>
      </w:r>
      <w:r>
        <w:rPr>
          <w:rFonts w:eastAsia="宋体"/>
          <w:color w:val="auto"/>
          <w:kern w:val="2"/>
          <w:sz w:val="21"/>
          <w:szCs w:val="21"/>
          <w:lang w:eastAsia="zh-CN" w:bidi="ar-SA"/>
        </w:rPr>
        <w:t>监理人</w:t>
      </w:r>
      <w:r>
        <w:rPr>
          <w:rFonts w:eastAsia="宋体"/>
          <w:color w:val="auto"/>
          <w:kern w:val="2"/>
          <w:sz w:val="21"/>
          <w:szCs w:val="22"/>
          <w:lang w:eastAsia="zh-CN" w:bidi="ar-SA"/>
        </w:rPr>
        <w:t>变更合同时</w:t>
      </w:r>
      <w:bookmarkStart w:id="864" w:name="_Toc369531685"/>
      <w:bookmarkStart w:id="865" w:name="_Toc300835200"/>
      <w:bookmarkStart w:id="866" w:name="_Toc247514198"/>
      <w:bookmarkStart w:id="867" w:name="_Toc246997079"/>
      <w:bookmarkStart w:id="868" w:name="_Toc384308366"/>
      <w:bookmarkStart w:id="869" w:name="_Toc247527799"/>
      <w:bookmarkStart w:id="870" w:name="_Toc247085851"/>
      <w:bookmarkStart w:id="871" w:name="_Toc184635123"/>
      <w:bookmarkStart w:id="872" w:name="_Toc246996336"/>
      <w:bookmarkStart w:id="873" w:name="_Toc296602586"/>
      <w:bookmarkStart w:id="874" w:name="_Toc15620"/>
      <w:bookmarkStart w:id="875" w:name="_Toc361508743"/>
      <w:bookmarkStart w:id="876" w:name="_Toc361231267"/>
      <w:r>
        <w:rPr>
          <w:rFonts w:eastAsia="宋体"/>
          <w:color w:val="auto"/>
          <w:kern w:val="2"/>
          <w:sz w:val="21"/>
          <w:szCs w:val="22"/>
          <w:lang w:eastAsia="zh-CN" w:bidi="ar-SA"/>
        </w:rPr>
        <w:t>，无论我方是否收到该</w:t>
      </w:r>
      <w:bookmarkEnd w:id="864"/>
      <w:bookmarkEnd w:id="865"/>
      <w:bookmarkEnd w:id="866"/>
      <w:bookmarkEnd w:id="867"/>
      <w:bookmarkEnd w:id="868"/>
      <w:bookmarkEnd w:id="869"/>
      <w:bookmarkEnd w:id="870"/>
      <w:bookmarkEnd w:id="871"/>
      <w:bookmarkEnd w:id="872"/>
      <w:bookmarkEnd w:id="873"/>
      <w:bookmarkEnd w:id="874"/>
      <w:bookmarkEnd w:id="875"/>
      <w:bookmarkEnd w:id="876"/>
      <w:r>
        <w:rPr>
          <w:rFonts w:eastAsia="宋体"/>
          <w:color w:val="auto"/>
          <w:kern w:val="2"/>
          <w:sz w:val="21"/>
          <w:szCs w:val="22"/>
          <w:lang w:eastAsia="zh-CN" w:bidi="ar-SA"/>
        </w:rPr>
        <w:t>变</w:t>
      </w:r>
      <w:bookmarkStart w:id="877" w:name="_Toc246997080"/>
      <w:bookmarkStart w:id="878" w:name="_Toc384308367"/>
      <w:bookmarkStart w:id="879" w:name="_Toc247085852"/>
      <w:bookmarkStart w:id="880" w:name="_Toc179632786"/>
      <w:bookmarkStart w:id="881" w:name="_Toc5746"/>
      <w:bookmarkStart w:id="882" w:name="_Toc152045768"/>
      <w:bookmarkStart w:id="883" w:name="_Toc361508744"/>
      <w:bookmarkStart w:id="884" w:name="_Toc361231268"/>
      <w:bookmarkStart w:id="885" w:name="_Toc300835201"/>
      <w:bookmarkStart w:id="886" w:name="_Toc247527800"/>
      <w:bookmarkStart w:id="887" w:name="_Toc152042547"/>
      <w:bookmarkStart w:id="888" w:name="_Toc369531686"/>
      <w:bookmarkStart w:id="889" w:name="_Toc246996337"/>
      <w:bookmarkStart w:id="890" w:name="_Toc144974827"/>
      <w:bookmarkStart w:id="891" w:name="_Toc247514199"/>
      <w:r>
        <w:rPr>
          <w:rFonts w:eastAsia="宋体"/>
          <w:color w:val="auto"/>
          <w:kern w:val="2"/>
          <w:sz w:val="21"/>
          <w:szCs w:val="22"/>
          <w:lang w:eastAsia="zh-CN" w:bidi="ar-SA"/>
        </w:rPr>
        <w:t>更，我方承担本</w:t>
      </w:r>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r>
        <w:rPr>
          <w:rFonts w:eastAsia="宋体"/>
          <w:color w:val="auto"/>
          <w:kern w:val="2"/>
          <w:sz w:val="21"/>
          <w:szCs w:val="22"/>
          <w:lang w:eastAsia="zh-CN" w:bidi="ar-SA"/>
        </w:rPr>
        <w:t>担保规定的义务不变。</w:t>
      </w:r>
    </w:p>
    <w:p w14:paraId="5D76F621">
      <w:pPr>
        <w:spacing w:line="440" w:lineRule="exact"/>
        <w:jc w:val="both"/>
        <w:rPr>
          <w:rFonts w:eastAsia="宋体"/>
          <w:color w:val="auto"/>
          <w:kern w:val="2"/>
          <w:sz w:val="21"/>
          <w:szCs w:val="22"/>
          <w:lang w:eastAsia="zh-CN" w:bidi="ar-SA"/>
        </w:rPr>
      </w:pPr>
    </w:p>
    <w:p w14:paraId="37CD2C13">
      <w:pPr>
        <w:spacing w:line="600" w:lineRule="exact"/>
        <w:ind w:firstLine="2310" w:firstLineChars="1100"/>
        <w:jc w:val="both"/>
        <w:rPr>
          <w:rFonts w:eastAsia="宋体"/>
          <w:color w:val="auto"/>
          <w:kern w:val="2"/>
          <w:sz w:val="21"/>
          <w:szCs w:val="22"/>
          <w:lang w:eastAsia="zh-CN" w:bidi="ar-SA"/>
        </w:rPr>
      </w:pPr>
      <w:r>
        <w:rPr>
          <w:rFonts w:hint="eastAsia" w:eastAsia="宋体"/>
          <w:color w:val="auto"/>
          <w:kern w:val="2"/>
          <w:sz w:val="21"/>
          <w:szCs w:val="22"/>
          <w:lang w:eastAsia="zh-CN" w:bidi="ar-SA"/>
        </w:rPr>
        <w:t>担保人名称</w:t>
      </w:r>
      <w:r>
        <w:rPr>
          <w:rFonts w:eastAsia="宋体"/>
          <w:color w:val="auto"/>
          <w:kern w:val="2"/>
          <w:sz w:val="21"/>
          <w:szCs w:val="22"/>
          <w:lang w:eastAsia="zh-CN" w:bidi="ar-SA"/>
        </w:rPr>
        <w:t xml:space="preserve"> ：</w:t>
      </w:r>
      <w:r>
        <w:rPr>
          <w:rFonts w:eastAsia="宋体"/>
          <w:color w:val="auto"/>
          <w:kern w:val="2"/>
          <w:sz w:val="21"/>
          <w:szCs w:val="22"/>
          <w:u w:val="single"/>
          <w:lang w:eastAsia="zh-CN" w:bidi="ar-SA"/>
        </w:rPr>
        <w:t xml:space="preserve">                                      </w:t>
      </w:r>
      <w:r>
        <w:rPr>
          <w:rFonts w:eastAsia="宋体"/>
          <w:color w:val="auto"/>
          <w:kern w:val="2"/>
          <w:sz w:val="21"/>
          <w:szCs w:val="22"/>
          <w:lang w:eastAsia="zh-CN" w:bidi="ar-SA"/>
        </w:rPr>
        <w:t>（盖单位章）</w:t>
      </w:r>
    </w:p>
    <w:p w14:paraId="5520B7CF">
      <w:pPr>
        <w:spacing w:line="600" w:lineRule="exact"/>
        <w:ind w:firstLine="2310" w:firstLineChars="1100"/>
        <w:jc w:val="both"/>
        <w:rPr>
          <w:rFonts w:eastAsia="宋体"/>
          <w:color w:val="auto"/>
          <w:kern w:val="2"/>
          <w:sz w:val="21"/>
          <w:szCs w:val="22"/>
          <w:lang w:eastAsia="zh-CN" w:bidi="ar-SA"/>
        </w:rPr>
      </w:pPr>
      <w:r>
        <w:rPr>
          <w:rFonts w:eastAsia="宋体"/>
          <w:color w:val="auto"/>
          <w:kern w:val="2"/>
          <w:sz w:val="21"/>
          <w:szCs w:val="22"/>
          <w:lang w:eastAsia="zh-CN" w:bidi="ar-SA"/>
        </w:rPr>
        <w:t>法定代表人或其委托代理人：</w:t>
      </w:r>
      <w:r>
        <w:rPr>
          <w:rFonts w:eastAsia="宋体"/>
          <w:color w:val="auto"/>
          <w:kern w:val="2"/>
          <w:sz w:val="21"/>
          <w:szCs w:val="22"/>
          <w:u w:val="single"/>
          <w:lang w:eastAsia="zh-CN" w:bidi="ar-SA"/>
        </w:rPr>
        <w:t xml:space="preserve">              </w:t>
      </w:r>
      <w:r>
        <w:rPr>
          <w:rFonts w:eastAsia="宋体"/>
          <w:color w:val="auto"/>
          <w:kern w:val="2"/>
          <w:sz w:val="21"/>
          <w:szCs w:val="22"/>
          <w:lang w:eastAsia="zh-CN" w:bidi="ar-SA"/>
        </w:rPr>
        <w:t>（签字）</w:t>
      </w:r>
    </w:p>
    <w:p w14:paraId="6338510C">
      <w:pPr>
        <w:spacing w:line="600" w:lineRule="exact"/>
        <w:ind w:firstLine="2310" w:firstLineChars="1100"/>
        <w:jc w:val="both"/>
        <w:rPr>
          <w:rFonts w:eastAsia="宋体"/>
          <w:color w:val="auto"/>
          <w:kern w:val="2"/>
          <w:sz w:val="21"/>
          <w:szCs w:val="22"/>
          <w:lang w:eastAsia="zh-CN" w:bidi="ar-SA"/>
        </w:rPr>
      </w:pPr>
      <w:r>
        <w:rPr>
          <w:rFonts w:eastAsia="宋体"/>
          <w:color w:val="auto"/>
          <w:kern w:val="2"/>
          <w:sz w:val="21"/>
          <w:szCs w:val="22"/>
          <w:lang w:eastAsia="zh-CN" w:bidi="ar-SA"/>
        </w:rPr>
        <w:t>地    址：</w:t>
      </w:r>
      <w:r>
        <w:rPr>
          <w:rFonts w:eastAsia="宋体"/>
          <w:color w:val="auto"/>
          <w:kern w:val="2"/>
          <w:sz w:val="21"/>
          <w:szCs w:val="22"/>
          <w:u w:val="single"/>
          <w:lang w:eastAsia="zh-CN" w:bidi="ar-SA"/>
        </w:rPr>
        <w:t xml:space="preserve">                                                  </w:t>
      </w:r>
    </w:p>
    <w:p w14:paraId="028A12D4">
      <w:pPr>
        <w:spacing w:line="600" w:lineRule="exact"/>
        <w:ind w:firstLine="2310" w:firstLineChars="1100"/>
        <w:jc w:val="both"/>
        <w:rPr>
          <w:rFonts w:eastAsia="宋体"/>
          <w:color w:val="auto"/>
          <w:kern w:val="2"/>
          <w:sz w:val="21"/>
          <w:szCs w:val="22"/>
          <w:lang w:eastAsia="zh-CN" w:bidi="ar-SA"/>
        </w:rPr>
      </w:pPr>
      <w:r>
        <w:rPr>
          <w:rFonts w:eastAsia="宋体"/>
          <w:color w:val="auto"/>
          <w:kern w:val="2"/>
          <w:sz w:val="21"/>
          <w:szCs w:val="22"/>
          <w:lang w:eastAsia="zh-CN" w:bidi="ar-SA"/>
        </w:rPr>
        <w:t>邮政编码：</w:t>
      </w:r>
      <w:r>
        <w:rPr>
          <w:rFonts w:eastAsia="宋体"/>
          <w:color w:val="auto"/>
          <w:kern w:val="2"/>
          <w:sz w:val="21"/>
          <w:szCs w:val="22"/>
          <w:u w:val="single"/>
          <w:lang w:eastAsia="zh-CN" w:bidi="ar-SA"/>
        </w:rPr>
        <w:tab/>
      </w:r>
      <w:r>
        <w:rPr>
          <w:rFonts w:eastAsia="宋体"/>
          <w:color w:val="auto"/>
          <w:kern w:val="2"/>
          <w:sz w:val="21"/>
          <w:szCs w:val="22"/>
          <w:u w:val="single"/>
          <w:lang w:eastAsia="zh-CN" w:bidi="ar-SA"/>
        </w:rPr>
        <w:tab/>
      </w:r>
      <w:r>
        <w:rPr>
          <w:rFonts w:eastAsia="宋体"/>
          <w:color w:val="auto"/>
          <w:kern w:val="2"/>
          <w:sz w:val="21"/>
          <w:szCs w:val="22"/>
          <w:u w:val="single"/>
          <w:lang w:eastAsia="zh-CN" w:bidi="ar-SA"/>
        </w:rPr>
        <w:tab/>
      </w:r>
      <w:r>
        <w:rPr>
          <w:rFonts w:eastAsia="宋体"/>
          <w:color w:val="auto"/>
          <w:kern w:val="2"/>
          <w:sz w:val="21"/>
          <w:szCs w:val="22"/>
          <w:u w:val="single"/>
          <w:lang w:eastAsia="zh-CN" w:bidi="ar-SA"/>
        </w:rPr>
        <w:tab/>
      </w:r>
      <w:r>
        <w:rPr>
          <w:rFonts w:eastAsia="宋体"/>
          <w:color w:val="auto"/>
          <w:kern w:val="2"/>
          <w:sz w:val="21"/>
          <w:szCs w:val="22"/>
          <w:u w:val="single"/>
          <w:lang w:eastAsia="zh-CN" w:bidi="ar-SA"/>
        </w:rPr>
        <w:t xml:space="preserve">              </w:t>
      </w:r>
      <w:r>
        <w:rPr>
          <w:rFonts w:eastAsia="宋体"/>
          <w:color w:val="auto"/>
          <w:kern w:val="2"/>
          <w:sz w:val="21"/>
          <w:szCs w:val="22"/>
          <w:u w:val="single"/>
          <w:lang w:eastAsia="zh-CN" w:bidi="ar-SA"/>
        </w:rPr>
        <w:tab/>
      </w:r>
      <w:r>
        <w:rPr>
          <w:rFonts w:eastAsia="宋体"/>
          <w:color w:val="auto"/>
          <w:kern w:val="2"/>
          <w:sz w:val="21"/>
          <w:szCs w:val="22"/>
          <w:u w:val="single"/>
          <w:lang w:eastAsia="zh-CN" w:bidi="ar-SA"/>
        </w:rPr>
        <w:tab/>
      </w:r>
      <w:r>
        <w:rPr>
          <w:rFonts w:eastAsia="宋体"/>
          <w:color w:val="auto"/>
          <w:kern w:val="2"/>
          <w:sz w:val="21"/>
          <w:szCs w:val="22"/>
          <w:u w:val="single"/>
          <w:lang w:eastAsia="zh-CN" w:bidi="ar-SA"/>
        </w:rPr>
        <w:tab/>
      </w:r>
      <w:r>
        <w:rPr>
          <w:rFonts w:eastAsia="宋体"/>
          <w:color w:val="auto"/>
          <w:kern w:val="2"/>
          <w:sz w:val="21"/>
          <w:szCs w:val="22"/>
          <w:u w:val="single"/>
          <w:lang w:eastAsia="zh-CN" w:bidi="ar-SA"/>
        </w:rPr>
        <w:t xml:space="preserve">          </w:t>
      </w:r>
    </w:p>
    <w:p w14:paraId="0600FDDA">
      <w:pPr>
        <w:spacing w:line="600" w:lineRule="exact"/>
        <w:ind w:firstLine="2310" w:firstLineChars="1100"/>
        <w:jc w:val="both"/>
        <w:rPr>
          <w:rFonts w:eastAsia="宋体"/>
          <w:color w:val="auto"/>
          <w:kern w:val="2"/>
          <w:sz w:val="21"/>
          <w:szCs w:val="22"/>
          <w:lang w:eastAsia="zh-CN" w:bidi="ar-SA"/>
        </w:rPr>
      </w:pPr>
      <w:r>
        <w:rPr>
          <w:rFonts w:eastAsia="宋体"/>
          <w:color w:val="auto"/>
          <w:kern w:val="2"/>
          <w:sz w:val="21"/>
          <w:szCs w:val="22"/>
          <w:lang w:eastAsia="zh-CN" w:bidi="ar-SA"/>
        </w:rPr>
        <w:t>电    话：</w:t>
      </w:r>
      <w:r>
        <w:rPr>
          <w:rFonts w:eastAsia="宋体"/>
          <w:color w:val="auto"/>
          <w:kern w:val="2"/>
          <w:sz w:val="21"/>
          <w:szCs w:val="22"/>
          <w:u w:val="single"/>
          <w:lang w:eastAsia="zh-CN" w:bidi="ar-SA"/>
        </w:rPr>
        <w:t xml:space="preserve">                                                  </w:t>
      </w:r>
    </w:p>
    <w:p w14:paraId="6F173577">
      <w:pPr>
        <w:spacing w:line="600" w:lineRule="exact"/>
        <w:ind w:firstLine="5040" w:firstLineChars="2400"/>
        <w:jc w:val="both"/>
        <w:rPr>
          <w:rFonts w:eastAsia="宋体"/>
          <w:color w:val="auto"/>
          <w:kern w:val="2"/>
          <w:sz w:val="21"/>
          <w:szCs w:val="22"/>
          <w:lang w:eastAsia="zh-CN" w:bidi="ar-SA"/>
        </w:rPr>
      </w:pPr>
      <w:r>
        <w:rPr>
          <w:rFonts w:eastAsia="宋体"/>
          <w:color w:val="auto"/>
          <w:kern w:val="2"/>
          <w:sz w:val="21"/>
          <w:szCs w:val="22"/>
          <w:u w:val="single"/>
          <w:lang w:eastAsia="zh-CN" w:bidi="ar-SA"/>
        </w:rPr>
        <w:t xml:space="preserve">       </w:t>
      </w:r>
      <w:r>
        <w:rPr>
          <w:rFonts w:eastAsia="宋体"/>
          <w:color w:val="auto"/>
          <w:kern w:val="2"/>
          <w:sz w:val="21"/>
          <w:szCs w:val="22"/>
          <w:lang w:eastAsia="zh-CN" w:bidi="ar-SA"/>
        </w:rPr>
        <w:t>年</w:t>
      </w:r>
      <w:r>
        <w:rPr>
          <w:rFonts w:eastAsia="宋体"/>
          <w:color w:val="auto"/>
          <w:kern w:val="2"/>
          <w:sz w:val="21"/>
          <w:szCs w:val="22"/>
          <w:u w:val="single"/>
          <w:lang w:eastAsia="zh-CN" w:bidi="ar-SA"/>
        </w:rPr>
        <w:t xml:space="preserve">       </w:t>
      </w:r>
      <w:r>
        <w:rPr>
          <w:rFonts w:eastAsia="宋体"/>
          <w:color w:val="auto"/>
          <w:kern w:val="2"/>
          <w:sz w:val="21"/>
          <w:szCs w:val="22"/>
          <w:lang w:eastAsia="zh-CN" w:bidi="ar-SA"/>
        </w:rPr>
        <w:t>月</w:t>
      </w:r>
      <w:r>
        <w:rPr>
          <w:rFonts w:eastAsia="宋体"/>
          <w:color w:val="auto"/>
          <w:kern w:val="2"/>
          <w:sz w:val="21"/>
          <w:szCs w:val="22"/>
          <w:u w:val="single"/>
          <w:lang w:eastAsia="zh-CN" w:bidi="ar-SA"/>
        </w:rPr>
        <w:t xml:space="preserve">      </w:t>
      </w:r>
      <w:r>
        <w:rPr>
          <w:rFonts w:eastAsia="宋体"/>
          <w:color w:val="auto"/>
          <w:kern w:val="2"/>
          <w:sz w:val="21"/>
          <w:szCs w:val="22"/>
          <w:lang w:eastAsia="zh-CN" w:bidi="ar-SA"/>
        </w:rPr>
        <w:t xml:space="preserve"> 日</w:t>
      </w:r>
    </w:p>
    <w:p w14:paraId="686AF993">
      <w:pPr>
        <w:spacing w:line="420" w:lineRule="exact"/>
        <w:jc w:val="both"/>
        <w:rPr>
          <w:rFonts w:eastAsia="宋体"/>
          <w:color w:val="auto"/>
          <w:kern w:val="2"/>
          <w:sz w:val="21"/>
          <w:szCs w:val="22"/>
          <w:lang w:eastAsia="zh-CN" w:bidi="ar-SA"/>
        </w:rPr>
      </w:pPr>
    </w:p>
    <w:p w14:paraId="6AF567EC">
      <w:pPr>
        <w:spacing w:line="420" w:lineRule="exact"/>
        <w:jc w:val="both"/>
        <w:rPr>
          <w:rFonts w:eastAsia="宋体"/>
          <w:color w:val="auto"/>
          <w:kern w:val="2"/>
          <w:sz w:val="21"/>
          <w:szCs w:val="22"/>
          <w:lang w:eastAsia="zh-CN" w:bidi="ar-SA"/>
        </w:rPr>
      </w:pPr>
    </w:p>
    <w:p w14:paraId="63A0BBAC">
      <w:pPr>
        <w:spacing w:line="420" w:lineRule="exact"/>
        <w:jc w:val="both"/>
        <w:rPr>
          <w:rFonts w:eastAsia="宋体"/>
          <w:color w:val="auto"/>
          <w:u w:val="single" w:color="000000"/>
          <w:lang w:eastAsia="zh-CN" w:bidi="ar-SA"/>
        </w:rPr>
      </w:pPr>
      <w:r>
        <w:rPr>
          <w:rFonts w:hint="eastAsia" w:eastAsia="宋体"/>
          <w:color w:val="auto"/>
          <w:kern w:val="2"/>
          <w:sz w:val="21"/>
          <w:szCs w:val="22"/>
          <w:lang w:eastAsia="zh-CN" w:bidi="ar-SA"/>
        </w:rPr>
        <w:t>注：第</w:t>
      </w:r>
      <w:r>
        <w:rPr>
          <w:rFonts w:eastAsia="宋体"/>
          <w:color w:val="auto"/>
          <w:kern w:val="2"/>
          <w:sz w:val="21"/>
          <w:szCs w:val="22"/>
          <w:lang w:eastAsia="zh-CN" w:bidi="ar-SA"/>
        </w:rPr>
        <w:t>2</w:t>
      </w:r>
      <w:r>
        <w:rPr>
          <w:rFonts w:hint="eastAsia" w:eastAsia="宋体"/>
          <w:color w:val="auto"/>
          <w:kern w:val="2"/>
          <w:sz w:val="21"/>
          <w:szCs w:val="22"/>
          <w:lang w:eastAsia="zh-CN" w:bidi="ar-SA"/>
        </w:rPr>
        <w:t>条内容可修改为：“本担保自</w:t>
      </w:r>
      <w:r>
        <w:rPr>
          <w:rFonts w:eastAsia="宋体"/>
          <w:color w:val="auto"/>
          <w:kern w:val="2"/>
          <w:sz w:val="21"/>
          <w:szCs w:val="22"/>
          <w:u w:val="single"/>
          <w:lang w:eastAsia="zh-CN" w:bidi="ar-SA"/>
        </w:rPr>
        <w:tab/>
      </w:r>
      <w:r>
        <w:rPr>
          <w:rFonts w:hint="eastAsia" w:eastAsia="宋体"/>
          <w:color w:val="auto"/>
          <w:kern w:val="2"/>
          <w:sz w:val="21"/>
          <w:szCs w:val="22"/>
          <w:u w:val="single"/>
          <w:lang w:eastAsia="zh-CN" w:bidi="ar-SA"/>
        </w:rPr>
        <w:t>（生效日期）</w:t>
      </w:r>
      <w:r>
        <w:rPr>
          <w:rFonts w:hint="eastAsia" w:eastAsia="宋体"/>
          <w:color w:val="auto"/>
          <w:kern w:val="2"/>
          <w:sz w:val="21"/>
          <w:szCs w:val="22"/>
          <w:lang w:eastAsia="zh-CN" w:bidi="ar-SA"/>
        </w:rPr>
        <w:t>之日起生效，至</w:t>
      </w:r>
      <w:r>
        <w:rPr>
          <w:rFonts w:eastAsia="宋体"/>
          <w:color w:val="auto"/>
          <w:kern w:val="2"/>
          <w:sz w:val="21"/>
          <w:szCs w:val="22"/>
          <w:u w:val="single"/>
          <w:lang w:eastAsia="zh-CN" w:bidi="ar-SA"/>
        </w:rPr>
        <w:tab/>
      </w:r>
      <w:r>
        <w:rPr>
          <w:rFonts w:hint="eastAsia" w:eastAsia="宋体"/>
          <w:color w:val="auto"/>
          <w:kern w:val="2"/>
          <w:sz w:val="21"/>
          <w:szCs w:val="22"/>
          <w:u w:val="single"/>
          <w:lang w:eastAsia="zh-CN" w:bidi="ar-SA"/>
        </w:rPr>
        <w:t>（失效日期）</w:t>
      </w:r>
      <w:r>
        <w:rPr>
          <w:rFonts w:hint="eastAsia" w:eastAsia="宋体"/>
          <w:color w:val="auto"/>
          <w:kern w:val="2"/>
          <w:sz w:val="21"/>
          <w:szCs w:val="22"/>
          <w:lang w:eastAsia="zh-CN" w:bidi="ar-SA"/>
        </w:rPr>
        <w:t>之日失效。”</w:t>
      </w:r>
      <w:r>
        <w:rPr>
          <w:rFonts w:eastAsia="宋体"/>
          <w:color w:val="auto"/>
          <w:kern w:val="2"/>
          <w:sz w:val="21"/>
          <w:szCs w:val="22"/>
          <w:lang w:eastAsia="zh-CN" w:bidi="ar-SA"/>
        </w:rPr>
        <w:br w:type="page"/>
      </w:r>
    </w:p>
    <w:p w14:paraId="1FD20A68">
      <w:pPr>
        <w:widowControl/>
        <w:spacing w:before="240" w:beforeLines="100" w:after="240" w:afterLines="100" w:line="360" w:lineRule="auto"/>
        <w:jc w:val="center"/>
        <w:outlineLvl w:val="0"/>
        <w:rPr>
          <w:rFonts w:hint="eastAsia" w:ascii="宋体" w:hAnsi="宋体" w:eastAsia="宋体"/>
          <w:b/>
          <w:color w:val="auto"/>
          <w:spacing w:val="-11"/>
          <w:sz w:val="44"/>
          <w:szCs w:val="44"/>
          <w:lang w:eastAsia="zh-CN" w:bidi="ar-SA"/>
        </w:rPr>
      </w:pPr>
      <w:bookmarkStart w:id="892" w:name="_Toc19388"/>
      <w:r>
        <w:rPr>
          <w:rFonts w:ascii="宋体" w:hAnsi="宋体" w:eastAsia="宋体"/>
          <w:b/>
          <w:color w:val="auto"/>
          <w:spacing w:val="-11"/>
          <w:sz w:val="44"/>
          <w:szCs w:val="44"/>
          <w:lang w:eastAsia="zh-CN" w:bidi="ar-SA"/>
        </w:rPr>
        <w:t>第五章</w:t>
      </w:r>
      <w:r>
        <w:rPr>
          <w:rFonts w:hint="eastAsia" w:ascii="宋体" w:hAnsi="宋体" w:eastAsia="宋体"/>
          <w:b/>
          <w:color w:val="auto"/>
          <w:spacing w:val="-11"/>
          <w:sz w:val="44"/>
          <w:szCs w:val="44"/>
          <w:lang w:eastAsia="zh-CN" w:bidi="ar-SA"/>
        </w:rPr>
        <w:t xml:space="preserve">    </w:t>
      </w:r>
      <w:r>
        <w:rPr>
          <w:rFonts w:ascii="宋体" w:hAnsi="宋体" w:eastAsia="宋体"/>
          <w:b/>
          <w:color w:val="auto"/>
          <w:spacing w:val="-11"/>
          <w:sz w:val="44"/>
          <w:szCs w:val="44"/>
          <w:lang w:eastAsia="zh-CN" w:bidi="ar-SA"/>
        </w:rPr>
        <w:t>委托人要求</w:t>
      </w:r>
      <w:bookmarkEnd w:id="892"/>
    </w:p>
    <w:p w14:paraId="57E6082E">
      <w:pPr>
        <w:widowControl/>
        <w:rPr>
          <w:rFonts w:hint="eastAsia" w:ascii="宋体" w:hAnsi="宋体" w:eastAsia="宋体"/>
          <w:b/>
          <w:color w:val="auto"/>
          <w:spacing w:val="-11"/>
          <w:sz w:val="44"/>
          <w:szCs w:val="44"/>
          <w:lang w:eastAsia="zh-CN" w:bidi="ar-SA"/>
        </w:rPr>
      </w:pPr>
      <w:r>
        <w:rPr>
          <w:rFonts w:ascii="宋体" w:hAnsi="宋体" w:eastAsia="宋体"/>
          <w:b/>
          <w:color w:val="auto"/>
          <w:spacing w:val="-11"/>
          <w:sz w:val="44"/>
          <w:szCs w:val="44"/>
          <w:lang w:eastAsia="zh-CN" w:bidi="ar-SA"/>
        </w:rPr>
        <w:br w:type="page"/>
      </w:r>
    </w:p>
    <w:p w14:paraId="4C1568D8">
      <w:pPr>
        <w:widowControl/>
        <w:rPr>
          <w:rFonts w:eastAsia="宋体" w:cs="宋体"/>
          <w:color w:val="auto"/>
          <w:lang w:eastAsia="zh-CN" w:bidi="ar-SA"/>
        </w:rPr>
        <w:sectPr>
          <w:headerReference r:id="rId36" w:type="default"/>
          <w:footnotePr>
            <w:numFmt w:val="decimalEnclosedCircleChinese"/>
            <w:numRestart w:val="eachPage"/>
          </w:footnotePr>
          <w:pgSz w:w="11906" w:h="16838"/>
          <w:pgMar w:top="1418" w:right="1588" w:bottom="1418" w:left="1588" w:header="680" w:footer="992" w:gutter="0"/>
          <w:cols w:space="720" w:num="1"/>
          <w:vAlign w:val="center"/>
          <w:docGrid w:linePitch="326" w:charSpace="0"/>
        </w:sectPr>
      </w:pPr>
    </w:p>
    <w:p w14:paraId="25ED5229">
      <w:pPr>
        <w:keepNext/>
        <w:keepLines/>
        <w:spacing w:line="360" w:lineRule="auto"/>
        <w:outlineLvl w:val="1"/>
        <w:rPr>
          <w:rFonts w:ascii="Arial" w:hAnsi="Arial" w:eastAsia="宋体"/>
          <w:b/>
          <w:bCs/>
          <w:color w:val="auto"/>
          <w:kern w:val="2"/>
          <w:sz w:val="28"/>
          <w:szCs w:val="32"/>
          <w:lang w:eastAsia="zh-CN" w:bidi="ar-SA"/>
        </w:rPr>
      </w:pPr>
      <w:bookmarkStart w:id="893" w:name="_Toc32"/>
      <w:bookmarkStart w:id="894" w:name="_Toc504633931"/>
      <w:r>
        <w:rPr>
          <w:rFonts w:hint="eastAsia" w:ascii="Arial" w:hAnsi="Arial" w:eastAsia="宋体"/>
          <w:b/>
          <w:bCs/>
          <w:color w:val="auto"/>
          <w:kern w:val="2"/>
          <w:sz w:val="28"/>
          <w:szCs w:val="32"/>
          <w:lang w:eastAsia="zh-CN" w:bidi="ar-SA"/>
        </w:rPr>
        <w:t>一、监理要求</w:t>
      </w:r>
      <w:bookmarkEnd w:id="893"/>
      <w:bookmarkEnd w:id="894"/>
    </w:p>
    <w:p w14:paraId="1C75AA04">
      <w:pPr>
        <w:keepNext/>
        <w:keepLines/>
        <w:spacing w:line="360" w:lineRule="auto"/>
        <w:jc w:val="both"/>
        <w:outlineLvl w:val="2"/>
        <w:rPr>
          <w:rFonts w:eastAsia="宋体"/>
          <w:b/>
          <w:bCs/>
          <w:color w:val="auto"/>
          <w:kern w:val="2"/>
          <w:szCs w:val="32"/>
          <w:lang w:eastAsia="zh-CN" w:bidi="ar-SA"/>
        </w:rPr>
      </w:pPr>
      <w:bookmarkStart w:id="895" w:name="_Toc29516"/>
      <w:r>
        <w:rPr>
          <w:rFonts w:hint="eastAsia" w:eastAsia="宋体"/>
          <w:b/>
          <w:bCs/>
          <w:color w:val="auto"/>
          <w:kern w:val="2"/>
          <w:szCs w:val="32"/>
          <w:lang w:eastAsia="zh-CN" w:bidi="ar-SA"/>
        </w:rPr>
        <w:t>1、项目概况</w:t>
      </w:r>
      <w:bookmarkEnd w:id="895"/>
    </w:p>
    <w:p w14:paraId="69081AFD">
      <w:pPr>
        <w:kinsoku w:val="0"/>
        <w:overflowPunct w:val="0"/>
        <w:autoSpaceDE w:val="0"/>
        <w:autoSpaceDN w:val="0"/>
        <w:adjustRightInd w:val="0"/>
        <w:snapToGrid w:val="0"/>
        <w:spacing w:line="360" w:lineRule="auto"/>
        <w:ind w:firstLine="420" w:firstLineChars="200"/>
        <w:rPr>
          <w:rFonts w:ascii="宋体" w:hAnsi="Courier New"/>
          <w:color w:val="auto"/>
          <w:sz w:val="21"/>
          <w:szCs w:val="16"/>
          <w:lang w:eastAsia="zh-CN"/>
        </w:rPr>
      </w:pPr>
      <w:r>
        <w:rPr>
          <w:rFonts w:hint="eastAsia" w:ascii="宋体" w:hAnsi="宋体" w:eastAsia="宋体" w:cs="宋体"/>
          <w:color w:val="auto"/>
          <w:sz w:val="21"/>
          <w:szCs w:val="16"/>
          <w:lang w:eastAsia="zh-CN"/>
        </w:rPr>
        <w:t>详见第一章招标公告</w:t>
      </w:r>
      <w:r>
        <w:rPr>
          <w:rFonts w:ascii="宋体" w:hAnsi="宋体" w:eastAsia="宋体" w:cs="宋体"/>
          <w:color w:val="auto"/>
          <w:sz w:val="21"/>
          <w:szCs w:val="16"/>
          <w:lang w:eastAsia="zh-CN"/>
        </w:rPr>
        <w:t>2.1</w:t>
      </w:r>
      <w:r>
        <w:rPr>
          <w:rFonts w:hint="eastAsia" w:ascii="宋体" w:hAnsi="宋体" w:eastAsia="宋体" w:cs="宋体"/>
          <w:color w:val="auto"/>
          <w:sz w:val="21"/>
          <w:szCs w:val="16"/>
          <w:lang w:eastAsia="zh-CN"/>
        </w:rPr>
        <w:t>款。</w:t>
      </w:r>
    </w:p>
    <w:p w14:paraId="77005D4F">
      <w:pPr>
        <w:keepNext/>
        <w:keepLines/>
        <w:spacing w:line="360" w:lineRule="auto"/>
        <w:jc w:val="both"/>
        <w:outlineLvl w:val="2"/>
        <w:rPr>
          <w:rFonts w:eastAsia="宋体"/>
          <w:b/>
          <w:bCs/>
          <w:color w:val="auto"/>
          <w:kern w:val="2"/>
          <w:szCs w:val="32"/>
          <w:lang w:eastAsia="zh-CN" w:bidi="ar-SA"/>
        </w:rPr>
      </w:pPr>
      <w:bookmarkStart w:id="896" w:name="_Toc22639"/>
      <w:r>
        <w:rPr>
          <w:rFonts w:hint="eastAsia" w:eastAsia="宋体"/>
          <w:b/>
          <w:bCs/>
          <w:color w:val="auto"/>
          <w:kern w:val="2"/>
          <w:szCs w:val="32"/>
          <w:lang w:eastAsia="zh-CN" w:bidi="ar-SA"/>
        </w:rPr>
        <w:t>2、监理范围及内容</w:t>
      </w:r>
      <w:bookmarkEnd w:id="896"/>
    </w:p>
    <w:p w14:paraId="64089423">
      <w:pPr>
        <w:spacing w:line="360" w:lineRule="auto"/>
        <w:ind w:firstLine="420" w:firstLineChars="200"/>
        <w:jc w:val="both"/>
        <w:rPr>
          <w:rFonts w:eastAsia="宋体"/>
          <w:color w:val="auto"/>
          <w:kern w:val="2"/>
          <w:sz w:val="21"/>
          <w:szCs w:val="16"/>
          <w:lang w:eastAsia="zh-CN" w:bidi="ar-SA"/>
        </w:rPr>
      </w:pPr>
      <w:r>
        <w:rPr>
          <w:rFonts w:hint="eastAsia" w:eastAsia="宋体"/>
          <w:color w:val="auto"/>
          <w:kern w:val="2"/>
          <w:sz w:val="21"/>
          <w:szCs w:val="16"/>
          <w:lang w:eastAsia="zh-CN" w:bidi="ar-SA"/>
        </w:rPr>
        <w:t>⑴监理范围</w:t>
      </w:r>
    </w:p>
    <w:p w14:paraId="3827E70B">
      <w:pPr>
        <w:spacing w:line="360" w:lineRule="auto"/>
        <w:ind w:firstLine="420" w:firstLineChars="200"/>
        <w:jc w:val="both"/>
        <w:rPr>
          <w:rFonts w:eastAsia="宋体"/>
          <w:color w:val="auto"/>
          <w:kern w:val="2"/>
          <w:sz w:val="21"/>
          <w:szCs w:val="16"/>
          <w:lang w:eastAsia="zh-CN" w:bidi="ar-SA"/>
        </w:rPr>
      </w:pPr>
      <w:r>
        <w:rPr>
          <w:rFonts w:hint="eastAsia" w:eastAsia="宋体"/>
          <w:color w:val="auto"/>
          <w:kern w:val="2"/>
          <w:sz w:val="21"/>
          <w:szCs w:val="16"/>
          <w:lang w:eastAsia="zh-CN" w:bidi="ar-SA"/>
        </w:rPr>
        <w:t>详见第四章合同条款5</w:t>
      </w:r>
      <w:r>
        <w:rPr>
          <w:rFonts w:eastAsia="宋体"/>
          <w:color w:val="auto"/>
          <w:kern w:val="2"/>
          <w:sz w:val="21"/>
          <w:szCs w:val="16"/>
          <w:lang w:eastAsia="zh-CN" w:bidi="ar-SA"/>
        </w:rPr>
        <w:t>.1</w:t>
      </w:r>
      <w:r>
        <w:rPr>
          <w:rFonts w:hint="eastAsia" w:eastAsia="宋体"/>
          <w:color w:val="auto"/>
          <w:kern w:val="2"/>
          <w:sz w:val="21"/>
          <w:szCs w:val="16"/>
          <w:lang w:eastAsia="zh-CN" w:bidi="ar-SA"/>
        </w:rPr>
        <w:t>款。</w:t>
      </w:r>
    </w:p>
    <w:p w14:paraId="6DD77326">
      <w:pPr>
        <w:spacing w:line="360" w:lineRule="auto"/>
        <w:ind w:firstLine="420" w:firstLineChars="200"/>
        <w:jc w:val="both"/>
        <w:rPr>
          <w:rFonts w:eastAsia="宋体"/>
          <w:color w:val="auto"/>
          <w:kern w:val="2"/>
          <w:sz w:val="21"/>
          <w:szCs w:val="16"/>
          <w:lang w:eastAsia="zh-CN" w:bidi="ar-SA"/>
        </w:rPr>
      </w:pPr>
      <w:r>
        <w:rPr>
          <w:rFonts w:hint="eastAsia" w:eastAsia="宋体"/>
          <w:color w:val="auto"/>
          <w:kern w:val="2"/>
          <w:sz w:val="21"/>
          <w:szCs w:val="16"/>
          <w:lang w:eastAsia="zh-CN" w:bidi="ar-SA"/>
        </w:rPr>
        <w:t>⑵监理内容</w:t>
      </w:r>
    </w:p>
    <w:p w14:paraId="7D69770E">
      <w:pPr>
        <w:spacing w:line="360" w:lineRule="auto"/>
        <w:ind w:firstLine="420" w:firstLineChars="200"/>
        <w:jc w:val="both"/>
        <w:rPr>
          <w:rFonts w:eastAsia="宋体"/>
          <w:color w:val="auto"/>
          <w:kern w:val="2"/>
          <w:sz w:val="21"/>
          <w:szCs w:val="16"/>
          <w:lang w:eastAsia="zh-CN" w:bidi="ar-SA"/>
        </w:rPr>
      </w:pPr>
      <w:r>
        <w:rPr>
          <w:rFonts w:hint="eastAsia" w:eastAsia="宋体"/>
          <w:color w:val="auto"/>
          <w:kern w:val="2"/>
          <w:sz w:val="21"/>
          <w:szCs w:val="16"/>
          <w:lang w:eastAsia="zh-CN" w:bidi="ar-SA"/>
        </w:rPr>
        <w:t>详见第四章合同条款5</w:t>
      </w:r>
      <w:r>
        <w:rPr>
          <w:rFonts w:eastAsia="宋体"/>
          <w:color w:val="auto"/>
          <w:kern w:val="2"/>
          <w:sz w:val="21"/>
          <w:szCs w:val="16"/>
          <w:lang w:eastAsia="zh-CN" w:bidi="ar-SA"/>
        </w:rPr>
        <w:t>.3</w:t>
      </w:r>
      <w:r>
        <w:rPr>
          <w:rFonts w:hint="eastAsia" w:eastAsia="宋体"/>
          <w:color w:val="auto"/>
          <w:kern w:val="2"/>
          <w:sz w:val="21"/>
          <w:szCs w:val="16"/>
          <w:lang w:eastAsia="zh-CN" w:bidi="ar-SA"/>
        </w:rPr>
        <w:t>款。</w:t>
      </w:r>
    </w:p>
    <w:p w14:paraId="520956D6">
      <w:pPr>
        <w:keepNext/>
        <w:keepLines/>
        <w:spacing w:line="360" w:lineRule="auto"/>
        <w:jc w:val="both"/>
        <w:outlineLvl w:val="2"/>
        <w:rPr>
          <w:rFonts w:eastAsia="宋体"/>
          <w:b/>
          <w:bCs/>
          <w:color w:val="auto"/>
          <w:kern w:val="2"/>
          <w:szCs w:val="32"/>
          <w:lang w:eastAsia="zh-CN" w:bidi="ar-SA"/>
        </w:rPr>
      </w:pPr>
      <w:bookmarkStart w:id="897" w:name="_Toc24064"/>
      <w:r>
        <w:rPr>
          <w:rFonts w:hint="eastAsia" w:eastAsia="宋体"/>
          <w:b/>
          <w:bCs/>
          <w:color w:val="auto"/>
          <w:kern w:val="2"/>
          <w:szCs w:val="32"/>
          <w:lang w:eastAsia="zh-CN" w:bidi="ar-SA"/>
        </w:rPr>
        <w:t>3、监理依据</w:t>
      </w:r>
      <w:bookmarkEnd w:id="897"/>
    </w:p>
    <w:p w14:paraId="4B55283B">
      <w:pPr>
        <w:spacing w:line="360" w:lineRule="auto"/>
        <w:ind w:firstLine="420" w:firstLineChars="200"/>
        <w:jc w:val="both"/>
        <w:rPr>
          <w:rFonts w:eastAsia="宋体"/>
          <w:color w:val="auto"/>
          <w:kern w:val="2"/>
          <w:sz w:val="21"/>
          <w:szCs w:val="16"/>
          <w:lang w:eastAsia="zh-CN" w:bidi="ar-SA"/>
        </w:rPr>
      </w:pPr>
      <w:r>
        <w:rPr>
          <w:rFonts w:hint="eastAsia" w:eastAsia="宋体"/>
          <w:color w:val="auto"/>
          <w:kern w:val="2"/>
          <w:sz w:val="21"/>
          <w:szCs w:val="16"/>
          <w:lang w:eastAsia="zh-CN" w:bidi="ar-SA"/>
        </w:rPr>
        <w:t>⑴ 国家相关法律、</w:t>
      </w:r>
      <w:r>
        <w:rPr>
          <w:rFonts w:eastAsia="宋体"/>
          <w:color w:val="auto"/>
          <w:kern w:val="2"/>
          <w:sz w:val="21"/>
          <w:szCs w:val="16"/>
          <w:lang w:eastAsia="zh-CN" w:bidi="ar-SA"/>
        </w:rPr>
        <w:t>法规</w:t>
      </w:r>
      <w:r>
        <w:rPr>
          <w:rFonts w:hint="eastAsia" w:eastAsia="宋体"/>
          <w:color w:val="auto"/>
          <w:kern w:val="2"/>
          <w:sz w:val="21"/>
          <w:szCs w:val="16"/>
          <w:lang w:eastAsia="zh-CN" w:bidi="ar-SA"/>
        </w:rPr>
        <w:t>和规章；</w:t>
      </w:r>
    </w:p>
    <w:p w14:paraId="1CF54D22">
      <w:pPr>
        <w:spacing w:line="360" w:lineRule="auto"/>
        <w:ind w:firstLine="420" w:firstLineChars="200"/>
        <w:jc w:val="both"/>
        <w:rPr>
          <w:rFonts w:eastAsia="宋体"/>
          <w:color w:val="auto"/>
          <w:kern w:val="2"/>
          <w:sz w:val="21"/>
          <w:szCs w:val="16"/>
          <w:lang w:eastAsia="zh-CN" w:bidi="ar-SA"/>
        </w:rPr>
      </w:pPr>
      <w:r>
        <w:rPr>
          <w:rFonts w:hint="eastAsia" w:eastAsia="宋体"/>
          <w:color w:val="auto"/>
          <w:kern w:val="2"/>
          <w:sz w:val="21"/>
          <w:szCs w:val="16"/>
          <w:lang w:eastAsia="zh-CN" w:bidi="ar-SA"/>
        </w:rPr>
        <w:t xml:space="preserve">⑵ </w:t>
      </w:r>
      <w:r>
        <w:rPr>
          <w:rFonts w:eastAsia="宋体"/>
          <w:color w:val="auto"/>
          <w:kern w:val="2"/>
          <w:sz w:val="21"/>
          <w:szCs w:val="16"/>
          <w:lang w:eastAsia="zh-CN" w:bidi="ar-SA"/>
        </w:rPr>
        <w:t>国家和行业有关标准、规范</w:t>
      </w:r>
      <w:r>
        <w:rPr>
          <w:rFonts w:hint="eastAsia" w:eastAsia="宋体"/>
          <w:color w:val="auto"/>
          <w:kern w:val="2"/>
          <w:sz w:val="21"/>
          <w:szCs w:val="16"/>
          <w:lang w:eastAsia="zh-CN" w:bidi="ar-SA"/>
        </w:rPr>
        <w:t>和</w:t>
      </w:r>
      <w:r>
        <w:rPr>
          <w:rFonts w:eastAsia="宋体"/>
          <w:color w:val="auto"/>
          <w:kern w:val="2"/>
          <w:sz w:val="21"/>
          <w:szCs w:val="16"/>
          <w:lang w:eastAsia="zh-CN" w:bidi="ar-SA"/>
        </w:rPr>
        <w:t>规程</w:t>
      </w:r>
      <w:r>
        <w:rPr>
          <w:rFonts w:hint="eastAsia" w:eastAsia="宋体"/>
          <w:color w:val="auto"/>
          <w:kern w:val="2"/>
          <w:sz w:val="21"/>
          <w:szCs w:val="16"/>
          <w:lang w:eastAsia="zh-CN" w:bidi="ar-SA"/>
        </w:rPr>
        <w:t>；</w:t>
      </w:r>
    </w:p>
    <w:p w14:paraId="099CC1D5">
      <w:pPr>
        <w:spacing w:line="360" w:lineRule="auto"/>
        <w:ind w:firstLine="420" w:firstLineChars="200"/>
        <w:jc w:val="both"/>
        <w:rPr>
          <w:rFonts w:eastAsia="宋体"/>
          <w:color w:val="auto"/>
          <w:kern w:val="2"/>
          <w:sz w:val="21"/>
          <w:szCs w:val="16"/>
          <w:lang w:eastAsia="zh-CN" w:bidi="ar-SA"/>
        </w:rPr>
      </w:pPr>
      <w:r>
        <w:rPr>
          <w:rFonts w:hint="eastAsia" w:eastAsia="宋体"/>
          <w:color w:val="auto"/>
          <w:kern w:val="2"/>
          <w:sz w:val="21"/>
          <w:szCs w:val="16"/>
          <w:lang w:eastAsia="zh-CN" w:bidi="ar-SA"/>
        </w:rPr>
        <w:t xml:space="preserve">⑶ </w:t>
      </w:r>
      <w:r>
        <w:rPr>
          <w:rFonts w:eastAsia="宋体"/>
          <w:color w:val="auto"/>
          <w:kern w:val="2"/>
          <w:sz w:val="21"/>
          <w:szCs w:val="16"/>
          <w:lang w:eastAsia="zh-CN" w:bidi="ar-SA"/>
        </w:rPr>
        <w:t>监理合同</w:t>
      </w:r>
      <w:r>
        <w:rPr>
          <w:rFonts w:hint="eastAsia" w:eastAsia="宋体"/>
          <w:color w:val="auto"/>
          <w:kern w:val="2"/>
          <w:sz w:val="21"/>
          <w:szCs w:val="16"/>
          <w:lang w:eastAsia="zh-CN" w:bidi="ar-SA"/>
        </w:rPr>
        <w:t>协议书及附件；</w:t>
      </w:r>
    </w:p>
    <w:p w14:paraId="5DC4CFDC">
      <w:pPr>
        <w:spacing w:line="360" w:lineRule="auto"/>
        <w:ind w:firstLine="420" w:firstLineChars="200"/>
        <w:jc w:val="both"/>
        <w:rPr>
          <w:rFonts w:eastAsia="宋体"/>
          <w:color w:val="auto"/>
          <w:kern w:val="2"/>
          <w:sz w:val="21"/>
          <w:szCs w:val="16"/>
          <w:lang w:eastAsia="zh-CN" w:bidi="ar-SA"/>
        </w:rPr>
      </w:pPr>
      <w:r>
        <w:rPr>
          <w:rFonts w:hint="eastAsia" w:eastAsia="宋体"/>
          <w:color w:val="auto"/>
          <w:kern w:val="2"/>
          <w:sz w:val="21"/>
          <w:szCs w:val="16"/>
          <w:lang w:eastAsia="zh-CN" w:bidi="ar-SA"/>
        </w:rPr>
        <w:t xml:space="preserve">⑷ </w:t>
      </w:r>
      <w:r>
        <w:rPr>
          <w:rFonts w:eastAsia="宋体"/>
          <w:color w:val="auto"/>
          <w:kern w:val="2"/>
          <w:sz w:val="21"/>
          <w:szCs w:val="16"/>
          <w:lang w:eastAsia="zh-CN" w:bidi="ar-SA"/>
        </w:rPr>
        <w:t>施工合同</w:t>
      </w:r>
      <w:r>
        <w:rPr>
          <w:rFonts w:hint="eastAsia" w:eastAsia="宋体"/>
          <w:color w:val="auto"/>
          <w:kern w:val="2"/>
          <w:sz w:val="21"/>
          <w:szCs w:val="16"/>
          <w:lang w:eastAsia="zh-CN" w:bidi="ar-SA"/>
        </w:rPr>
        <w:t>、设备采购及安装合同；</w:t>
      </w:r>
    </w:p>
    <w:p w14:paraId="62670FB3">
      <w:pPr>
        <w:spacing w:line="360" w:lineRule="auto"/>
        <w:ind w:firstLine="420" w:firstLineChars="200"/>
        <w:jc w:val="both"/>
        <w:rPr>
          <w:rFonts w:eastAsia="宋体"/>
          <w:color w:val="auto"/>
          <w:kern w:val="2"/>
          <w:sz w:val="21"/>
          <w:szCs w:val="16"/>
          <w:lang w:eastAsia="zh-CN" w:bidi="ar-SA"/>
        </w:rPr>
      </w:pPr>
      <w:r>
        <w:rPr>
          <w:rFonts w:hint="eastAsia" w:eastAsia="宋体"/>
          <w:color w:val="auto"/>
          <w:kern w:val="2"/>
          <w:sz w:val="21"/>
          <w:szCs w:val="16"/>
          <w:lang w:eastAsia="zh-CN" w:bidi="ar-SA"/>
        </w:rPr>
        <w:t xml:space="preserve">⑸ </w:t>
      </w:r>
      <w:r>
        <w:rPr>
          <w:rFonts w:eastAsia="宋体"/>
          <w:color w:val="auto"/>
          <w:kern w:val="2"/>
          <w:sz w:val="21"/>
          <w:szCs w:val="16"/>
          <w:lang w:eastAsia="zh-CN" w:bidi="ar-SA"/>
        </w:rPr>
        <w:t>工程前期有关文件</w:t>
      </w:r>
      <w:r>
        <w:rPr>
          <w:rFonts w:hint="eastAsia" w:eastAsia="宋体"/>
          <w:color w:val="auto"/>
          <w:kern w:val="2"/>
          <w:sz w:val="21"/>
          <w:szCs w:val="16"/>
          <w:lang w:eastAsia="zh-CN" w:bidi="ar-SA"/>
        </w:rPr>
        <w:t>。</w:t>
      </w:r>
    </w:p>
    <w:p w14:paraId="26D22BA2">
      <w:pPr>
        <w:spacing w:line="360" w:lineRule="auto"/>
        <w:ind w:firstLine="420" w:firstLineChars="200"/>
        <w:jc w:val="both"/>
        <w:rPr>
          <w:rFonts w:eastAsia="宋体"/>
          <w:color w:val="auto"/>
          <w:kern w:val="2"/>
          <w:sz w:val="21"/>
          <w:szCs w:val="16"/>
          <w:lang w:eastAsia="zh-CN" w:bidi="ar-SA"/>
        </w:rPr>
      </w:pPr>
      <w:r>
        <w:rPr>
          <w:rFonts w:hint="eastAsia" w:eastAsia="宋体"/>
          <w:color w:val="auto"/>
          <w:kern w:val="2"/>
          <w:sz w:val="21"/>
          <w:szCs w:val="16"/>
          <w:lang w:eastAsia="zh-CN" w:bidi="ar-SA"/>
        </w:rPr>
        <w:t xml:space="preserve">⑹ </w:t>
      </w:r>
      <w:r>
        <w:rPr>
          <w:rFonts w:eastAsia="宋体"/>
          <w:color w:val="auto"/>
          <w:kern w:val="2"/>
          <w:sz w:val="21"/>
          <w:szCs w:val="16"/>
          <w:lang w:eastAsia="zh-CN" w:bidi="ar-SA"/>
        </w:rPr>
        <w:t>工程设计文件和图纸</w:t>
      </w:r>
      <w:r>
        <w:rPr>
          <w:rFonts w:hint="eastAsia" w:eastAsia="宋体"/>
          <w:color w:val="auto"/>
          <w:kern w:val="2"/>
          <w:sz w:val="21"/>
          <w:szCs w:val="16"/>
          <w:lang w:eastAsia="zh-CN" w:bidi="ar-SA"/>
        </w:rPr>
        <w:t>。</w:t>
      </w:r>
    </w:p>
    <w:p w14:paraId="67E0A504">
      <w:pPr>
        <w:spacing w:line="360" w:lineRule="auto"/>
        <w:ind w:firstLine="420" w:firstLineChars="200"/>
        <w:jc w:val="both"/>
        <w:rPr>
          <w:rFonts w:eastAsia="宋体"/>
          <w:color w:val="auto"/>
          <w:kern w:val="2"/>
          <w:sz w:val="21"/>
          <w:szCs w:val="16"/>
          <w:lang w:eastAsia="zh-CN" w:bidi="ar-SA"/>
        </w:rPr>
      </w:pPr>
      <w:r>
        <w:rPr>
          <w:rFonts w:hint="eastAsia" w:eastAsia="宋体"/>
          <w:color w:val="auto"/>
          <w:kern w:val="2"/>
          <w:sz w:val="21"/>
          <w:szCs w:val="16"/>
          <w:lang w:eastAsia="zh-CN" w:bidi="ar-SA"/>
        </w:rPr>
        <w:t xml:space="preserve">⑺ </w:t>
      </w:r>
      <w:r>
        <w:rPr>
          <w:rFonts w:eastAsia="宋体"/>
          <w:color w:val="auto"/>
          <w:kern w:val="2"/>
          <w:sz w:val="21"/>
          <w:szCs w:val="16"/>
          <w:lang w:eastAsia="zh-CN" w:bidi="ar-SA"/>
        </w:rPr>
        <w:t>工程实施过程中有关的函件</w:t>
      </w:r>
      <w:r>
        <w:rPr>
          <w:rFonts w:hint="eastAsia" w:eastAsia="宋体"/>
          <w:color w:val="auto"/>
          <w:kern w:val="2"/>
          <w:sz w:val="21"/>
          <w:szCs w:val="16"/>
          <w:lang w:eastAsia="zh-CN" w:bidi="ar-SA"/>
        </w:rPr>
        <w:t>及</w:t>
      </w:r>
      <w:r>
        <w:rPr>
          <w:rFonts w:eastAsia="宋体"/>
          <w:color w:val="auto"/>
          <w:kern w:val="2"/>
          <w:sz w:val="21"/>
          <w:szCs w:val="16"/>
          <w:lang w:eastAsia="zh-CN" w:bidi="ar-SA"/>
        </w:rPr>
        <w:t>委托人制定的相关管理制度、办法、文件等。</w:t>
      </w:r>
    </w:p>
    <w:p w14:paraId="30276904">
      <w:pPr>
        <w:keepNext/>
        <w:keepLines/>
        <w:spacing w:line="360" w:lineRule="auto"/>
        <w:jc w:val="both"/>
        <w:outlineLvl w:val="2"/>
        <w:rPr>
          <w:rFonts w:eastAsia="宋体"/>
          <w:b/>
          <w:bCs/>
          <w:color w:val="auto"/>
          <w:kern w:val="2"/>
          <w:szCs w:val="32"/>
          <w:lang w:eastAsia="zh-CN" w:bidi="ar-SA"/>
        </w:rPr>
      </w:pPr>
      <w:bookmarkStart w:id="898" w:name="_Toc7057"/>
      <w:r>
        <w:rPr>
          <w:rFonts w:hint="eastAsia" w:eastAsia="宋体"/>
          <w:b/>
          <w:bCs/>
          <w:color w:val="auto"/>
          <w:kern w:val="2"/>
          <w:szCs w:val="32"/>
          <w:lang w:eastAsia="zh-CN" w:bidi="ar-SA"/>
        </w:rPr>
        <w:t>4、监理人员要求</w:t>
      </w:r>
      <w:bookmarkEnd w:id="898"/>
    </w:p>
    <w:p w14:paraId="72F47AC5">
      <w:pPr>
        <w:spacing w:line="360" w:lineRule="auto"/>
        <w:ind w:firstLine="420" w:firstLineChars="200"/>
        <w:jc w:val="both"/>
        <w:rPr>
          <w:rFonts w:eastAsia="宋体"/>
          <w:color w:val="auto"/>
          <w:kern w:val="2"/>
          <w:sz w:val="21"/>
          <w:szCs w:val="16"/>
          <w:lang w:eastAsia="zh-CN" w:bidi="ar-SA"/>
        </w:rPr>
      </w:pPr>
      <w:r>
        <w:rPr>
          <w:rFonts w:hint="eastAsia" w:eastAsia="宋体"/>
          <w:color w:val="auto"/>
          <w:kern w:val="2"/>
          <w:sz w:val="21"/>
          <w:szCs w:val="16"/>
          <w:lang w:eastAsia="zh-CN" w:bidi="ar-SA"/>
        </w:rPr>
        <w:t>详见第一章投标人须知附录5、6。</w:t>
      </w:r>
    </w:p>
    <w:p w14:paraId="2816B9E0">
      <w:pPr>
        <w:keepNext/>
        <w:keepLines/>
        <w:spacing w:line="360" w:lineRule="auto"/>
        <w:jc w:val="both"/>
        <w:outlineLvl w:val="2"/>
        <w:rPr>
          <w:rFonts w:eastAsia="宋体"/>
          <w:b/>
          <w:bCs/>
          <w:color w:val="auto"/>
          <w:kern w:val="2"/>
          <w:szCs w:val="32"/>
          <w:lang w:eastAsia="zh-CN" w:bidi="ar-SA"/>
        </w:rPr>
      </w:pPr>
      <w:bookmarkStart w:id="899" w:name="_Toc28803"/>
      <w:bookmarkStart w:id="900" w:name="_Hlk45108054"/>
      <w:r>
        <w:rPr>
          <w:rFonts w:eastAsia="宋体"/>
          <w:b/>
          <w:bCs/>
          <w:color w:val="auto"/>
          <w:kern w:val="2"/>
          <w:szCs w:val="32"/>
          <w:lang w:eastAsia="zh-CN" w:bidi="ar-SA"/>
        </w:rPr>
        <w:t>5</w:t>
      </w:r>
      <w:r>
        <w:rPr>
          <w:rFonts w:hint="eastAsia" w:eastAsia="宋体"/>
          <w:b/>
          <w:bCs/>
          <w:color w:val="auto"/>
          <w:kern w:val="2"/>
          <w:szCs w:val="32"/>
          <w:lang w:eastAsia="zh-CN" w:bidi="ar-SA"/>
        </w:rPr>
        <w:t>、试验检测要求</w:t>
      </w:r>
      <w:bookmarkEnd w:id="899"/>
    </w:p>
    <w:p w14:paraId="0AE585D8">
      <w:pPr>
        <w:spacing w:line="360" w:lineRule="auto"/>
        <w:ind w:firstLine="420" w:firstLineChars="200"/>
        <w:jc w:val="both"/>
        <w:rPr>
          <w:rFonts w:hint="eastAsia" w:eastAsia="宋体"/>
          <w:color w:val="auto"/>
          <w:kern w:val="2"/>
          <w:sz w:val="21"/>
          <w:szCs w:val="16"/>
          <w:lang w:eastAsia="zh-CN" w:bidi="ar-SA"/>
        </w:rPr>
      </w:pPr>
      <w:r>
        <w:rPr>
          <w:rFonts w:hint="eastAsia" w:eastAsia="宋体"/>
          <w:color w:val="auto"/>
          <w:kern w:val="2"/>
          <w:sz w:val="21"/>
          <w:szCs w:val="16"/>
          <w:lang w:eastAsia="zh-CN" w:bidi="ar-SA"/>
        </w:rPr>
        <w:t>试验检测设备</w:t>
      </w:r>
      <w:r>
        <w:rPr>
          <w:rFonts w:eastAsia="宋体"/>
          <w:color w:val="auto"/>
          <w:kern w:val="2"/>
          <w:sz w:val="21"/>
          <w:szCs w:val="16"/>
          <w:lang w:eastAsia="zh-CN" w:bidi="ar-SA"/>
        </w:rPr>
        <w:t>需满足本项目要求。</w:t>
      </w:r>
    </w:p>
    <w:p w14:paraId="224C5D2D">
      <w:pPr>
        <w:spacing w:line="360" w:lineRule="auto"/>
        <w:ind w:firstLine="420" w:firstLineChars="200"/>
        <w:jc w:val="both"/>
        <w:rPr>
          <w:rFonts w:eastAsia="宋体"/>
          <w:color w:val="auto"/>
          <w:kern w:val="2"/>
          <w:sz w:val="21"/>
          <w:szCs w:val="16"/>
          <w:lang w:eastAsia="zh-CN" w:bidi="ar-SA"/>
        </w:rPr>
      </w:pPr>
      <w:r>
        <w:rPr>
          <w:rFonts w:hint="eastAsia" w:eastAsia="宋体"/>
          <w:color w:val="auto"/>
          <w:kern w:val="2"/>
          <w:sz w:val="21"/>
          <w:szCs w:val="16"/>
          <w:lang w:eastAsia="zh-CN" w:bidi="ar-SA"/>
        </w:rPr>
        <w:t>监理人无需建立工地试验室。委托人将另行招标委托第三方成立中心试验室，承担监理人抽检频率范围内的试验检测工作。</w:t>
      </w:r>
    </w:p>
    <w:p w14:paraId="669F598B">
      <w:pPr>
        <w:spacing w:line="360" w:lineRule="auto"/>
        <w:ind w:firstLine="420" w:firstLineChars="200"/>
        <w:jc w:val="both"/>
        <w:rPr>
          <w:rFonts w:eastAsia="宋体"/>
          <w:color w:val="auto"/>
          <w:kern w:val="2"/>
          <w:sz w:val="21"/>
          <w:szCs w:val="16"/>
          <w:lang w:eastAsia="zh-CN" w:bidi="ar-SA"/>
        </w:rPr>
      </w:pPr>
      <w:r>
        <w:rPr>
          <w:rFonts w:hint="eastAsia" w:eastAsia="宋体"/>
          <w:color w:val="auto"/>
          <w:kern w:val="2"/>
          <w:sz w:val="21"/>
          <w:szCs w:val="16"/>
          <w:lang w:eastAsia="zh-CN" w:bidi="ar-SA"/>
        </w:rPr>
        <w:t>监理人负责制定试验监理细则和监理抽检计划，建立抽检台帐和记录；协助中心试验室试验检测工作，与中心试验室共同进行现场取样、送样；审查承包人提交的材料出厂检验单，对材料外观质量及几何尺寸等进行初步验收；监督承包人各类自检试验并做好见证工作；对承包人的试验检测报告进行审查；对承包人土工试验、</w:t>
      </w:r>
      <w:r>
        <w:rPr>
          <w:rFonts w:eastAsia="宋体"/>
          <w:color w:val="auto"/>
          <w:kern w:val="2"/>
          <w:sz w:val="21"/>
          <w:szCs w:val="16"/>
          <w:lang w:eastAsia="zh-CN" w:bidi="ar-SA"/>
        </w:rPr>
        <w:t>C30</w:t>
      </w:r>
      <w:r>
        <w:rPr>
          <w:rFonts w:hint="eastAsia" w:eastAsia="宋体"/>
          <w:color w:val="auto"/>
          <w:kern w:val="2"/>
          <w:sz w:val="21"/>
          <w:szCs w:val="16"/>
          <w:lang w:eastAsia="zh-CN" w:bidi="ar-SA"/>
        </w:rPr>
        <w:t>以下低标号砼原材料及配合比等部分检测项目进行现场见证等。</w:t>
      </w:r>
    </w:p>
    <w:bookmarkEnd w:id="900"/>
    <w:p w14:paraId="0A3B0D4E">
      <w:pPr>
        <w:keepNext/>
        <w:keepLines/>
        <w:spacing w:line="360" w:lineRule="auto"/>
        <w:outlineLvl w:val="1"/>
        <w:rPr>
          <w:rFonts w:ascii="Arial" w:hAnsi="Arial" w:eastAsia="宋体"/>
          <w:b/>
          <w:bCs/>
          <w:color w:val="auto"/>
          <w:kern w:val="2"/>
          <w:sz w:val="28"/>
          <w:szCs w:val="32"/>
          <w:lang w:eastAsia="zh-CN" w:bidi="ar-SA"/>
        </w:rPr>
      </w:pPr>
      <w:bookmarkStart w:id="901" w:name="_Toc504633932"/>
      <w:bookmarkStart w:id="902" w:name="_Toc8044"/>
      <w:r>
        <w:rPr>
          <w:rFonts w:hint="eastAsia" w:ascii="Arial" w:hAnsi="Arial" w:eastAsia="宋体"/>
          <w:b/>
          <w:bCs/>
          <w:color w:val="auto"/>
          <w:kern w:val="2"/>
          <w:sz w:val="28"/>
          <w:szCs w:val="32"/>
          <w:lang w:eastAsia="zh-CN" w:bidi="ar-SA"/>
        </w:rPr>
        <w:t>二、适用规范标准</w:t>
      </w:r>
      <w:bookmarkEnd w:id="901"/>
      <w:bookmarkEnd w:id="902"/>
    </w:p>
    <w:p w14:paraId="167A1AB7">
      <w:pPr>
        <w:spacing w:line="360" w:lineRule="auto"/>
        <w:ind w:firstLine="420" w:firstLineChars="200"/>
        <w:jc w:val="both"/>
        <w:rPr>
          <w:rFonts w:eastAsia="宋体"/>
          <w:color w:val="auto"/>
          <w:kern w:val="2"/>
          <w:sz w:val="21"/>
          <w:szCs w:val="16"/>
          <w:lang w:eastAsia="zh-CN" w:bidi="ar-SA"/>
        </w:rPr>
      </w:pPr>
      <w:r>
        <w:rPr>
          <w:rFonts w:hint="eastAsia" w:eastAsia="宋体"/>
          <w:color w:val="auto"/>
          <w:kern w:val="2"/>
          <w:sz w:val="21"/>
          <w:szCs w:val="16"/>
          <w:lang w:eastAsia="zh-CN" w:bidi="ar-SA"/>
        </w:rPr>
        <w:t>1、本工程施工招标文件中的技术规范；</w:t>
      </w:r>
    </w:p>
    <w:p w14:paraId="655FACDA">
      <w:pPr>
        <w:spacing w:line="360" w:lineRule="auto"/>
        <w:ind w:firstLine="420" w:firstLineChars="200"/>
        <w:jc w:val="both"/>
        <w:rPr>
          <w:rFonts w:eastAsia="宋体"/>
          <w:color w:val="auto"/>
          <w:kern w:val="2"/>
          <w:sz w:val="21"/>
          <w:szCs w:val="16"/>
          <w:lang w:eastAsia="zh-CN" w:bidi="ar-SA"/>
        </w:rPr>
      </w:pPr>
      <w:r>
        <w:rPr>
          <w:rFonts w:hint="eastAsia" w:eastAsia="宋体"/>
          <w:color w:val="auto"/>
          <w:kern w:val="2"/>
          <w:sz w:val="21"/>
          <w:szCs w:val="16"/>
          <w:lang w:eastAsia="zh-CN" w:bidi="ar-SA"/>
        </w:rPr>
        <w:t>2、各级行政部门颁布的，且与本工程建设有关标准、规范；</w:t>
      </w:r>
    </w:p>
    <w:p w14:paraId="22772740">
      <w:pPr>
        <w:spacing w:line="360" w:lineRule="auto"/>
        <w:ind w:firstLine="420" w:firstLineChars="200"/>
        <w:jc w:val="both"/>
        <w:rPr>
          <w:rFonts w:eastAsia="宋体"/>
          <w:color w:val="auto"/>
          <w:kern w:val="2"/>
          <w:sz w:val="21"/>
          <w:szCs w:val="16"/>
          <w:lang w:eastAsia="zh-CN" w:bidi="ar-SA"/>
        </w:rPr>
      </w:pPr>
      <w:r>
        <w:rPr>
          <w:rFonts w:hint="eastAsia" w:eastAsia="宋体"/>
          <w:color w:val="auto"/>
          <w:kern w:val="2"/>
          <w:sz w:val="21"/>
          <w:szCs w:val="16"/>
          <w:lang w:eastAsia="zh-CN" w:bidi="ar-SA"/>
        </w:rPr>
        <w:t>3、交通运输部颁发的有关水运工程的标准、规范、规程及技术指南。</w:t>
      </w:r>
    </w:p>
    <w:p w14:paraId="502985FC">
      <w:pPr>
        <w:tabs>
          <w:tab w:val="left" w:pos="7051"/>
        </w:tabs>
        <w:spacing w:line="360" w:lineRule="auto"/>
        <w:ind w:firstLine="420" w:firstLineChars="200"/>
        <w:rPr>
          <w:rFonts w:eastAsia="宋体"/>
          <w:color w:val="auto"/>
          <w:kern w:val="2"/>
          <w:sz w:val="21"/>
          <w:szCs w:val="16"/>
          <w:lang w:eastAsia="zh-CN" w:bidi="ar-SA"/>
        </w:rPr>
      </w:pPr>
      <w:r>
        <w:rPr>
          <w:rFonts w:hint="eastAsia" w:eastAsia="宋体"/>
          <w:color w:val="auto"/>
          <w:kern w:val="2"/>
          <w:sz w:val="21"/>
          <w:szCs w:val="16"/>
          <w:lang w:eastAsia="zh-CN" w:bidi="ar-SA"/>
        </w:rPr>
        <w:t>现行主要水运工程标准、规范、规程、指南一览表（不仅限于此）</w:t>
      </w:r>
      <w:r>
        <w:rPr>
          <w:rFonts w:eastAsia="宋体"/>
          <w:color w:val="auto"/>
          <w:kern w:val="2"/>
          <w:sz w:val="21"/>
          <w:szCs w:val="16"/>
          <w:lang w:eastAsia="zh-CN" w:bidi="ar-SA"/>
        </w:rPr>
        <w:tab/>
      </w:r>
    </w:p>
    <w:tbl>
      <w:tblPr>
        <w:tblStyle w:val="4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6"/>
        <w:gridCol w:w="1202"/>
        <w:gridCol w:w="2372"/>
        <w:gridCol w:w="4768"/>
      </w:tblGrid>
      <w:tr w14:paraId="234D40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exact"/>
          <w:tblHeader/>
          <w:jc w:val="center"/>
        </w:trPr>
        <w:tc>
          <w:tcPr>
            <w:tcW w:w="726" w:type="dxa"/>
            <w:vAlign w:val="center"/>
          </w:tcPr>
          <w:p w14:paraId="6405F62D">
            <w:pPr>
              <w:jc w:val="center"/>
              <w:rPr>
                <w:rFonts w:eastAsia="宋体"/>
                <w:color w:val="auto"/>
                <w:kern w:val="2"/>
                <w:sz w:val="21"/>
                <w:szCs w:val="21"/>
                <w:lang w:eastAsia="zh-CN" w:bidi="ar-SA"/>
              </w:rPr>
            </w:pPr>
            <w:bookmarkStart w:id="903" w:name="OLE_LINK3"/>
            <w:r>
              <w:rPr>
                <w:rFonts w:hAnsi="宋体" w:eastAsia="宋体"/>
                <w:color w:val="auto"/>
                <w:kern w:val="2"/>
                <w:sz w:val="21"/>
                <w:szCs w:val="21"/>
                <w:lang w:eastAsia="zh-CN" w:bidi="ar-SA"/>
              </w:rPr>
              <w:t>序号</w:t>
            </w:r>
          </w:p>
        </w:tc>
        <w:tc>
          <w:tcPr>
            <w:tcW w:w="1202" w:type="dxa"/>
            <w:vAlign w:val="center"/>
          </w:tcPr>
          <w:p w14:paraId="53C21030">
            <w:pPr>
              <w:jc w:val="center"/>
              <w:rPr>
                <w:rFonts w:eastAsia="宋体"/>
                <w:color w:val="auto"/>
                <w:kern w:val="2"/>
                <w:sz w:val="21"/>
                <w:szCs w:val="21"/>
                <w:lang w:eastAsia="zh-CN" w:bidi="ar-SA"/>
              </w:rPr>
            </w:pPr>
            <w:r>
              <w:rPr>
                <w:rFonts w:hAnsi="宋体" w:eastAsia="宋体"/>
                <w:color w:val="auto"/>
                <w:kern w:val="2"/>
                <w:sz w:val="21"/>
                <w:szCs w:val="21"/>
                <w:lang w:eastAsia="zh-CN" w:bidi="ar-SA"/>
              </w:rPr>
              <w:t>类</w:t>
            </w:r>
            <w:r>
              <w:rPr>
                <w:rFonts w:eastAsia="宋体"/>
                <w:color w:val="auto"/>
                <w:kern w:val="2"/>
                <w:sz w:val="21"/>
                <w:szCs w:val="21"/>
                <w:lang w:eastAsia="zh-CN" w:bidi="ar-SA"/>
              </w:rPr>
              <w:t xml:space="preserve"> </w:t>
            </w:r>
            <w:r>
              <w:rPr>
                <w:rFonts w:hAnsi="宋体" w:eastAsia="宋体"/>
                <w:color w:val="auto"/>
                <w:kern w:val="2"/>
                <w:sz w:val="21"/>
                <w:szCs w:val="21"/>
                <w:lang w:eastAsia="zh-CN" w:bidi="ar-SA"/>
              </w:rPr>
              <w:t>别</w:t>
            </w:r>
          </w:p>
        </w:tc>
        <w:tc>
          <w:tcPr>
            <w:tcW w:w="2372" w:type="dxa"/>
            <w:vAlign w:val="center"/>
          </w:tcPr>
          <w:p w14:paraId="56F3D43B">
            <w:pPr>
              <w:jc w:val="center"/>
              <w:rPr>
                <w:rFonts w:eastAsia="宋体"/>
                <w:color w:val="auto"/>
                <w:kern w:val="2"/>
                <w:sz w:val="21"/>
                <w:szCs w:val="21"/>
                <w:lang w:eastAsia="zh-CN" w:bidi="ar-SA"/>
              </w:rPr>
            </w:pPr>
            <w:r>
              <w:rPr>
                <w:rFonts w:hAnsi="宋体" w:eastAsia="宋体"/>
                <w:color w:val="auto"/>
                <w:kern w:val="2"/>
                <w:sz w:val="21"/>
                <w:szCs w:val="21"/>
                <w:lang w:eastAsia="zh-CN" w:bidi="ar-SA"/>
              </w:rPr>
              <w:t>编</w:t>
            </w:r>
            <w:r>
              <w:rPr>
                <w:rFonts w:eastAsia="宋体"/>
                <w:color w:val="auto"/>
                <w:kern w:val="2"/>
                <w:sz w:val="21"/>
                <w:szCs w:val="21"/>
                <w:lang w:eastAsia="zh-CN" w:bidi="ar-SA"/>
              </w:rPr>
              <w:t xml:space="preserve"> </w:t>
            </w:r>
            <w:r>
              <w:rPr>
                <w:rFonts w:hAnsi="宋体" w:eastAsia="宋体"/>
                <w:color w:val="auto"/>
                <w:kern w:val="2"/>
                <w:sz w:val="21"/>
                <w:szCs w:val="21"/>
                <w:lang w:eastAsia="zh-CN" w:bidi="ar-SA"/>
              </w:rPr>
              <w:t>号</w:t>
            </w:r>
          </w:p>
        </w:tc>
        <w:tc>
          <w:tcPr>
            <w:tcW w:w="4768" w:type="dxa"/>
            <w:vAlign w:val="center"/>
          </w:tcPr>
          <w:p w14:paraId="6321D09F">
            <w:pPr>
              <w:jc w:val="center"/>
              <w:rPr>
                <w:rFonts w:eastAsia="宋体"/>
                <w:color w:val="auto"/>
                <w:kern w:val="2"/>
                <w:sz w:val="21"/>
                <w:szCs w:val="21"/>
                <w:lang w:eastAsia="zh-CN" w:bidi="ar-SA"/>
              </w:rPr>
            </w:pPr>
            <w:r>
              <w:rPr>
                <w:rFonts w:hAnsi="宋体" w:eastAsia="宋体"/>
                <w:color w:val="auto"/>
                <w:kern w:val="2"/>
                <w:sz w:val="21"/>
                <w:szCs w:val="21"/>
                <w:lang w:eastAsia="zh-CN" w:bidi="ar-SA"/>
              </w:rPr>
              <w:t>名</w:t>
            </w:r>
            <w:r>
              <w:rPr>
                <w:rFonts w:eastAsia="宋体"/>
                <w:color w:val="auto"/>
                <w:kern w:val="2"/>
                <w:sz w:val="21"/>
                <w:szCs w:val="21"/>
                <w:lang w:eastAsia="zh-CN" w:bidi="ar-SA"/>
              </w:rPr>
              <w:t xml:space="preserve">        </w:t>
            </w:r>
            <w:r>
              <w:rPr>
                <w:rFonts w:hAnsi="宋体" w:eastAsia="宋体"/>
                <w:color w:val="auto"/>
                <w:kern w:val="2"/>
                <w:sz w:val="21"/>
                <w:szCs w:val="21"/>
                <w:lang w:eastAsia="zh-CN" w:bidi="ar-SA"/>
              </w:rPr>
              <w:t>称</w:t>
            </w:r>
          </w:p>
        </w:tc>
      </w:tr>
      <w:bookmarkEnd w:id="903"/>
      <w:tr w14:paraId="2F5A94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exact"/>
          <w:jc w:val="center"/>
        </w:trPr>
        <w:tc>
          <w:tcPr>
            <w:tcW w:w="726" w:type="dxa"/>
            <w:vAlign w:val="center"/>
          </w:tcPr>
          <w:p w14:paraId="65BF88ED">
            <w:pPr>
              <w:pStyle w:val="94"/>
              <w:numPr>
                <w:ilvl w:val="0"/>
                <w:numId w:val="7"/>
              </w:numPr>
              <w:jc w:val="center"/>
              <w:rPr>
                <w:rFonts w:hint="eastAsia" w:hAnsi="宋体"/>
                <w:color w:val="auto"/>
                <w:kern w:val="2"/>
                <w:sz w:val="21"/>
                <w:szCs w:val="21"/>
              </w:rPr>
            </w:pPr>
          </w:p>
        </w:tc>
        <w:tc>
          <w:tcPr>
            <w:tcW w:w="1202" w:type="dxa"/>
            <w:vMerge w:val="restart"/>
            <w:vAlign w:val="center"/>
          </w:tcPr>
          <w:p w14:paraId="7FF4CFF9">
            <w:pPr>
              <w:jc w:val="center"/>
              <w:rPr>
                <w:rFonts w:hint="eastAsia" w:hAnsi="宋体" w:eastAsia="宋体"/>
                <w:color w:val="auto"/>
                <w:kern w:val="2"/>
                <w:sz w:val="21"/>
                <w:szCs w:val="21"/>
                <w:lang w:eastAsia="zh-CN" w:bidi="ar-SA"/>
              </w:rPr>
            </w:pPr>
            <w:r>
              <w:rPr>
                <w:rFonts w:hint="eastAsia" w:hAnsi="宋体" w:eastAsia="宋体"/>
                <w:color w:val="auto"/>
                <w:kern w:val="2"/>
                <w:sz w:val="21"/>
                <w:szCs w:val="21"/>
                <w:lang w:eastAsia="zh-CN" w:bidi="ar-SA"/>
              </w:rPr>
              <w:t>综合类</w:t>
            </w:r>
          </w:p>
        </w:tc>
        <w:tc>
          <w:tcPr>
            <w:tcW w:w="2372" w:type="dxa"/>
            <w:vAlign w:val="center"/>
          </w:tcPr>
          <w:p w14:paraId="6DDB8887">
            <w:pPr>
              <w:widowControl/>
              <w:rPr>
                <w:rFonts w:eastAsia="等线"/>
                <w:color w:val="auto"/>
                <w:sz w:val="21"/>
                <w:szCs w:val="21"/>
                <w:lang w:eastAsia="zh-CN" w:bidi="ar-SA"/>
              </w:rPr>
            </w:pPr>
            <w:r>
              <w:rPr>
                <w:rFonts w:eastAsia="等线"/>
                <w:color w:val="auto"/>
                <w:kern w:val="2"/>
                <w:sz w:val="21"/>
                <w:szCs w:val="21"/>
                <w:lang w:eastAsia="zh-CN" w:bidi="ar-SA"/>
              </w:rPr>
              <w:t>JTS 145-2015</w:t>
            </w:r>
          </w:p>
        </w:tc>
        <w:tc>
          <w:tcPr>
            <w:tcW w:w="4768" w:type="dxa"/>
            <w:vAlign w:val="center"/>
          </w:tcPr>
          <w:p w14:paraId="1A1193AA">
            <w:pPr>
              <w:widowControl/>
              <w:rPr>
                <w:rFonts w:hint="eastAsia" w:asciiTheme="minorEastAsia" w:hAnsiTheme="minorEastAsia" w:eastAsiaTheme="minorEastAsia"/>
                <w:color w:val="auto"/>
                <w:sz w:val="21"/>
                <w:szCs w:val="21"/>
                <w:lang w:eastAsia="zh-CN" w:bidi="ar-SA"/>
              </w:rPr>
            </w:pPr>
            <w:r>
              <w:rPr>
                <w:rFonts w:hint="eastAsia" w:asciiTheme="minorEastAsia" w:hAnsiTheme="minorEastAsia" w:eastAsiaTheme="minorEastAsia"/>
                <w:color w:val="auto"/>
                <w:kern w:val="2"/>
                <w:sz w:val="21"/>
                <w:szCs w:val="21"/>
                <w:lang w:eastAsia="zh-CN" w:bidi="ar-SA"/>
              </w:rPr>
              <w:t>港口与航道水文规范</w:t>
            </w:r>
          </w:p>
        </w:tc>
      </w:tr>
      <w:tr w14:paraId="57744C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exact"/>
          <w:jc w:val="center"/>
        </w:trPr>
        <w:tc>
          <w:tcPr>
            <w:tcW w:w="726" w:type="dxa"/>
            <w:vAlign w:val="center"/>
          </w:tcPr>
          <w:p w14:paraId="410112F4">
            <w:pPr>
              <w:pStyle w:val="94"/>
              <w:numPr>
                <w:ilvl w:val="0"/>
                <w:numId w:val="7"/>
              </w:numPr>
              <w:jc w:val="center"/>
              <w:rPr>
                <w:rFonts w:hint="eastAsia" w:hAnsi="宋体"/>
                <w:color w:val="auto"/>
                <w:kern w:val="2"/>
                <w:sz w:val="21"/>
                <w:szCs w:val="21"/>
              </w:rPr>
            </w:pPr>
          </w:p>
        </w:tc>
        <w:tc>
          <w:tcPr>
            <w:tcW w:w="1202" w:type="dxa"/>
            <w:vMerge w:val="continue"/>
            <w:vAlign w:val="center"/>
          </w:tcPr>
          <w:p w14:paraId="6140E38B">
            <w:pPr>
              <w:jc w:val="center"/>
              <w:rPr>
                <w:rFonts w:hint="eastAsia" w:hAnsi="宋体" w:eastAsia="宋体"/>
                <w:color w:val="auto"/>
                <w:kern w:val="2"/>
                <w:sz w:val="21"/>
                <w:szCs w:val="21"/>
                <w:lang w:eastAsia="zh-CN" w:bidi="ar-SA"/>
              </w:rPr>
            </w:pPr>
          </w:p>
        </w:tc>
        <w:tc>
          <w:tcPr>
            <w:tcW w:w="2372" w:type="dxa"/>
            <w:vAlign w:val="center"/>
          </w:tcPr>
          <w:p w14:paraId="11664196">
            <w:pPr>
              <w:jc w:val="both"/>
              <w:rPr>
                <w:rFonts w:eastAsia="等线"/>
                <w:color w:val="auto"/>
                <w:kern w:val="2"/>
                <w:sz w:val="21"/>
                <w:szCs w:val="21"/>
                <w:lang w:eastAsia="zh-CN" w:bidi="ar-SA"/>
              </w:rPr>
            </w:pPr>
            <w:r>
              <w:rPr>
                <w:rFonts w:eastAsia="等线"/>
                <w:color w:val="auto"/>
                <w:kern w:val="2"/>
                <w:sz w:val="21"/>
                <w:szCs w:val="21"/>
                <w:lang w:eastAsia="zh-CN" w:bidi="ar-SA"/>
              </w:rPr>
              <w:t>JTS 146-2012</w:t>
            </w:r>
          </w:p>
        </w:tc>
        <w:tc>
          <w:tcPr>
            <w:tcW w:w="4768" w:type="dxa"/>
            <w:vAlign w:val="center"/>
          </w:tcPr>
          <w:p w14:paraId="1AEED529">
            <w:pPr>
              <w:jc w:val="both"/>
              <w:rPr>
                <w:rFonts w:hint="eastAsia" w:asciiTheme="minorEastAsia" w:hAnsiTheme="minorEastAsia" w:eastAsiaTheme="minorEastAsia"/>
                <w:color w:val="auto"/>
                <w:kern w:val="2"/>
                <w:sz w:val="21"/>
                <w:szCs w:val="21"/>
                <w:lang w:eastAsia="zh-CN" w:bidi="ar-SA"/>
              </w:rPr>
            </w:pPr>
            <w:r>
              <w:rPr>
                <w:rFonts w:hint="eastAsia" w:asciiTheme="minorEastAsia" w:hAnsiTheme="minorEastAsia" w:eastAsiaTheme="minorEastAsia"/>
                <w:color w:val="auto"/>
                <w:kern w:val="2"/>
                <w:sz w:val="21"/>
                <w:szCs w:val="21"/>
                <w:lang w:eastAsia="zh-CN" w:bidi="ar-SA"/>
              </w:rPr>
              <w:t>水运工程抗震设计规范</w:t>
            </w:r>
          </w:p>
        </w:tc>
      </w:tr>
      <w:tr w14:paraId="47EC6F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exact"/>
          <w:jc w:val="center"/>
        </w:trPr>
        <w:tc>
          <w:tcPr>
            <w:tcW w:w="726" w:type="dxa"/>
            <w:vAlign w:val="center"/>
          </w:tcPr>
          <w:p w14:paraId="239B42BA">
            <w:pPr>
              <w:pStyle w:val="94"/>
              <w:numPr>
                <w:ilvl w:val="0"/>
                <w:numId w:val="7"/>
              </w:numPr>
              <w:jc w:val="center"/>
              <w:rPr>
                <w:rFonts w:hint="eastAsia" w:hAnsi="宋体"/>
                <w:color w:val="auto"/>
                <w:kern w:val="2"/>
                <w:sz w:val="21"/>
                <w:szCs w:val="21"/>
              </w:rPr>
            </w:pPr>
          </w:p>
        </w:tc>
        <w:tc>
          <w:tcPr>
            <w:tcW w:w="1202" w:type="dxa"/>
            <w:vMerge w:val="continue"/>
            <w:vAlign w:val="center"/>
          </w:tcPr>
          <w:p w14:paraId="165B8E06">
            <w:pPr>
              <w:jc w:val="center"/>
              <w:rPr>
                <w:rFonts w:hint="eastAsia" w:hAnsi="宋体" w:eastAsia="宋体"/>
                <w:color w:val="auto"/>
                <w:kern w:val="2"/>
                <w:sz w:val="21"/>
                <w:szCs w:val="21"/>
                <w:lang w:eastAsia="zh-CN" w:bidi="ar-SA"/>
              </w:rPr>
            </w:pPr>
          </w:p>
        </w:tc>
        <w:tc>
          <w:tcPr>
            <w:tcW w:w="2372" w:type="dxa"/>
            <w:vAlign w:val="center"/>
          </w:tcPr>
          <w:p w14:paraId="51643559">
            <w:pPr>
              <w:jc w:val="both"/>
              <w:rPr>
                <w:rFonts w:eastAsia="等线"/>
                <w:color w:val="auto"/>
                <w:kern w:val="2"/>
                <w:sz w:val="21"/>
                <w:szCs w:val="21"/>
                <w:lang w:eastAsia="zh-CN" w:bidi="ar-SA"/>
              </w:rPr>
            </w:pPr>
            <w:r>
              <w:rPr>
                <w:rFonts w:eastAsia="等线"/>
                <w:color w:val="auto"/>
                <w:kern w:val="2"/>
                <w:sz w:val="21"/>
                <w:szCs w:val="21"/>
                <w:lang w:eastAsia="zh-CN" w:bidi="ar-SA"/>
              </w:rPr>
              <w:t>JTS 150-2007</w:t>
            </w:r>
          </w:p>
        </w:tc>
        <w:tc>
          <w:tcPr>
            <w:tcW w:w="4768" w:type="dxa"/>
            <w:vAlign w:val="center"/>
          </w:tcPr>
          <w:p w14:paraId="0C5F87E1">
            <w:pPr>
              <w:jc w:val="both"/>
              <w:rPr>
                <w:rFonts w:hint="eastAsia" w:asciiTheme="minorEastAsia" w:hAnsiTheme="minorEastAsia" w:eastAsiaTheme="minorEastAsia"/>
                <w:color w:val="auto"/>
                <w:kern w:val="2"/>
                <w:sz w:val="21"/>
                <w:szCs w:val="21"/>
                <w:lang w:eastAsia="zh-CN" w:bidi="ar-SA"/>
              </w:rPr>
            </w:pPr>
            <w:r>
              <w:rPr>
                <w:rFonts w:asciiTheme="minorEastAsia" w:hAnsiTheme="minorEastAsia" w:eastAsiaTheme="minorEastAsia"/>
                <w:color w:val="auto"/>
                <w:kern w:val="2"/>
                <w:sz w:val="21"/>
                <w:szCs w:val="21"/>
                <w:lang w:eastAsia="zh-CN" w:bidi="ar-SA"/>
              </w:rPr>
              <w:t>水运工程节能设计规范</w:t>
            </w:r>
          </w:p>
        </w:tc>
      </w:tr>
      <w:tr w14:paraId="768444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exact"/>
          <w:jc w:val="center"/>
        </w:trPr>
        <w:tc>
          <w:tcPr>
            <w:tcW w:w="726" w:type="dxa"/>
            <w:vAlign w:val="center"/>
          </w:tcPr>
          <w:p w14:paraId="547D394A">
            <w:pPr>
              <w:pStyle w:val="94"/>
              <w:numPr>
                <w:ilvl w:val="0"/>
                <w:numId w:val="7"/>
              </w:numPr>
              <w:jc w:val="center"/>
              <w:rPr>
                <w:rFonts w:hint="eastAsia" w:hAnsi="宋体"/>
                <w:color w:val="auto"/>
                <w:kern w:val="2"/>
                <w:sz w:val="21"/>
                <w:szCs w:val="21"/>
              </w:rPr>
            </w:pPr>
          </w:p>
        </w:tc>
        <w:tc>
          <w:tcPr>
            <w:tcW w:w="1202" w:type="dxa"/>
            <w:vMerge w:val="continue"/>
            <w:vAlign w:val="center"/>
          </w:tcPr>
          <w:p w14:paraId="630BBEE5">
            <w:pPr>
              <w:jc w:val="center"/>
              <w:rPr>
                <w:rFonts w:hint="eastAsia" w:hAnsi="宋体" w:eastAsia="宋体"/>
                <w:color w:val="auto"/>
                <w:kern w:val="2"/>
                <w:sz w:val="21"/>
                <w:szCs w:val="21"/>
                <w:lang w:eastAsia="zh-CN" w:bidi="ar-SA"/>
              </w:rPr>
            </w:pPr>
          </w:p>
        </w:tc>
        <w:tc>
          <w:tcPr>
            <w:tcW w:w="2372" w:type="dxa"/>
            <w:vAlign w:val="center"/>
          </w:tcPr>
          <w:p w14:paraId="54A7506D">
            <w:pPr>
              <w:jc w:val="both"/>
              <w:rPr>
                <w:rFonts w:eastAsia="等线"/>
                <w:color w:val="auto"/>
                <w:kern w:val="2"/>
                <w:sz w:val="21"/>
                <w:szCs w:val="21"/>
                <w:lang w:eastAsia="zh-CN" w:bidi="ar-SA"/>
              </w:rPr>
            </w:pPr>
            <w:r>
              <w:rPr>
                <w:rFonts w:eastAsia="等线"/>
                <w:color w:val="auto"/>
                <w:kern w:val="2"/>
                <w:sz w:val="21"/>
                <w:szCs w:val="21"/>
                <w:lang w:eastAsia="zh-CN" w:bidi="ar-SA"/>
              </w:rPr>
              <w:t>JTS 152-2012</w:t>
            </w:r>
          </w:p>
        </w:tc>
        <w:tc>
          <w:tcPr>
            <w:tcW w:w="4768" w:type="dxa"/>
            <w:vAlign w:val="center"/>
          </w:tcPr>
          <w:p w14:paraId="31C53B64">
            <w:pPr>
              <w:jc w:val="both"/>
              <w:rPr>
                <w:rFonts w:hint="eastAsia" w:asciiTheme="minorEastAsia" w:hAnsiTheme="minorEastAsia" w:eastAsiaTheme="minorEastAsia"/>
                <w:color w:val="auto"/>
                <w:kern w:val="2"/>
                <w:sz w:val="21"/>
                <w:szCs w:val="21"/>
                <w:lang w:eastAsia="zh-CN" w:bidi="ar-SA"/>
              </w:rPr>
            </w:pPr>
            <w:r>
              <w:rPr>
                <w:rFonts w:asciiTheme="minorEastAsia" w:hAnsiTheme="minorEastAsia" w:eastAsiaTheme="minorEastAsia"/>
                <w:color w:val="auto"/>
                <w:kern w:val="2"/>
                <w:sz w:val="21"/>
                <w:szCs w:val="21"/>
                <w:lang w:eastAsia="zh-CN" w:bidi="ar-SA"/>
              </w:rPr>
              <w:t>水运工程钢结构设计规范</w:t>
            </w:r>
          </w:p>
        </w:tc>
      </w:tr>
      <w:tr w14:paraId="0DBD02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exact"/>
          <w:jc w:val="center"/>
        </w:trPr>
        <w:tc>
          <w:tcPr>
            <w:tcW w:w="726" w:type="dxa"/>
            <w:vAlign w:val="center"/>
          </w:tcPr>
          <w:p w14:paraId="4B3EB5B7">
            <w:pPr>
              <w:pStyle w:val="94"/>
              <w:numPr>
                <w:ilvl w:val="0"/>
                <w:numId w:val="7"/>
              </w:numPr>
              <w:jc w:val="center"/>
              <w:rPr>
                <w:rFonts w:hint="eastAsia" w:hAnsi="宋体"/>
                <w:color w:val="auto"/>
                <w:kern w:val="2"/>
                <w:sz w:val="21"/>
                <w:szCs w:val="21"/>
              </w:rPr>
            </w:pPr>
          </w:p>
        </w:tc>
        <w:tc>
          <w:tcPr>
            <w:tcW w:w="1202" w:type="dxa"/>
            <w:vMerge w:val="continue"/>
            <w:vAlign w:val="center"/>
          </w:tcPr>
          <w:p w14:paraId="3FCE0DEA">
            <w:pPr>
              <w:jc w:val="center"/>
              <w:rPr>
                <w:rFonts w:hint="eastAsia" w:hAnsi="宋体" w:eastAsia="宋体"/>
                <w:color w:val="auto"/>
                <w:kern w:val="2"/>
                <w:sz w:val="21"/>
                <w:szCs w:val="21"/>
                <w:lang w:eastAsia="zh-CN" w:bidi="ar-SA"/>
              </w:rPr>
            </w:pPr>
          </w:p>
        </w:tc>
        <w:tc>
          <w:tcPr>
            <w:tcW w:w="2372" w:type="dxa"/>
            <w:vAlign w:val="center"/>
          </w:tcPr>
          <w:p w14:paraId="5EF89B14">
            <w:pPr>
              <w:jc w:val="both"/>
              <w:rPr>
                <w:rFonts w:eastAsia="等线"/>
                <w:color w:val="auto"/>
                <w:kern w:val="2"/>
                <w:sz w:val="21"/>
                <w:szCs w:val="21"/>
                <w:lang w:eastAsia="zh-CN" w:bidi="ar-SA"/>
              </w:rPr>
            </w:pPr>
            <w:r>
              <w:rPr>
                <w:rFonts w:eastAsia="等线"/>
                <w:color w:val="auto"/>
                <w:kern w:val="2"/>
                <w:sz w:val="21"/>
                <w:szCs w:val="21"/>
                <w:lang w:eastAsia="zh-CN" w:bidi="ar-SA"/>
              </w:rPr>
              <w:t>JTS 154-1-2011</w:t>
            </w:r>
          </w:p>
        </w:tc>
        <w:tc>
          <w:tcPr>
            <w:tcW w:w="4768" w:type="dxa"/>
            <w:vAlign w:val="center"/>
          </w:tcPr>
          <w:p w14:paraId="02623CA4">
            <w:pPr>
              <w:jc w:val="both"/>
              <w:rPr>
                <w:rFonts w:hint="eastAsia" w:asciiTheme="minorEastAsia" w:hAnsiTheme="minorEastAsia" w:eastAsiaTheme="minorEastAsia"/>
                <w:color w:val="auto"/>
                <w:kern w:val="2"/>
                <w:sz w:val="21"/>
                <w:szCs w:val="21"/>
                <w:lang w:eastAsia="zh-CN" w:bidi="ar-SA"/>
              </w:rPr>
            </w:pPr>
            <w:r>
              <w:rPr>
                <w:rFonts w:asciiTheme="minorEastAsia" w:hAnsiTheme="minorEastAsia" w:eastAsiaTheme="minorEastAsia"/>
                <w:color w:val="auto"/>
                <w:kern w:val="2"/>
                <w:sz w:val="21"/>
                <w:szCs w:val="21"/>
                <w:lang w:eastAsia="zh-CN" w:bidi="ar-SA"/>
              </w:rPr>
              <w:t>防波堤设计与施工规范</w:t>
            </w:r>
          </w:p>
        </w:tc>
      </w:tr>
      <w:tr w14:paraId="32BFBB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exact"/>
          <w:jc w:val="center"/>
        </w:trPr>
        <w:tc>
          <w:tcPr>
            <w:tcW w:w="726" w:type="dxa"/>
            <w:vAlign w:val="center"/>
          </w:tcPr>
          <w:p w14:paraId="27044F1E">
            <w:pPr>
              <w:pStyle w:val="94"/>
              <w:numPr>
                <w:ilvl w:val="0"/>
                <w:numId w:val="7"/>
              </w:numPr>
              <w:jc w:val="center"/>
              <w:rPr>
                <w:rFonts w:hint="eastAsia" w:hAnsi="宋体"/>
                <w:color w:val="auto"/>
                <w:kern w:val="2"/>
                <w:sz w:val="21"/>
                <w:szCs w:val="21"/>
              </w:rPr>
            </w:pPr>
          </w:p>
        </w:tc>
        <w:tc>
          <w:tcPr>
            <w:tcW w:w="1202" w:type="dxa"/>
            <w:vMerge w:val="continue"/>
            <w:vAlign w:val="center"/>
          </w:tcPr>
          <w:p w14:paraId="6B5C0AB0">
            <w:pPr>
              <w:jc w:val="center"/>
              <w:rPr>
                <w:rFonts w:hint="eastAsia" w:hAnsi="宋体" w:eastAsia="宋体"/>
                <w:color w:val="auto"/>
                <w:kern w:val="2"/>
                <w:sz w:val="21"/>
                <w:szCs w:val="21"/>
                <w:lang w:eastAsia="zh-CN" w:bidi="ar-SA"/>
              </w:rPr>
            </w:pPr>
          </w:p>
        </w:tc>
        <w:tc>
          <w:tcPr>
            <w:tcW w:w="2372" w:type="dxa"/>
            <w:vAlign w:val="center"/>
          </w:tcPr>
          <w:p w14:paraId="4512E524">
            <w:pPr>
              <w:jc w:val="both"/>
              <w:rPr>
                <w:rFonts w:eastAsia="等线"/>
                <w:color w:val="auto"/>
                <w:kern w:val="2"/>
                <w:sz w:val="21"/>
                <w:szCs w:val="21"/>
                <w:lang w:eastAsia="zh-CN" w:bidi="ar-SA"/>
              </w:rPr>
            </w:pPr>
            <w:r>
              <w:rPr>
                <w:rFonts w:eastAsia="等线"/>
                <w:color w:val="auto"/>
                <w:kern w:val="2"/>
                <w:sz w:val="21"/>
                <w:szCs w:val="21"/>
                <w:lang w:eastAsia="zh-CN" w:bidi="ar-SA"/>
              </w:rPr>
              <w:t>JTS 201-2011</w:t>
            </w:r>
          </w:p>
        </w:tc>
        <w:tc>
          <w:tcPr>
            <w:tcW w:w="4768" w:type="dxa"/>
            <w:vAlign w:val="center"/>
          </w:tcPr>
          <w:p w14:paraId="00ED82CE">
            <w:pPr>
              <w:jc w:val="both"/>
              <w:rPr>
                <w:rFonts w:hint="eastAsia" w:asciiTheme="minorEastAsia" w:hAnsiTheme="minorEastAsia" w:eastAsiaTheme="minorEastAsia"/>
                <w:color w:val="auto"/>
                <w:kern w:val="2"/>
                <w:sz w:val="21"/>
                <w:szCs w:val="21"/>
                <w:lang w:eastAsia="zh-CN" w:bidi="ar-SA"/>
              </w:rPr>
            </w:pPr>
            <w:r>
              <w:rPr>
                <w:rFonts w:asciiTheme="minorEastAsia" w:hAnsiTheme="minorEastAsia" w:eastAsiaTheme="minorEastAsia"/>
                <w:color w:val="auto"/>
                <w:kern w:val="2"/>
                <w:sz w:val="21"/>
                <w:szCs w:val="21"/>
                <w:lang w:eastAsia="zh-CN" w:bidi="ar-SA"/>
              </w:rPr>
              <w:t>水运工程施工通则</w:t>
            </w:r>
          </w:p>
        </w:tc>
      </w:tr>
      <w:tr w14:paraId="7B7160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exact"/>
          <w:jc w:val="center"/>
        </w:trPr>
        <w:tc>
          <w:tcPr>
            <w:tcW w:w="726" w:type="dxa"/>
            <w:vAlign w:val="center"/>
          </w:tcPr>
          <w:p w14:paraId="008727D7">
            <w:pPr>
              <w:pStyle w:val="94"/>
              <w:numPr>
                <w:ilvl w:val="0"/>
                <w:numId w:val="7"/>
              </w:numPr>
              <w:jc w:val="center"/>
              <w:rPr>
                <w:rFonts w:hint="eastAsia" w:hAnsi="宋体"/>
                <w:color w:val="auto"/>
                <w:kern w:val="2"/>
                <w:sz w:val="21"/>
                <w:szCs w:val="21"/>
              </w:rPr>
            </w:pPr>
          </w:p>
        </w:tc>
        <w:tc>
          <w:tcPr>
            <w:tcW w:w="1202" w:type="dxa"/>
            <w:vMerge w:val="continue"/>
            <w:vAlign w:val="center"/>
          </w:tcPr>
          <w:p w14:paraId="5C1001CA">
            <w:pPr>
              <w:jc w:val="center"/>
              <w:rPr>
                <w:rFonts w:hint="eastAsia" w:hAnsi="宋体" w:eastAsia="宋体"/>
                <w:color w:val="auto"/>
                <w:kern w:val="2"/>
                <w:sz w:val="21"/>
                <w:szCs w:val="21"/>
                <w:lang w:eastAsia="zh-CN" w:bidi="ar-SA"/>
              </w:rPr>
            </w:pPr>
          </w:p>
        </w:tc>
        <w:tc>
          <w:tcPr>
            <w:tcW w:w="2372" w:type="dxa"/>
            <w:vAlign w:val="center"/>
          </w:tcPr>
          <w:p w14:paraId="6D2177B0">
            <w:pPr>
              <w:jc w:val="both"/>
              <w:rPr>
                <w:rFonts w:eastAsia="等线"/>
                <w:color w:val="auto"/>
                <w:kern w:val="2"/>
                <w:sz w:val="21"/>
                <w:szCs w:val="21"/>
                <w:lang w:eastAsia="zh-CN" w:bidi="ar-SA"/>
              </w:rPr>
            </w:pPr>
            <w:r>
              <w:rPr>
                <w:rFonts w:eastAsia="等线"/>
                <w:color w:val="auto"/>
                <w:kern w:val="2"/>
                <w:sz w:val="21"/>
                <w:szCs w:val="21"/>
                <w:lang w:eastAsia="zh-CN" w:bidi="ar-SA"/>
              </w:rPr>
              <w:t>JTS 204-2008</w:t>
            </w:r>
          </w:p>
        </w:tc>
        <w:tc>
          <w:tcPr>
            <w:tcW w:w="4768" w:type="dxa"/>
            <w:vAlign w:val="center"/>
          </w:tcPr>
          <w:p w14:paraId="37F98BB5">
            <w:pPr>
              <w:jc w:val="both"/>
              <w:rPr>
                <w:rFonts w:hint="eastAsia" w:asciiTheme="minorEastAsia" w:hAnsiTheme="minorEastAsia" w:eastAsiaTheme="minorEastAsia"/>
                <w:color w:val="auto"/>
                <w:kern w:val="2"/>
                <w:sz w:val="21"/>
                <w:szCs w:val="21"/>
                <w:lang w:eastAsia="zh-CN" w:bidi="ar-SA"/>
              </w:rPr>
            </w:pPr>
            <w:r>
              <w:rPr>
                <w:rFonts w:asciiTheme="minorEastAsia" w:hAnsiTheme="minorEastAsia" w:eastAsiaTheme="minorEastAsia"/>
                <w:color w:val="auto"/>
                <w:kern w:val="2"/>
                <w:sz w:val="21"/>
                <w:szCs w:val="21"/>
                <w:lang w:eastAsia="zh-CN" w:bidi="ar-SA"/>
              </w:rPr>
              <w:t>水运工程爆破技术规范</w:t>
            </w:r>
          </w:p>
        </w:tc>
      </w:tr>
      <w:tr w14:paraId="78A811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exact"/>
          <w:jc w:val="center"/>
        </w:trPr>
        <w:tc>
          <w:tcPr>
            <w:tcW w:w="726" w:type="dxa"/>
            <w:vAlign w:val="center"/>
          </w:tcPr>
          <w:p w14:paraId="478E9A89">
            <w:pPr>
              <w:pStyle w:val="94"/>
              <w:numPr>
                <w:ilvl w:val="0"/>
                <w:numId w:val="7"/>
              </w:numPr>
              <w:jc w:val="center"/>
              <w:rPr>
                <w:rFonts w:hint="eastAsia" w:hAnsi="宋体"/>
                <w:color w:val="auto"/>
                <w:kern w:val="2"/>
                <w:sz w:val="21"/>
                <w:szCs w:val="21"/>
              </w:rPr>
            </w:pPr>
          </w:p>
        </w:tc>
        <w:tc>
          <w:tcPr>
            <w:tcW w:w="1202" w:type="dxa"/>
            <w:vMerge w:val="continue"/>
            <w:vAlign w:val="center"/>
          </w:tcPr>
          <w:p w14:paraId="44CB436D">
            <w:pPr>
              <w:jc w:val="center"/>
              <w:rPr>
                <w:rFonts w:hint="eastAsia" w:hAnsi="宋体" w:eastAsia="宋体"/>
                <w:color w:val="auto"/>
                <w:kern w:val="2"/>
                <w:sz w:val="21"/>
                <w:szCs w:val="21"/>
                <w:lang w:eastAsia="zh-CN" w:bidi="ar-SA"/>
              </w:rPr>
            </w:pPr>
          </w:p>
        </w:tc>
        <w:tc>
          <w:tcPr>
            <w:tcW w:w="2372" w:type="dxa"/>
            <w:vAlign w:val="center"/>
          </w:tcPr>
          <w:p w14:paraId="44E67547">
            <w:pPr>
              <w:jc w:val="both"/>
              <w:rPr>
                <w:rFonts w:eastAsia="等线"/>
                <w:color w:val="auto"/>
                <w:kern w:val="2"/>
                <w:sz w:val="21"/>
                <w:szCs w:val="21"/>
                <w:lang w:eastAsia="zh-CN" w:bidi="ar-SA"/>
              </w:rPr>
            </w:pPr>
            <w:r>
              <w:rPr>
                <w:rFonts w:eastAsia="等线"/>
                <w:color w:val="auto"/>
                <w:kern w:val="2"/>
                <w:sz w:val="21"/>
                <w:szCs w:val="21"/>
                <w:lang w:eastAsia="zh-CN" w:bidi="ar-SA"/>
              </w:rPr>
              <w:t>JTS 205-1-2008</w:t>
            </w:r>
          </w:p>
        </w:tc>
        <w:tc>
          <w:tcPr>
            <w:tcW w:w="4768" w:type="dxa"/>
            <w:vAlign w:val="center"/>
          </w:tcPr>
          <w:p w14:paraId="582E05F9">
            <w:pPr>
              <w:jc w:val="both"/>
              <w:rPr>
                <w:rFonts w:hint="eastAsia" w:asciiTheme="minorEastAsia" w:hAnsiTheme="minorEastAsia" w:eastAsiaTheme="minorEastAsia"/>
                <w:color w:val="auto"/>
                <w:kern w:val="2"/>
                <w:sz w:val="21"/>
                <w:szCs w:val="21"/>
                <w:lang w:eastAsia="zh-CN" w:bidi="ar-SA"/>
              </w:rPr>
            </w:pPr>
            <w:r>
              <w:rPr>
                <w:rFonts w:asciiTheme="minorEastAsia" w:hAnsiTheme="minorEastAsia" w:eastAsiaTheme="minorEastAsia"/>
                <w:color w:val="auto"/>
                <w:kern w:val="2"/>
                <w:sz w:val="21"/>
                <w:szCs w:val="21"/>
                <w:lang w:eastAsia="zh-CN" w:bidi="ar-SA"/>
              </w:rPr>
              <w:t>水运工程施工安全防护技术规范</w:t>
            </w:r>
          </w:p>
        </w:tc>
      </w:tr>
      <w:tr w14:paraId="2A9C65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exact"/>
          <w:jc w:val="center"/>
        </w:trPr>
        <w:tc>
          <w:tcPr>
            <w:tcW w:w="726" w:type="dxa"/>
            <w:vAlign w:val="center"/>
          </w:tcPr>
          <w:p w14:paraId="62C19D5A">
            <w:pPr>
              <w:pStyle w:val="94"/>
              <w:numPr>
                <w:ilvl w:val="0"/>
                <w:numId w:val="7"/>
              </w:numPr>
              <w:jc w:val="center"/>
              <w:rPr>
                <w:rFonts w:hint="eastAsia" w:hAnsi="宋体"/>
                <w:color w:val="auto"/>
                <w:kern w:val="2"/>
                <w:sz w:val="21"/>
                <w:szCs w:val="21"/>
              </w:rPr>
            </w:pPr>
          </w:p>
        </w:tc>
        <w:tc>
          <w:tcPr>
            <w:tcW w:w="1202" w:type="dxa"/>
            <w:vMerge w:val="continue"/>
            <w:vAlign w:val="center"/>
          </w:tcPr>
          <w:p w14:paraId="38BE78B6">
            <w:pPr>
              <w:jc w:val="center"/>
              <w:rPr>
                <w:rFonts w:hint="eastAsia" w:hAnsi="宋体" w:eastAsia="宋体"/>
                <w:color w:val="auto"/>
                <w:kern w:val="2"/>
                <w:sz w:val="21"/>
                <w:szCs w:val="21"/>
                <w:lang w:eastAsia="zh-CN" w:bidi="ar-SA"/>
              </w:rPr>
            </w:pPr>
          </w:p>
        </w:tc>
        <w:tc>
          <w:tcPr>
            <w:tcW w:w="2372" w:type="dxa"/>
            <w:vAlign w:val="center"/>
          </w:tcPr>
          <w:p w14:paraId="7E29B0FC">
            <w:pPr>
              <w:jc w:val="both"/>
              <w:rPr>
                <w:rFonts w:eastAsia="等线"/>
                <w:color w:val="auto"/>
                <w:kern w:val="2"/>
                <w:sz w:val="21"/>
                <w:szCs w:val="21"/>
                <w:lang w:eastAsia="zh-CN" w:bidi="ar-SA"/>
              </w:rPr>
            </w:pPr>
            <w:r>
              <w:rPr>
                <w:rFonts w:eastAsia="等线"/>
                <w:color w:val="auto"/>
                <w:kern w:val="2"/>
                <w:sz w:val="21"/>
                <w:szCs w:val="21"/>
                <w:lang w:eastAsia="zh-CN" w:bidi="ar-SA"/>
              </w:rPr>
              <w:t>JTS 252-2015</w:t>
            </w:r>
          </w:p>
        </w:tc>
        <w:tc>
          <w:tcPr>
            <w:tcW w:w="4768" w:type="dxa"/>
            <w:vAlign w:val="center"/>
          </w:tcPr>
          <w:p w14:paraId="2077AFB5">
            <w:pPr>
              <w:jc w:val="both"/>
              <w:rPr>
                <w:rFonts w:hint="eastAsia" w:asciiTheme="minorEastAsia" w:hAnsiTheme="minorEastAsia" w:eastAsiaTheme="minorEastAsia"/>
                <w:color w:val="auto"/>
                <w:kern w:val="2"/>
                <w:sz w:val="21"/>
                <w:szCs w:val="21"/>
                <w:lang w:eastAsia="zh-CN" w:bidi="ar-SA"/>
              </w:rPr>
            </w:pPr>
            <w:r>
              <w:rPr>
                <w:rFonts w:asciiTheme="minorEastAsia" w:hAnsiTheme="minorEastAsia" w:eastAsiaTheme="minorEastAsia"/>
                <w:color w:val="auto"/>
                <w:kern w:val="2"/>
                <w:sz w:val="21"/>
                <w:szCs w:val="21"/>
                <w:lang w:eastAsia="zh-CN" w:bidi="ar-SA"/>
              </w:rPr>
              <w:t>水运工程施工监理规范</w:t>
            </w:r>
          </w:p>
        </w:tc>
      </w:tr>
      <w:tr w14:paraId="4E5550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exact"/>
          <w:jc w:val="center"/>
        </w:trPr>
        <w:tc>
          <w:tcPr>
            <w:tcW w:w="726" w:type="dxa"/>
            <w:vAlign w:val="center"/>
          </w:tcPr>
          <w:p w14:paraId="4CEDF866">
            <w:pPr>
              <w:pStyle w:val="94"/>
              <w:numPr>
                <w:ilvl w:val="0"/>
                <w:numId w:val="7"/>
              </w:numPr>
              <w:jc w:val="center"/>
              <w:rPr>
                <w:rFonts w:hint="eastAsia" w:hAnsi="宋体"/>
                <w:color w:val="auto"/>
                <w:kern w:val="2"/>
                <w:sz w:val="21"/>
                <w:szCs w:val="21"/>
              </w:rPr>
            </w:pPr>
          </w:p>
        </w:tc>
        <w:tc>
          <w:tcPr>
            <w:tcW w:w="1202" w:type="dxa"/>
            <w:vMerge w:val="continue"/>
            <w:vAlign w:val="center"/>
          </w:tcPr>
          <w:p w14:paraId="605F3D4A">
            <w:pPr>
              <w:jc w:val="center"/>
              <w:rPr>
                <w:rFonts w:hint="eastAsia" w:hAnsi="宋体" w:eastAsia="宋体"/>
                <w:color w:val="auto"/>
                <w:kern w:val="2"/>
                <w:sz w:val="21"/>
                <w:szCs w:val="21"/>
                <w:lang w:eastAsia="zh-CN" w:bidi="ar-SA"/>
              </w:rPr>
            </w:pPr>
          </w:p>
        </w:tc>
        <w:tc>
          <w:tcPr>
            <w:tcW w:w="2372" w:type="dxa"/>
            <w:vAlign w:val="center"/>
          </w:tcPr>
          <w:p w14:paraId="40BF30BA">
            <w:pPr>
              <w:jc w:val="both"/>
              <w:rPr>
                <w:rFonts w:eastAsia="等线"/>
                <w:color w:val="auto"/>
                <w:kern w:val="2"/>
                <w:sz w:val="21"/>
                <w:szCs w:val="21"/>
                <w:lang w:eastAsia="zh-CN" w:bidi="ar-SA"/>
              </w:rPr>
            </w:pPr>
            <w:r>
              <w:rPr>
                <w:rFonts w:eastAsia="等线"/>
                <w:color w:val="auto"/>
                <w:kern w:val="2"/>
                <w:sz w:val="21"/>
                <w:szCs w:val="21"/>
                <w:lang w:eastAsia="zh-CN" w:bidi="ar-SA"/>
              </w:rPr>
              <w:t>JTJ 239-2005</w:t>
            </w:r>
          </w:p>
        </w:tc>
        <w:tc>
          <w:tcPr>
            <w:tcW w:w="4768" w:type="dxa"/>
            <w:vAlign w:val="center"/>
          </w:tcPr>
          <w:p w14:paraId="01BD182E">
            <w:pPr>
              <w:jc w:val="both"/>
              <w:rPr>
                <w:rFonts w:hint="eastAsia" w:asciiTheme="minorEastAsia" w:hAnsiTheme="minorEastAsia" w:eastAsiaTheme="minorEastAsia"/>
                <w:color w:val="auto"/>
                <w:kern w:val="2"/>
                <w:sz w:val="21"/>
                <w:szCs w:val="21"/>
                <w:lang w:eastAsia="zh-CN" w:bidi="ar-SA"/>
              </w:rPr>
            </w:pPr>
            <w:r>
              <w:rPr>
                <w:rFonts w:asciiTheme="minorEastAsia" w:hAnsiTheme="minorEastAsia" w:eastAsiaTheme="minorEastAsia"/>
                <w:color w:val="auto"/>
                <w:kern w:val="2"/>
                <w:sz w:val="21"/>
                <w:szCs w:val="21"/>
                <w:lang w:eastAsia="zh-CN" w:bidi="ar-SA"/>
              </w:rPr>
              <w:t>水运工程土工合成材料应用技术规范</w:t>
            </w:r>
          </w:p>
        </w:tc>
      </w:tr>
      <w:tr w14:paraId="185DEE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7" w:hRule="exact"/>
          <w:jc w:val="center"/>
        </w:trPr>
        <w:tc>
          <w:tcPr>
            <w:tcW w:w="726" w:type="dxa"/>
            <w:vAlign w:val="center"/>
          </w:tcPr>
          <w:p w14:paraId="3A007277">
            <w:pPr>
              <w:pStyle w:val="94"/>
              <w:numPr>
                <w:ilvl w:val="0"/>
                <w:numId w:val="7"/>
              </w:numPr>
              <w:jc w:val="center"/>
              <w:rPr>
                <w:rFonts w:hint="eastAsia" w:hAnsi="宋体"/>
                <w:color w:val="auto"/>
                <w:kern w:val="2"/>
                <w:sz w:val="21"/>
                <w:szCs w:val="21"/>
              </w:rPr>
            </w:pPr>
          </w:p>
        </w:tc>
        <w:tc>
          <w:tcPr>
            <w:tcW w:w="1202" w:type="dxa"/>
            <w:vMerge w:val="continue"/>
            <w:vAlign w:val="center"/>
          </w:tcPr>
          <w:p w14:paraId="3E341B05">
            <w:pPr>
              <w:jc w:val="center"/>
              <w:rPr>
                <w:rFonts w:hint="eastAsia" w:hAnsi="宋体" w:eastAsia="宋体"/>
                <w:color w:val="auto"/>
                <w:kern w:val="2"/>
                <w:sz w:val="21"/>
                <w:szCs w:val="21"/>
                <w:lang w:eastAsia="zh-CN" w:bidi="ar-SA"/>
              </w:rPr>
            </w:pPr>
          </w:p>
        </w:tc>
        <w:tc>
          <w:tcPr>
            <w:tcW w:w="2372" w:type="dxa"/>
            <w:vAlign w:val="center"/>
          </w:tcPr>
          <w:p w14:paraId="6FFD55D9">
            <w:pPr>
              <w:jc w:val="both"/>
              <w:rPr>
                <w:rFonts w:eastAsia="等线"/>
                <w:color w:val="auto"/>
                <w:kern w:val="2"/>
                <w:sz w:val="21"/>
                <w:szCs w:val="21"/>
                <w:lang w:eastAsia="zh-CN" w:bidi="ar-SA"/>
              </w:rPr>
            </w:pPr>
            <w:r>
              <w:rPr>
                <w:rFonts w:eastAsia="等线"/>
                <w:color w:val="auto"/>
                <w:kern w:val="2"/>
                <w:sz w:val="21"/>
                <w:szCs w:val="21"/>
                <w:lang w:eastAsia="zh-CN" w:bidi="ar-SA"/>
              </w:rPr>
              <w:t>JTS 257-2008</w:t>
            </w:r>
          </w:p>
        </w:tc>
        <w:tc>
          <w:tcPr>
            <w:tcW w:w="4768" w:type="dxa"/>
            <w:vAlign w:val="center"/>
          </w:tcPr>
          <w:p w14:paraId="64D34729">
            <w:pPr>
              <w:jc w:val="both"/>
              <w:rPr>
                <w:rFonts w:hint="eastAsia" w:asciiTheme="minorEastAsia" w:hAnsiTheme="minorEastAsia" w:eastAsiaTheme="minorEastAsia"/>
                <w:color w:val="auto"/>
                <w:kern w:val="2"/>
                <w:sz w:val="21"/>
                <w:szCs w:val="21"/>
                <w:lang w:eastAsia="zh-CN" w:bidi="ar-SA"/>
              </w:rPr>
            </w:pPr>
            <w:r>
              <w:rPr>
                <w:rFonts w:hint="eastAsia" w:asciiTheme="minorEastAsia" w:hAnsiTheme="minorEastAsia" w:eastAsiaTheme="minorEastAsia"/>
                <w:color w:val="auto"/>
                <w:kern w:val="2"/>
                <w:sz w:val="21"/>
                <w:szCs w:val="21"/>
                <w:lang w:eastAsia="zh-CN" w:bidi="ar-SA"/>
              </w:rPr>
              <w:t>水运工程质量检验标准</w:t>
            </w:r>
            <w:r>
              <w:rPr>
                <w:rFonts w:hint="eastAsia" w:asciiTheme="minorEastAsia" w:hAnsiTheme="minorEastAsia" w:eastAsiaTheme="minorEastAsia"/>
                <w:color w:val="auto"/>
                <w:kern w:val="2"/>
                <w:sz w:val="21"/>
                <w:szCs w:val="21"/>
                <w:lang w:eastAsia="zh-CN" w:bidi="ar-SA"/>
              </w:rPr>
              <w:br w:type="textWrapping"/>
            </w:r>
            <w:r>
              <w:rPr>
                <w:rFonts w:hint="eastAsia" w:asciiTheme="minorEastAsia" w:hAnsiTheme="minorEastAsia" w:eastAsiaTheme="minorEastAsia"/>
                <w:color w:val="auto"/>
                <w:kern w:val="2"/>
                <w:sz w:val="21"/>
                <w:szCs w:val="21"/>
                <w:lang w:eastAsia="zh-CN" w:bidi="ar-SA"/>
              </w:rPr>
              <w:t>交通运输部公告</w:t>
            </w:r>
            <w:r>
              <w:rPr>
                <w:rFonts w:asciiTheme="minorEastAsia" w:hAnsiTheme="minorEastAsia" w:eastAsiaTheme="minorEastAsia"/>
                <w:color w:val="auto"/>
                <w:kern w:val="2"/>
                <w:sz w:val="21"/>
                <w:szCs w:val="21"/>
                <w:lang w:eastAsia="zh-CN" w:bidi="ar-SA"/>
              </w:rPr>
              <w:t>2015</w:t>
            </w:r>
            <w:r>
              <w:rPr>
                <w:rFonts w:hint="eastAsia" w:asciiTheme="minorEastAsia" w:hAnsiTheme="minorEastAsia" w:eastAsiaTheme="minorEastAsia"/>
                <w:color w:val="auto"/>
                <w:kern w:val="2"/>
                <w:sz w:val="21"/>
                <w:szCs w:val="21"/>
                <w:lang w:eastAsia="zh-CN" w:bidi="ar-SA"/>
              </w:rPr>
              <w:t>年第</w:t>
            </w:r>
            <w:r>
              <w:rPr>
                <w:rFonts w:asciiTheme="minorEastAsia" w:hAnsiTheme="minorEastAsia" w:eastAsiaTheme="minorEastAsia"/>
                <w:color w:val="auto"/>
                <w:kern w:val="2"/>
                <w:sz w:val="21"/>
                <w:szCs w:val="21"/>
                <w:lang w:eastAsia="zh-CN" w:bidi="ar-SA"/>
              </w:rPr>
              <w:t>35</w:t>
            </w:r>
            <w:r>
              <w:rPr>
                <w:rFonts w:hint="eastAsia" w:asciiTheme="minorEastAsia" w:hAnsiTheme="minorEastAsia" w:eastAsiaTheme="minorEastAsia"/>
                <w:color w:val="auto"/>
                <w:kern w:val="2"/>
                <w:sz w:val="21"/>
                <w:szCs w:val="21"/>
                <w:lang w:eastAsia="zh-CN" w:bidi="ar-SA"/>
              </w:rPr>
              <w:t>号局部修订（航道整治工程质量检验部分）</w:t>
            </w:r>
          </w:p>
        </w:tc>
      </w:tr>
      <w:tr w14:paraId="290D52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exact"/>
          <w:jc w:val="center"/>
        </w:trPr>
        <w:tc>
          <w:tcPr>
            <w:tcW w:w="726" w:type="dxa"/>
            <w:vAlign w:val="center"/>
          </w:tcPr>
          <w:p w14:paraId="668BC3DB">
            <w:pPr>
              <w:pStyle w:val="94"/>
              <w:numPr>
                <w:ilvl w:val="0"/>
                <w:numId w:val="7"/>
              </w:numPr>
              <w:jc w:val="center"/>
              <w:rPr>
                <w:rFonts w:hint="eastAsia" w:hAnsi="宋体"/>
                <w:color w:val="auto"/>
                <w:kern w:val="2"/>
                <w:sz w:val="21"/>
                <w:szCs w:val="21"/>
              </w:rPr>
            </w:pPr>
          </w:p>
        </w:tc>
        <w:tc>
          <w:tcPr>
            <w:tcW w:w="1202" w:type="dxa"/>
            <w:vMerge w:val="continue"/>
            <w:vAlign w:val="center"/>
          </w:tcPr>
          <w:p w14:paraId="1AE59821">
            <w:pPr>
              <w:jc w:val="center"/>
              <w:rPr>
                <w:rFonts w:hint="eastAsia" w:hAnsi="宋体" w:eastAsia="宋体"/>
                <w:color w:val="auto"/>
                <w:kern w:val="2"/>
                <w:sz w:val="21"/>
                <w:szCs w:val="21"/>
                <w:lang w:eastAsia="zh-CN" w:bidi="ar-SA"/>
              </w:rPr>
            </w:pPr>
          </w:p>
        </w:tc>
        <w:tc>
          <w:tcPr>
            <w:tcW w:w="2372" w:type="dxa"/>
            <w:vAlign w:val="center"/>
          </w:tcPr>
          <w:p w14:paraId="7509EF38">
            <w:pPr>
              <w:jc w:val="both"/>
              <w:rPr>
                <w:rFonts w:eastAsia="等线"/>
                <w:color w:val="auto"/>
                <w:kern w:val="2"/>
                <w:sz w:val="21"/>
                <w:szCs w:val="21"/>
                <w:lang w:eastAsia="zh-CN" w:bidi="ar-SA"/>
              </w:rPr>
            </w:pPr>
            <w:r>
              <w:rPr>
                <w:rFonts w:eastAsia="等线"/>
                <w:color w:val="auto"/>
                <w:kern w:val="2"/>
                <w:sz w:val="21"/>
                <w:szCs w:val="21"/>
                <w:lang w:eastAsia="zh-CN" w:bidi="ar-SA"/>
              </w:rPr>
              <w:t>JTJ 300-2000</w:t>
            </w:r>
          </w:p>
        </w:tc>
        <w:tc>
          <w:tcPr>
            <w:tcW w:w="4768" w:type="dxa"/>
            <w:vAlign w:val="center"/>
          </w:tcPr>
          <w:p w14:paraId="192B3141">
            <w:pPr>
              <w:jc w:val="both"/>
              <w:rPr>
                <w:rFonts w:hint="eastAsia" w:asciiTheme="minorEastAsia" w:hAnsiTheme="minorEastAsia" w:eastAsiaTheme="minorEastAsia"/>
                <w:color w:val="auto"/>
                <w:kern w:val="2"/>
                <w:sz w:val="21"/>
                <w:szCs w:val="21"/>
                <w:lang w:eastAsia="zh-CN" w:bidi="ar-SA"/>
              </w:rPr>
            </w:pPr>
            <w:r>
              <w:rPr>
                <w:rFonts w:asciiTheme="minorEastAsia" w:hAnsiTheme="minorEastAsia" w:eastAsiaTheme="minorEastAsia"/>
                <w:color w:val="auto"/>
                <w:kern w:val="2"/>
                <w:sz w:val="21"/>
                <w:szCs w:val="21"/>
                <w:lang w:eastAsia="zh-CN" w:bidi="ar-SA"/>
              </w:rPr>
              <w:t>港口及航道护岸工程设计与施工规范</w:t>
            </w:r>
          </w:p>
        </w:tc>
      </w:tr>
      <w:tr w14:paraId="7DC6D4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exact"/>
          <w:jc w:val="center"/>
        </w:trPr>
        <w:tc>
          <w:tcPr>
            <w:tcW w:w="726" w:type="dxa"/>
            <w:vAlign w:val="center"/>
          </w:tcPr>
          <w:p w14:paraId="7F21A6D9">
            <w:pPr>
              <w:pStyle w:val="94"/>
              <w:numPr>
                <w:ilvl w:val="0"/>
                <w:numId w:val="7"/>
              </w:numPr>
              <w:jc w:val="center"/>
              <w:rPr>
                <w:rFonts w:hint="eastAsia" w:hAnsi="宋体"/>
                <w:color w:val="auto"/>
                <w:kern w:val="2"/>
                <w:sz w:val="21"/>
                <w:szCs w:val="21"/>
              </w:rPr>
            </w:pPr>
          </w:p>
        </w:tc>
        <w:tc>
          <w:tcPr>
            <w:tcW w:w="1202" w:type="dxa"/>
            <w:vMerge w:val="continue"/>
            <w:vAlign w:val="center"/>
          </w:tcPr>
          <w:p w14:paraId="490ACA31">
            <w:pPr>
              <w:jc w:val="center"/>
              <w:rPr>
                <w:rFonts w:hint="eastAsia" w:hAnsi="宋体" w:eastAsia="宋体"/>
                <w:color w:val="auto"/>
                <w:kern w:val="2"/>
                <w:sz w:val="21"/>
                <w:szCs w:val="21"/>
                <w:lang w:eastAsia="zh-CN" w:bidi="ar-SA"/>
              </w:rPr>
            </w:pPr>
          </w:p>
        </w:tc>
        <w:tc>
          <w:tcPr>
            <w:tcW w:w="2372" w:type="dxa"/>
            <w:vAlign w:val="center"/>
          </w:tcPr>
          <w:p w14:paraId="3DFBA147">
            <w:pPr>
              <w:jc w:val="both"/>
              <w:rPr>
                <w:rFonts w:eastAsia="等线"/>
                <w:color w:val="auto"/>
                <w:kern w:val="2"/>
                <w:sz w:val="21"/>
                <w:szCs w:val="21"/>
                <w:lang w:eastAsia="zh-CN" w:bidi="ar-SA"/>
              </w:rPr>
            </w:pPr>
            <w:r>
              <w:rPr>
                <w:rFonts w:eastAsia="等线"/>
                <w:color w:val="auto"/>
                <w:kern w:val="2"/>
                <w:sz w:val="21"/>
                <w:szCs w:val="21"/>
                <w:lang w:eastAsia="zh-CN" w:bidi="ar-SA"/>
              </w:rPr>
              <w:t>JTS 153-2015</w:t>
            </w:r>
          </w:p>
        </w:tc>
        <w:tc>
          <w:tcPr>
            <w:tcW w:w="4768" w:type="dxa"/>
            <w:vAlign w:val="center"/>
          </w:tcPr>
          <w:p w14:paraId="7966F4B6">
            <w:pPr>
              <w:widowControl/>
              <w:rPr>
                <w:rFonts w:hint="eastAsia" w:asciiTheme="minorEastAsia" w:hAnsiTheme="minorEastAsia" w:eastAsiaTheme="minorEastAsia"/>
                <w:color w:val="auto"/>
                <w:sz w:val="21"/>
                <w:szCs w:val="21"/>
                <w:lang w:eastAsia="zh-CN" w:bidi="ar-SA"/>
              </w:rPr>
            </w:pPr>
            <w:r>
              <w:rPr>
                <w:rFonts w:hint="eastAsia" w:asciiTheme="minorEastAsia" w:hAnsiTheme="minorEastAsia" w:eastAsiaTheme="minorEastAsia"/>
                <w:color w:val="auto"/>
                <w:kern w:val="2"/>
                <w:sz w:val="21"/>
                <w:szCs w:val="21"/>
                <w:lang w:eastAsia="zh-CN" w:bidi="ar-SA"/>
              </w:rPr>
              <w:t>水运工程结构耐久性设计标准</w:t>
            </w:r>
          </w:p>
        </w:tc>
      </w:tr>
      <w:tr w14:paraId="0F34FD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exact"/>
          <w:jc w:val="center"/>
        </w:trPr>
        <w:tc>
          <w:tcPr>
            <w:tcW w:w="726" w:type="dxa"/>
            <w:vAlign w:val="center"/>
          </w:tcPr>
          <w:p w14:paraId="4FDC42C8">
            <w:pPr>
              <w:pStyle w:val="94"/>
              <w:numPr>
                <w:ilvl w:val="0"/>
                <w:numId w:val="7"/>
              </w:numPr>
              <w:jc w:val="center"/>
              <w:rPr>
                <w:rFonts w:hint="eastAsia" w:hAnsi="宋体"/>
                <w:color w:val="auto"/>
                <w:kern w:val="2"/>
                <w:sz w:val="21"/>
                <w:szCs w:val="21"/>
              </w:rPr>
            </w:pPr>
          </w:p>
        </w:tc>
        <w:tc>
          <w:tcPr>
            <w:tcW w:w="1202" w:type="dxa"/>
            <w:vMerge w:val="continue"/>
            <w:vAlign w:val="center"/>
          </w:tcPr>
          <w:p w14:paraId="4FFAD0B1">
            <w:pPr>
              <w:jc w:val="center"/>
              <w:rPr>
                <w:rFonts w:hint="eastAsia" w:hAnsi="宋体" w:eastAsia="宋体"/>
                <w:color w:val="auto"/>
                <w:kern w:val="2"/>
                <w:sz w:val="21"/>
                <w:szCs w:val="21"/>
                <w:lang w:eastAsia="zh-CN" w:bidi="ar-SA"/>
              </w:rPr>
            </w:pPr>
          </w:p>
        </w:tc>
        <w:tc>
          <w:tcPr>
            <w:tcW w:w="2372" w:type="dxa"/>
            <w:vAlign w:val="center"/>
          </w:tcPr>
          <w:p w14:paraId="6424EE90">
            <w:pPr>
              <w:jc w:val="both"/>
              <w:rPr>
                <w:rFonts w:eastAsia="等线"/>
                <w:color w:val="auto"/>
                <w:kern w:val="2"/>
                <w:sz w:val="21"/>
                <w:szCs w:val="21"/>
                <w:lang w:eastAsia="zh-CN" w:bidi="ar-SA"/>
              </w:rPr>
            </w:pPr>
            <w:r>
              <w:rPr>
                <w:rFonts w:eastAsia="等线"/>
                <w:color w:val="auto"/>
                <w:kern w:val="2"/>
                <w:sz w:val="21"/>
                <w:szCs w:val="21"/>
                <w:lang w:eastAsia="zh-CN" w:bidi="ar-SA"/>
              </w:rPr>
              <w:t>JTST/T106</w:t>
            </w:r>
            <w:r>
              <w:rPr>
                <w:rFonts w:hint="eastAsia" w:eastAsia="宋体"/>
                <w:color w:val="auto"/>
                <w:kern w:val="2"/>
                <w:sz w:val="21"/>
                <w:szCs w:val="21"/>
                <w:lang w:eastAsia="zh-CN" w:bidi="ar-SA"/>
              </w:rPr>
              <w:t>－</w:t>
            </w:r>
            <w:r>
              <w:rPr>
                <w:rFonts w:eastAsia="等线"/>
                <w:color w:val="auto"/>
                <w:kern w:val="2"/>
                <w:sz w:val="21"/>
                <w:szCs w:val="21"/>
                <w:lang w:eastAsia="zh-CN" w:bidi="ar-SA"/>
              </w:rPr>
              <w:t>2016</w:t>
            </w:r>
          </w:p>
        </w:tc>
        <w:tc>
          <w:tcPr>
            <w:tcW w:w="4768" w:type="dxa"/>
            <w:vAlign w:val="center"/>
          </w:tcPr>
          <w:p w14:paraId="77E10976">
            <w:pPr>
              <w:jc w:val="both"/>
              <w:rPr>
                <w:rFonts w:hint="eastAsia" w:cs="宋体" w:asciiTheme="minorEastAsia" w:hAnsiTheme="minorEastAsia" w:eastAsiaTheme="minorEastAsia"/>
                <w:color w:val="auto"/>
                <w:kern w:val="2"/>
                <w:sz w:val="21"/>
                <w:szCs w:val="21"/>
                <w:lang w:eastAsia="zh-CN" w:bidi="ar-SA"/>
              </w:rPr>
            </w:pPr>
            <w:r>
              <w:rPr>
                <w:rFonts w:hint="eastAsia" w:asciiTheme="minorEastAsia" w:hAnsiTheme="minorEastAsia" w:eastAsiaTheme="minorEastAsia"/>
                <w:color w:val="auto"/>
                <w:kern w:val="2"/>
                <w:sz w:val="21"/>
                <w:szCs w:val="21"/>
                <w:lang w:eastAsia="zh-CN" w:bidi="ar-SA"/>
              </w:rPr>
              <w:t>水运工程建设项目节能评估规范</w:t>
            </w:r>
          </w:p>
        </w:tc>
      </w:tr>
      <w:tr w14:paraId="0156A0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exact"/>
          <w:jc w:val="center"/>
        </w:trPr>
        <w:tc>
          <w:tcPr>
            <w:tcW w:w="726" w:type="dxa"/>
            <w:vAlign w:val="center"/>
          </w:tcPr>
          <w:p w14:paraId="7EEB780B">
            <w:pPr>
              <w:pStyle w:val="94"/>
              <w:numPr>
                <w:ilvl w:val="0"/>
                <w:numId w:val="7"/>
              </w:numPr>
              <w:jc w:val="center"/>
              <w:rPr>
                <w:rFonts w:hint="eastAsia" w:hAnsi="宋体"/>
                <w:color w:val="auto"/>
                <w:kern w:val="2"/>
                <w:sz w:val="21"/>
                <w:szCs w:val="21"/>
              </w:rPr>
            </w:pPr>
          </w:p>
        </w:tc>
        <w:tc>
          <w:tcPr>
            <w:tcW w:w="1202" w:type="dxa"/>
            <w:vMerge w:val="restart"/>
            <w:vAlign w:val="center"/>
          </w:tcPr>
          <w:p w14:paraId="2A692D57">
            <w:pPr>
              <w:jc w:val="center"/>
              <w:rPr>
                <w:rFonts w:eastAsia="宋体"/>
                <w:color w:val="auto"/>
                <w:kern w:val="2"/>
                <w:sz w:val="21"/>
                <w:szCs w:val="21"/>
                <w:lang w:eastAsia="zh-CN" w:bidi="ar-SA"/>
              </w:rPr>
            </w:pPr>
            <w:r>
              <w:rPr>
                <w:rFonts w:hAnsi="宋体" w:eastAsia="宋体"/>
                <w:color w:val="auto"/>
                <w:kern w:val="2"/>
                <w:sz w:val="21"/>
                <w:szCs w:val="21"/>
                <w:lang w:eastAsia="zh-CN" w:bidi="ar-SA"/>
              </w:rPr>
              <w:t>勘</w:t>
            </w:r>
            <w:r>
              <w:rPr>
                <w:rFonts w:hint="eastAsia" w:hAnsi="宋体" w:eastAsia="宋体"/>
                <w:color w:val="auto"/>
                <w:kern w:val="2"/>
                <w:sz w:val="21"/>
                <w:szCs w:val="21"/>
                <w:lang w:eastAsia="zh-CN" w:bidi="ar-SA"/>
              </w:rPr>
              <w:t>察类</w:t>
            </w:r>
          </w:p>
        </w:tc>
        <w:tc>
          <w:tcPr>
            <w:tcW w:w="2372" w:type="dxa"/>
            <w:vAlign w:val="center"/>
          </w:tcPr>
          <w:p w14:paraId="1FFD3973">
            <w:pPr>
              <w:widowControl/>
              <w:rPr>
                <w:rFonts w:hint="eastAsia" w:ascii="宋体" w:hAnsi="宋体" w:eastAsia="宋体"/>
                <w:color w:val="auto"/>
                <w:sz w:val="21"/>
                <w:szCs w:val="21"/>
                <w:lang w:eastAsia="zh-CN" w:bidi="ar-SA"/>
              </w:rPr>
            </w:pPr>
            <w:r>
              <w:rPr>
                <w:rFonts w:ascii="宋体" w:hAnsi="宋体" w:eastAsia="宋体"/>
                <w:color w:val="auto"/>
                <w:kern w:val="2"/>
                <w:sz w:val="21"/>
                <w:szCs w:val="21"/>
                <w:lang w:eastAsia="zh-CN" w:bidi="ar-SA"/>
              </w:rPr>
              <w:t>JTS 110-11-2012</w:t>
            </w:r>
          </w:p>
        </w:tc>
        <w:tc>
          <w:tcPr>
            <w:tcW w:w="4768" w:type="dxa"/>
            <w:vAlign w:val="center"/>
          </w:tcPr>
          <w:p w14:paraId="5091B842">
            <w:pPr>
              <w:widowControl/>
              <w:rPr>
                <w:rFonts w:hint="eastAsia" w:asciiTheme="minorEastAsia" w:hAnsiTheme="minorEastAsia" w:eastAsiaTheme="minorEastAsia"/>
                <w:color w:val="auto"/>
                <w:sz w:val="21"/>
                <w:szCs w:val="21"/>
                <w:lang w:eastAsia="zh-CN" w:bidi="ar-SA"/>
              </w:rPr>
            </w:pPr>
            <w:r>
              <w:rPr>
                <w:rFonts w:asciiTheme="minorEastAsia" w:hAnsiTheme="minorEastAsia" w:eastAsiaTheme="minorEastAsia"/>
                <w:color w:val="auto"/>
                <w:kern w:val="2"/>
                <w:sz w:val="21"/>
                <w:szCs w:val="21"/>
                <w:lang w:eastAsia="zh-CN" w:bidi="ar-SA"/>
              </w:rPr>
              <w:t>水运工程标准勘察设计招标文件</w:t>
            </w:r>
          </w:p>
        </w:tc>
      </w:tr>
      <w:tr w14:paraId="248C68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exact"/>
          <w:jc w:val="center"/>
        </w:trPr>
        <w:tc>
          <w:tcPr>
            <w:tcW w:w="726" w:type="dxa"/>
            <w:vAlign w:val="center"/>
          </w:tcPr>
          <w:p w14:paraId="7361F1B7">
            <w:pPr>
              <w:pStyle w:val="94"/>
              <w:numPr>
                <w:ilvl w:val="0"/>
                <w:numId w:val="7"/>
              </w:numPr>
              <w:jc w:val="center"/>
              <w:rPr>
                <w:rFonts w:hint="eastAsia" w:hAnsi="宋体"/>
                <w:color w:val="auto"/>
                <w:kern w:val="2"/>
                <w:sz w:val="21"/>
                <w:szCs w:val="21"/>
              </w:rPr>
            </w:pPr>
          </w:p>
        </w:tc>
        <w:tc>
          <w:tcPr>
            <w:tcW w:w="1202" w:type="dxa"/>
            <w:vMerge w:val="continue"/>
            <w:vAlign w:val="center"/>
          </w:tcPr>
          <w:p w14:paraId="0F82DF03">
            <w:pPr>
              <w:jc w:val="center"/>
              <w:rPr>
                <w:rFonts w:eastAsia="宋体"/>
                <w:color w:val="auto"/>
                <w:kern w:val="2"/>
                <w:sz w:val="21"/>
                <w:szCs w:val="21"/>
                <w:lang w:eastAsia="zh-CN" w:bidi="ar-SA"/>
              </w:rPr>
            </w:pPr>
          </w:p>
        </w:tc>
        <w:tc>
          <w:tcPr>
            <w:tcW w:w="2372" w:type="dxa"/>
            <w:vAlign w:val="center"/>
          </w:tcPr>
          <w:p w14:paraId="2AB239E7">
            <w:pPr>
              <w:jc w:val="both"/>
              <w:rPr>
                <w:rFonts w:hint="eastAsia" w:ascii="宋体" w:hAnsi="宋体" w:eastAsia="宋体"/>
                <w:color w:val="auto"/>
                <w:kern w:val="2"/>
                <w:sz w:val="21"/>
                <w:szCs w:val="21"/>
                <w:lang w:eastAsia="zh-CN" w:bidi="ar-SA"/>
              </w:rPr>
            </w:pPr>
            <w:r>
              <w:rPr>
                <w:rFonts w:ascii="宋体" w:hAnsi="宋体" w:eastAsia="宋体"/>
                <w:color w:val="auto"/>
                <w:kern w:val="2"/>
                <w:sz w:val="21"/>
                <w:szCs w:val="21"/>
                <w:lang w:eastAsia="zh-CN" w:bidi="ar-SA"/>
              </w:rPr>
              <w:t>JTS 131-2012</w:t>
            </w:r>
          </w:p>
        </w:tc>
        <w:tc>
          <w:tcPr>
            <w:tcW w:w="4768" w:type="dxa"/>
            <w:vAlign w:val="center"/>
          </w:tcPr>
          <w:p w14:paraId="12641528">
            <w:pPr>
              <w:jc w:val="both"/>
              <w:rPr>
                <w:rFonts w:hint="eastAsia" w:asciiTheme="minorEastAsia" w:hAnsiTheme="minorEastAsia" w:eastAsiaTheme="minorEastAsia"/>
                <w:color w:val="auto"/>
                <w:kern w:val="2"/>
                <w:sz w:val="21"/>
                <w:szCs w:val="21"/>
                <w:lang w:eastAsia="zh-CN" w:bidi="ar-SA"/>
              </w:rPr>
            </w:pPr>
            <w:r>
              <w:rPr>
                <w:rFonts w:asciiTheme="minorEastAsia" w:hAnsiTheme="minorEastAsia" w:eastAsiaTheme="minorEastAsia"/>
                <w:color w:val="auto"/>
                <w:kern w:val="2"/>
                <w:sz w:val="21"/>
                <w:szCs w:val="21"/>
                <w:lang w:eastAsia="zh-CN" w:bidi="ar-SA"/>
              </w:rPr>
              <w:t>水运工程测量规范</w:t>
            </w:r>
          </w:p>
        </w:tc>
      </w:tr>
      <w:tr w14:paraId="423A96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exact"/>
          <w:jc w:val="center"/>
        </w:trPr>
        <w:tc>
          <w:tcPr>
            <w:tcW w:w="726" w:type="dxa"/>
            <w:vAlign w:val="center"/>
          </w:tcPr>
          <w:p w14:paraId="39A09FA3">
            <w:pPr>
              <w:pStyle w:val="94"/>
              <w:numPr>
                <w:ilvl w:val="0"/>
                <w:numId w:val="7"/>
              </w:numPr>
              <w:jc w:val="center"/>
              <w:rPr>
                <w:rFonts w:hint="eastAsia" w:hAnsi="宋体"/>
                <w:color w:val="auto"/>
                <w:kern w:val="2"/>
                <w:sz w:val="21"/>
                <w:szCs w:val="21"/>
              </w:rPr>
            </w:pPr>
          </w:p>
        </w:tc>
        <w:tc>
          <w:tcPr>
            <w:tcW w:w="1202" w:type="dxa"/>
            <w:vMerge w:val="continue"/>
            <w:vAlign w:val="center"/>
          </w:tcPr>
          <w:p w14:paraId="6218FB84">
            <w:pPr>
              <w:jc w:val="center"/>
              <w:rPr>
                <w:rFonts w:eastAsia="宋体"/>
                <w:color w:val="auto"/>
                <w:kern w:val="2"/>
                <w:sz w:val="21"/>
                <w:szCs w:val="21"/>
                <w:lang w:eastAsia="zh-CN" w:bidi="ar-SA"/>
              </w:rPr>
            </w:pPr>
          </w:p>
        </w:tc>
        <w:tc>
          <w:tcPr>
            <w:tcW w:w="2372" w:type="dxa"/>
            <w:vAlign w:val="center"/>
          </w:tcPr>
          <w:p w14:paraId="7375E5D8">
            <w:pPr>
              <w:jc w:val="both"/>
              <w:rPr>
                <w:rFonts w:hint="eastAsia" w:ascii="宋体" w:hAnsi="宋体" w:eastAsia="宋体"/>
                <w:color w:val="auto"/>
                <w:kern w:val="2"/>
                <w:sz w:val="21"/>
                <w:szCs w:val="21"/>
                <w:lang w:eastAsia="zh-CN" w:bidi="ar-SA"/>
              </w:rPr>
            </w:pPr>
            <w:r>
              <w:rPr>
                <w:rFonts w:ascii="宋体" w:hAnsi="宋体" w:eastAsia="宋体"/>
                <w:color w:val="auto"/>
                <w:kern w:val="2"/>
                <w:sz w:val="21"/>
                <w:szCs w:val="21"/>
                <w:lang w:eastAsia="zh-CN" w:bidi="ar-SA"/>
              </w:rPr>
              <w:t>JTS 133-2013</w:t>
            </w:r>
          </w:p>
        </w:tc>
        <w:tc>
          <w:tcPr>
            <w:tcW w:w="4768" w:type="dxa"/>
            <w:vAlign w:val="center"/>
          </w:tcPr>
          <w:p w14:paraId="0CFF8915">
            <w:pPr>
              <w:jc w:val="both"/>
              <w:rPr>
                <w:rFonts w:hint="eastAsia" w:asciiTheme="minorEastAsia" w:hAnsiTheme="minorEastAsia" w:eastAsiaTheme="minorEastAsia"/>
                <w:color w:val="auto"/>
                <w:kern w:val="2"/>
                <w:sz w:val="21"/>
                <w:szCs w:val="21"/>
                <w:lang w:eastAsia="zh-CN" w:bidi="ar-SA"/>
              </w:rPr>
            </w:pPr>
            <w:r>
              <w:rPr>
                <w:rFonts w:asciiTheme="minorEastAsia" w:hAnsiTheme="minorEastAsia" w:eastAsiaTheme="minorEastAsia"/>
                <w:color w:val="auto"/>
                <w:kern w:val="2"/>
                <w:sz w:val="21"/>
                <w:szCs w:val="21"/>
                <w:lang w:eastAsia="zh-CN" w:bidi="ar-SA"/>
              </w:rPr>
              <w:t>水运工程岩土勘察规范</w:t>
            </w:r>
          </w:p>
        </w:tc>
      </w:tr>
      <w:tr w14:paraId="43240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exact"/>
          <w:jc w:val="center"/>
        </w:trPr>
        <w:tc>
          <w:tcPr>
            <w:tcW w:w="726" w:type="dxa"/>
            <w:vAlign w:val="center"/>
          </w:tcPr>
          <w:p w14:paraId="5CB0D069">
            <w:pPr>
              <w:pStyle w:val="94"/>
              <w:numPr>
                <w:ilvl w:val="0"/>
                <w:numId w:val="7"/>
              </w:numPr>
              <w:jc w:val="center"/>
              <w:rPr>
                <w:rFonts w:hint="eastAsia" w:hAnsi="宋体"/>
                <w:color w:val="auto"/>
                <w:kern w:val="2"/>
                <w:sz w:val="21"/>
                <w:szCs w:val="21"/>
              </w:rPr>
            </w:pPr>
          </w:p>
        </w:tc>
        <w:tc>
          <w:tcPr>
            <w:tcW w:w="1202" w:type="dxa"/>
            <w:vMerge w:val="continue"/>
            <w:vAlign w:val="center"/>
          </w:tcPr>
          <w:p w14:paraId="06384203">
            <w:pPr>
              <w:jc w:val="center"/>
              <w:rPr>
                <w:rFonts w:eastAsia="宋体"/>
                <w:color w:val="auto"/>
                <w:kern w:val="2"/>
                <w:sz w:val="21"/>
                <w:szCs w:val="21"/>
                <w:lang w:eastAsia="zh-CN" w:bidi="ar-SA"/>
              </w:rPr>
            </w:pPr>
          </w:p>
        </w:tc>
        <w:tc>
          <w:tcPr>
            <w:tcW w:w="2372" w:type="dxa"/>
            <w:vAlign w:val="center"/>
          </w:tcPr>
          <w:p w14:paraId="374915DA">
            <w:pPr>
              <w:jc w:val="both"/>
              <w:rPr>
                <w:rFonts w:hint="eastAsia" w:ascii="宋体" w:hAnsi="宋体" w:eastAsia="宋体"/>
                <w:color w:val="auto"/>
                <w:kern w:val="2"/>
                <w:sz w:val="21"/>
                <w:szCs w:val="21"/>
                <w:lang w:eastAsia="zh-CN" w:bidi="ar-SA"/>
              </w:rPr>
            </w:pPr>
            <w:r>
              <w:rPr>
                <w:rFonts w:ascii="宋体" w:hAnsi="宋体" w:eastAsia="宋体"/>
                <w:color w:val="auto"/>
                <w:kern w:val="2"/>
                <w:sz w:val="21"/>
                <w:szCs w:val="21"/>
                <w:lang w:eastAsia="zh-CN" w:bidi="ar-SA"/>
              </w:rPr>
              <w:t>JTS 258-2008</w:t>
            </w:r>
          </w:p>
        </w:tc>
        <w:tc>
          <w:tcPr>
            <w:tcW w:w="4768" w:type="dxa"/>
            <w:vAlign w:val="center"/>
          </w:tcPr>
          <w:p w14:paraId="09D81ED8">
            <w:pPr>
              <w:jc w:val="both"/>
              <w:rPr>
                <w:rFonts w:hint="eastAsia" w:asciiTheme="minorEastAsia" w:hAnsiTheme="minorEastAsia" w:eastAsiaTheme="minorEastAsia"/>
                <w:color w:val="auto"/>
                <w:kern w:val="2"/>
                <w:sz w:val="21"/>
                <w:szCs w:val="21"/>
                <w:lang w:eastAsia="zh-CN" w:bidi="ar-SA"/>
              </w:rPr>
            </w:pPr>
            <w:r>
              <w:rPr>
                <w:rFonts w:asciiTheme="minorEastAsia" w:hAnsiTheme="minorEastAsia" w:eastAsiaTheme="minorEastAsia"/>
                <w:color w:val="auto"/>
                <w:kern w:val="2"/>
                <w:sz w:val="21"/>
                <w:szCs w:val="21"/>
                <w:lang w:eastAsia="zh-CN" w:bidi="ar-SA"/>
              </w:rPr>
              <w:t>水运工程测量质量检验标准</w:t>
            </w:r>
          </w:p>
        </w:tc>
      </w:tr>
      <w:tr w14:paraId="07BDE0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exact"/>
          <w:jc w:val="center"/>
        </w:trPr>
        <w:tc>
          <w:tcPr>
            <w:tcW w:w="726" w:type="dxa"/>
            <w:vAlign w:val="center"/>
          </w:tcPr>
          <w:p w14:paraId="57EE596F">
            <w:pPr>
              <w:pStyle w:val="94"/>
              <w:numPr>
                <w:ilvl w:val="0"/>
                <w:numId w:val="7"/>
              </w:numPr>
              <w:jc w:val="center"/>
              <w:rPr>
                <w:rFonts w:hint="eastAsia" w:hAnsi="宋体"/>
                <w:color w:val="auto"/>
                <w:kern w:val="2"/>
                <w:sz w:val="21"/>
                <w:szCs w:val="21"/>
              </w:rPr>
            </w:pPr>
          </w:p>
        </w:tc>
        <w:tc>
          <w:tcPr>
            <w:tcW w:w="1202" w:type="dxa"/>
            <w:vMerge w:val="continue"/>
            <w:vAlign w:val="center"/>
          </w:tcPr>
          <w:p w14:paraId="6DE9EE4F">
            <w:pPr>
              <w:jc w:val="center"/>
              <w:rPr>
                <w:rFonts w:eastAsia="宋体"/>
                <w:color w:val="auto"/>
                <w:kern w:val="2"/>
                <w:sz w:val="21"/>
                <w:szCs w:val="21"/>
                <w:lang w:eastAsia="zh-CN" w:bidi="ar-SA"/>
              </w:rPr>
            </w:pPr>
          </w:p>
        </w:tc>
        <w:tc>
          <w:tcPr>
            <w:tcW w:w="2372" w:type="dxa"/>
            <w:vAlign w:val="center"/>
          </w:tcPr>
          <w:p w14:paraId="4268379F">
            <w:pPr>
              <w:jc w:val="both"/>
              <w:rPr>
                <w:rFonts w:hint="eastAsia" w:ascii="宋体" w:hAnsi="宋体" w:eastAsia="宋体"/>
                <w:color w:val="auto"/>
                <w:kern w:val="2"/>
                <w:sz w:val="21"/>
                <w:szCs w:val="21"/>
                <w:lang w:eastAsia="zh-CN" w:bidi="ar-SA"/>
              </w:rPr>
            </w:pPr>
            <w:r>
              <w:rPr>
                <w:rFonts w:ascii="宋体" w:hAnsi="宋体" w:eastAsia="宋体"/>
                <w:color w:val="auto"/>
                <w:kern w:val="2"/>
                <w:sz w:val="21"/>
                <w:szCs w:val="21"/>
                <w:lang w:eastAsia="zh-CN" w:bidi="ar-SA"/>
              </w:rPr>
              <w:t>JT/T 954-2014</w:t>
            </w:r>
          </w:p>
        </w:tc>
        <w:tc>
          <w:tcPr>
            <w:tcW w:w="4768" w:type="dxa"/>
            <w:vAlign w:val="center"/>
          </w:tcPr>
          <w:p w14:paraId="332AB065">
            <w:pPr>
              <w:jc w:val="both"/>
              <w:rPr>
                <w:rFonts w:hint="eastAsia" w:asciiTheme="minorEastAsia" w:hAnsiTheme="minorEastAsia" w:eastAsiaTheme="minorEastAsia"/>
                <w:color w:val="auto"/>
                <w:kern w:val="2"/>
                <w:sz w:val="21"/>
                <w:szCs w:val="21"/>
                <w:lang w:eastAsia="zh-CN" w:bidi="ar-SA"/>
              </w:rPr>
            </w:pPr>
            <w:r>
              <w:rPr>
                <w:rFonts w:asciiTheme="minorEastAsia" w:hAnsiTheme="minorEastAsia" w:eastAsiaTheme="minorEastAsia"/>
                <w:color w:val="auto"/>
                <w:kern w:val="2"/>
                <w:sz w:val="21"/>
                <w:szCs w:val="21"/>
                <w:lang w:eastAsia="zh-CN" w:bidi="ar-SA"/>
              </w:rPr>
              <w:t>沿海港口航道测量技术要求</w:t>
            </w:r>
          </w:p>
        </w:tc>
      </w:tr>
      <w:tr w14:paraId="246AA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exact"/>
          <w:jc w:val="center"/>
        </w:trPr>
        <w:tc>
          <w:tcPr>
            <w:tcW w:w="726" w:type="dxa"/>
            <w:vAlign w:val="center"/>
          </w:tcPr>
          <w:p w14:paraId="1A4DA46B">
            <w:pPr>
              <w:pStyle w:val="94"/>
              <w:numPr>
                <w:ilvl w:val="0"/>
                <w:numId w:val="7"/>
              </w:numPr>
              <w:jc w:val="center"/>
              <w:rPr>
                <w:rFonts w:hint="eastAsia" w:hAnsi="宋体"/>
                <w:color w:val="auto"/>
                <w:kern w:val="2"/>
                <w:sz w:val="21"/>
                <w:szCs w:val="21"/>
              </w:rPr>
            </w:pPr>
          </w:p>
        </w:tc>
        <w:tc>
          <w:tcPr>
            <w:tcW w:w="1202" w:type="dxa"/>
            <w:vMerge w:val="restart"/>
            <w:vAlign w:val="center"/>
          </w:tcPr>
          <w:p w14:paraId="2FA96BB2">
            <w:pPr>
              <w:jc w:val="center"/>
              <w:rPr>
                <w:rFonts w:eastAsia="宋体"/>
                <w:color w:val="auto"/>
                <w:kern w:val="2"/>
                <w:sz w:val="21"/>
                <w:szCs w:val="21"/>
                <w:lang w:eastAsia="zh-CN" w:bidi="ar-SA"/>
              </w:rPr>
            </w:pPr>
            <w:r>
              <w:rPr>
                <w:rFonts w:hint="eastAsia" w:eastAsia="宋体"/>
                <w:color w:val="auto"/>
                <w:kern w:val="2"/>
                <w:sz w:val="21"/>
                <w:szCs w:val="21"/>
                <w:lang w:eastAsia="zh-CN" w:bidi="ar-SA"/>
              </w:rPr>
              <w:t>地基与基础类标准</w:t>
            </w:r>
          </w:p>
        </w:tc>
        <w:tc>
          <w:tcPr>
            <w:tcW w:w="2372" w:type="dxa"/>
            <w:vAlign w:val="center"/>
          </w:tcPr>
          <w:p w14:paraId="119568CE">
            <w:pPr>
              <w:widowControl/>
              <w:rPr>
                <w:rFonts w:hint="eastAsia" w:ascii="宋体" w:hAnsi="宋体" w:eastAsia="宋体"/>
                <w:color w:val="auto"/>
                <w:sz w:val="21"/>
                <w:szCs w:val="21"/>
                <w:lang w:eastAsia="zh-CN" w:bidi="ar-SA"/>
              </w:rPr>
            </w:pPr>
            <w:r>
              <w:rPr>
                <w:rFonts w:ascii="宋体" w:hAnsi="宋体" w:eastAsia="宋体"/>
                <w:color w:val="auto"/>
                <w:kern w:val="2"/>
                <w:sz w:val="21"/>
                <w:szCs w:val="21"/>
                <w:lang w:eastAsia="zh-CN" w:bidi="ar-SA"/>
              </w:rPr>
              <w:t>JTJ 246-2004</w:t>
            </w:r>
          </w:p>
        </w:tc>
        <w:tc>
          <w:tcPr>
            <w:tcW w:w="4768" w:type="dxa"/>
            <w:vAlign w:val="center"/>
          </w:tcPr>
          <w:p w14:paraId="2BE251D9">
            <w:pPr>
              <w:widowControl/>
              <w:rPr>
                <w:rFonts w:hint="eastAsia" w:asciiTheme="minorEastAsia" w:hAnsiTheme="minorEastAsia" w:eastAsiaTheme="minorEastAsia"/>
                <w:color w:val="auto"/>
                <w:sz w:val="21"/>
                <w:szCs w:val="21"/>
                <w:lang w:eastAsia="zh-CN" w:bidi="ar-SA"/>
              </w:rPr>
            </w:pPr>
            <w:r>
              <w:rPr>
                <w:rFonts w:hint="eastAsia" w:asciiTheme="minorEastAsia" w:hAnsiTheme="minorEastAsia" w:eastAsiaTheme="minorEastAsia"/>
                <w:color w:val="auto"/>
                <w:kern w:val="2"/>
                <w:sz w:val="21"/>
                <w:szCs w:val="21"/>
                <w:lang w:eastAsia="zh-CN" w:bidi="ar-SA"/>
              </w:rPr>
              <w:t>港口工程碎石桩复合地基设计与施工规程</w:t>
            </w:r>
          </w:p>
        </w:tc>
      </w:tr>
      <w:tr w14:paraId="35B608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exact"/>
          <w:jc w:val="center"/>
        </w:trPr>
        <w:tc>
          <w:tcPr>
            <w:tcW w:w="726" w:type="dxa"/>
            <w:vAlign w:val="center"/>
          </w:tcPr>
          <w:p w14:paraId="2BD5C80B">
            <w:pPr>
              <w:pStyle w:val="94"/>
              <w:numPr>
                <w:ilvl w:val="0"/>
                <w:numId w:val="7"/>
              </w:numPr>
              <w:jc w:val="center"/>
              <w:rPr>
                <w:rFonts w:hint="eastAsia" w:hAnsi="宋体"/>
                <w:color w:val="auto"/>
                <w:kern w:val="2"/>
                <w:sz w:val="21"/>
                <w:szCs w:val="21"/>
              </w:rPr>
            </w:pPr>
          </w:p>
        </w:tc>
        <w:tc>
          <w:tcPr>
            <w:tcW w:w="1202" w:type="dxa"/>
            <w:vMerge w:val="continue"/>
            <w:vAlign w:val="center"/>
          </w:tcPr>
          <w:p w14:paraId="43681840">
            <w:pPr>
              <w:jc w:val="center"/>
              <w:rPr>
                <w:rFonts w:eastAsia="宋体"/>
                <w:color w:val="auto"/>
                <w:kern w:val="2"/>
                <w:sz w:val="21"/>
                <w:szCs w:val="21"/>
                <w:lang w:eastAsia="zh-CN" w:bidi="ar-SA"/>
              </w:rPr>
            </w:pPr>
          </w:p>
        </w:tc>
        <w:tc>
          <w:tcPr>
            <w:tcW w:w="2372" w:type="dxa"/>
            <w:vAlign w:val="center"/>
          </w:tcPr>
          <w:p w14:paraId="0B772951">
            <w:pPr>
              <w:jc w:val="both"/>
              <w:rPr>
                <w:rFonts w:hint="eastAsia" w:ascii="宋体" w:hAnsi="宋体" w:eastAsia="宋体"/>
                <w:color w:val="auto"/>
                <w:kern w:val="2"/>
                <w:sz w:val="21"/>
                <w:szCs w:val="21"/>
                <w:lang w:eastAsia="zh-CN" w:bidi="ar-SA"/>
              </w:rPr>
            </w:pPr>
            <w:r>
              <w:rPr>
                <w:rFonts w:ascii="宋体" w:hAnsi="宋体" w:eastAsia="宋体"/>
                <w:color w:val="auto"/>
                <w:kern w:val="2"/>
                <w:sz w:val="21"/>
                <w:szCs w:val="21"/>
                <w:lang w:eastAsia="zh-CN" w:bidi="ar-SA"/>
              </w:rPr>
              <w:t>JTS 147-1-2010</w:t>
            </w:r>
          </w:p>
        </w:tc>
        <w:tc>
          <w:tcPr>
            <w:tcW w:w="4768" w:type="dxa"/>
            <w:vAlign w:val="center"/>
          </w:tcPr>
          <w:p w14:paraId="7578C8A3">
            <w:pPr>
              <w:jc w:val="both"/>
              <w:rPr>
                <w:rFonts w:hint="eastAsia" w:asciiTheme="minorEastAsia" w:hAnsiTheme="minorEastAsia" w:eastAsiaTheme="minorEastAsia"/>
                <w:color w:val="auto"/>
                <w:kern w:val="2"/>
                <w:sz w:val="21"/>
                <w:szCs w:val="21"/>
                <w:lang w:eastAsia="zh-CN" w:bidi="ar-SA"/>
              </w:rPr>
            </w:pPr>
            <w:r>
              <w:rPr>
                <w:rFonts w:asciiTheme="minorEastAsia" w:hAnsiTheme="minorEastAsia" w:eastAsiaTheme="minorEastAsia"/>
                <w:color w:val="auto"/>
                <w:kern w:val="2"/>
                <w:sz w:val="21"/>
                <w:szCs w:val="21"/>
                <w:lang w:eastAsia="zh-CN" w:bidi="ar-SA"/>
              </w:rPr>
              <w:t>港口工程地基规范</w:t>
            </w:r>
          </w:p>
        </w:tc>
      </w:tr>
      <w:tr w14:paraId="2C13AC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exact"/>
          <w:jc w:val="center"/>
        </w:trPr>
        <w:tc>
          <w:tcPr>
            <w:tcW w:w="726" w:type="dxa"/>
            <w:vAlign w:val="center"/>
          </w:tcPr>
          <w:p w14:paraId="2374F1A9">
            <w:pPr>
              <w:pStyle w:val="94"/>
              <w:numPr>
                <w:ilvl w:val="0"/>
                <w:numId w:val="7"/>
              </w:numPr>
              <w:jc w:val="center"/>
              <w:rPr>
                <w:rFonts w:hint="eastAsia" w:hAnsi="宋体"/>
                <w:color w:val="auto"/>
                <w:kern w:val="2"/>
                <w:sz w:val="21"/>
                <w:szCs w:val="21"/>
              </w:rPr>
            </w:pPr>
          </w:p>
        </w:tc>
        <w:tc>
          <w:tcPr>
            <w:tcW w:w="1202" w:type="dxa"/>
            <w:vMerge w:val="continue"/>
            <w:vAlign w:val="center"/>
          </w:tcPr>
          <w:p w14:paraId="5867A195">
            <w:pPr>
              <w:jc w:val="center"/>
              <w:rPr>
                <w:rFonts w:eastAsia="宋体"/>
                <w:color w:val="auto"/>
                <w:kern w:val="2"/>
                <w:sz w:val="21"/>
                <w:szCs w:val="21"/>
                <w:lang w:eastAsia="zh-CN" w:bidi="ar-SA"/>
              </w:rPr>
            </w:pPr>
          </w:p>
        </w:tc>
        <w:tc>
          <w:tcPr>
            <w:tcW w:w="2372" w:type="dxa"/>
            <w:vAlign w:val="center"/>
          </w:tcPr>
          <w:p w14:paraId="1AAEAC05">
            <w:pPr>
              <w:jc w:val="both"/>
              <w:rPr>
                <w:rFonts w:hint="eastAsia" w:ascii="宋体" w:hAnsi="宋体" w:eastAsia="宋体"/>
                <w:color w:val="auto"/>
                <w:kern w:val="2"/>
                <w:sz w:val="21"/>
                <w:szCs w:val="21"/>
                <w:lang w:eastAsia="zh-CN" w:bidi="ar-SA"/>
              </w:rPr>
            </w:pPr>
            <w:r>
              <w:rPr>
                <w:rFonts w:ascii="宋体" w:hAnsi="宋体" w:eastAsia="宋体"/>
                <w:color w:val="auto"/>
                <w:kern w:val="2"/>
                <w:sz w:val="21"/>
                <w:szCs w:val="21"/>
                <w:lang w:eastAsia="zh-CN" w:bidi="ar-SA"/>
              </w:rPr>
              <w:t>JTS 147-2-2009</w:t>
            </w:r>
          </w:p>
        </w:tc>
        <w:tc>
          <w:tcPr>
            <w:tcW w:w="4768" w:type="dxa"/>
            <w:vAlign w:val="center"/>
          </w:tcPr>
          <w:p w14:paraId="3A09FBF5">
            <w:pPr>
              <w:jc w:val="both"/>
              <w:rPr>
                <w:rFonts w:hint="eastAsia" w:asciiTheme="minorEastAsia" w:hAnsiTheme="minorEastAsia" w:eastAsiaTheme="minorEastAsia"/>
                <w:color w:val="auto"/>
                <w:kern w:val="2"/>
                <w:sz w:val="21"/>
                <w:szCs w:val="21"/>
                <w:lang w:eastAsia="zh-CN" w:bidi="ar-SA"/>
              </w:rPr>
            </w:pPr>
            <w:r>
              <w:rPr>
                <w:rFonts w:asciiTheme="minorEastAsia" w:hAnsiTheme="minorEastAsia" w:eastAsiaTheme="minorEastAsia"/>
                <w:color w:val="auto"/>
                <w:kern w:val="2"/>
                <w:sz w:val="21"/>
                <w:szCs w:val="21"/>
                <w:lang w:eastAsia="zh-CN" w:bidi="ar-SA"/>
              </w:rPr>
              <w:t>真空预压加固软土地基技术规程</w:t>
            </w:r>
          </w:p>
        </w:tc>
      </w:tr>
      <w:tr w14:paraId="3FE230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exact"/>
          <w:jc w:val="center"/>
        </w:trPr>
        <w:tc>
          <w:tcPr>
            <w:tcW w:w="726" w:type="dxa"/>
            <w:vAlign w:val="center"/>
          </w:tcPr>
          <w:p w14:paraId="09BCB549">
            <w:pPr>
              <w:pStyle w:val="94"/>
              <w:numPr>
                <w:ilvl w:val="0"/>
                <w:numId w:val="7"/>
              </w:numPr>
              <w:jc w:val="center"/>
              <w:rPr>
                <w:rFonts w:hint="eastAsia" w:hAnsi="宋体"/>
                <w:color w:val="auto"/>
                <w:kern w:val="2"/>
                <w:sz w:val="21"/>
                <w:szCs w:val="21"/>
              </w:rPr>
            </w:pPr>
          </w:p>
        </w:tc>
        <w:tc>
          <w:tcPr>
            <w:tcW w:w="1202" w:type="dxa"/>
            <w:vMerge w:val="continue"/>
            <w:vAlign w:val="center"/>
          </w:tcPr>
          <w:p w14:paraId="27837256">
            <w:pPr>
              <w:jc w:val="center"/>
              <w:rPr>
                <w:rFonts w:eastAsia="宋体"/>
                <w:color w:val="auto"/>
                <w:kern w:val="2"/>
                <w:sz w:val="21"/>
                <w:szCs w:val="21"/>
                <w:lang w:eastAsia="zh-CN" w:bidi="ar-SA"/>
              </w:rPr>
            </w:pPr>
          </w:p>
        </w:tc>
        <w:tc>
          <w:tcPr>
            <w:tcW w:w="2372" w:type="dxa"/>
            <w:vAlign w:val="center"/>
          </w:tcPr>
          <w:p w14:paraId="78C60549">
            <w:pPr>
              <w:jc w:val="both"/>
              <w:rPr>
                <w:rFonts w:hint="eastAsia" w:ascii="宋体" w:hAnsi="宋体" w:eastAsia="宋体"/>
                <w:color w:val="auto"/>
                <w:kern w:val="2"/>
                <w:sz w:val="21"/>
                <w:szCs w:val="21"/>
                <w:lang w:eastAsia="zh-CN" w:bidi="ar-SA"/>
              </w:rPr>
            </w:pPr>
            <w:r>
              <w:rPr>
                <w:rFonts w:ascii="宋体" w:hAnsi="宋体" w:eastAsia="宋体"/>
                <w:color w:val="auto"/>
                <w:kern w:val="2"/>
                <w:sz w:val="21"/>
                <w:szCs w:val="21"/>
                <w:lang w:eastAsia="zh-CN" w:bidi="ar-SA"/>
              </w:rPr>
              <w:t>JTJ 248-2001</w:t>
            </w:r>
          </w:p>
        </w:tc>
        <w:tc>
          <w:tcPr>
            <w:tcW w:w="4768" w:type="dxa"/>
            <w:vAlign w:val="center"/>
          </w:tcPr>
          <w:p w14:paraId="5FC5BCA0">
            <w:pPr>
              <w:jc w:val="both"/>
              <w:rPr>
                <w:rFonts w:hint="eastAsia" w:asciiTheme="minorEastAsia" w:hAnsiTheme="minorEastAsia" w:eastAsiaTheme="minorEastAsia"/>
                <w:color w:val="auto"/>
                <w:kern w:val="2"/>
                <w:sz w:val="21"/>
                <w:szCs w:val="21"/>
                <w:lang w:eastAsia="zh-CN" w:bidi="ar-SA"/>
              </w:rPr>
            </w:pPr>
            <w:r>
              <w:rPr>
                <w:rFonts w:asciiTheme="minorEastAsia" w:hAnsiTheme="minorEastAsia" w:eastAsiaTheme="minorEastAsia"/>
                <w:color w:val="auto"/>
                <w:kern w:val="2"/>
                <w:sz w:val="21"/>
                <w:szCs w:val="21"/>
                <w:lang w:eastAsia="zh-CN" w:bidi="ar-SA"/>
              </w:rPr>
              <w:t>港口工程灌注桩设计与施工规程</w:t>
            </w:r>
          </w:p>
        </w:tc>
      </w:tr>
      <w:tr w14:paraId="5B897B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exact"/>
          <w:jc w:val="center"/>
        </w:trPr>
        <w:tc>
          <w:tcPr>
            <w:tcW w:w="726" w:type="dxa"/>
            <w:vAlign w:val="center"/>
          </w:tcPr>
          <w:p w14:paraId="6374FB6E">
            <w:pPr>
              <w:pStyle w:val="94"/>
              <w:numPr>
                <w:ilvl w:val="0"/>
                <w:numId w:val="7"/>
              </w:numPr>
              <w:jc w:val="center"/>
              <w:rPr>
                <w:rFonts w:hint="eastAsia" w:hAnsi="宋体"/>
                <w:color w:val="auto"/>
                <w:kern w:val="2"/>
                <w:sz w:val="21"/>
                <w:szCs w:val="21"/>
              </w:rPr>
            </w:pPr>
          </w:p>
        </w:tc>
        <w:tc>
          <w:tcPr>
            <w:tcW w:w="1202" w:type="dxa"/>
            <w:vMerge w:val="continue"/>
            <w:vAlign w:val="center"/>
          </w:tcPr>
          <w:p w14:paraId="19DEA852">
            <w:pPr>
              <w:jc w:val="center"/>
              <w:rPr>
                <w:rFonts w:eastAsia="宋体"/>
                <w:color w:val="auto"/>
                <w:kern w:val="2"/>
                <w:sz w:val="21"/>
                <w:szCs w:val="21"/>
                <w:lang w:eastAsia="zh-CN" w:bidi="ar-SA"/>
              </w:rPr>
            </w:pPr>
          </w:p>
        </w:tc>
        <w:tc>
          <w:tcPr>
            <w:tcW w:w="2372" w:type="dxa"/>
            <w:vAlign w:val="center"/>
          </w:tcPr>
          <w:p w14:paraId="0DEC00D9">
            <w:pPr>
              <w:jc w:val="both"/>
              <w:rPr>
                <w:rFonts w:hint="eastAsia" w:ascii="宋体" w:hAnsi="宋体" w:eastAsia="宋体"/>
                <w:color w:val="auto"/>
                <w:kern w:val="2"/>
                <w:sz w:val="21"/>
                <w:szCs w:val="21"/>
                <w:lang w:eastAsia="zh-CN" w:bidi="ar-SA"/>
              </w:rPr>
            </w:pPr>
            <w:r>
              <w:rPr>
                <w:rFonts w:ascii="宋体" w:hAnsi="宋体" w:eastAsia="宋体"/>
                <w:color w:val="auto"/>
                <w:kern w:val="2"/>
                <w:sz w:val="21"/>
                <w:szCs w:val="21"/>
                <w:lang w:eastAsia="zh-CN" w:bidi="ar-SA"/>
              </w:rPr>
              <w:t>JTJ 249-2001</w:t>
            </w:r>
          </w:p>
        </w:tc>
        <w:tc>
          <w:tcPr>
            <w:tcW w:w="4768" w:type="dxa"/>
            <w:vAlign w:val="center"/>
          </w:tcPr>
          <w:p w14:paraId="31E93B02">
            <w:pPr>
              <w:jc w:val="both"/>
              <w:rPr>
                <w:rFonts w:hint="eastAsia" w:asciiTheme="minorEastAsia" w:hAnsiTheme="minorEastAsia" w:eastAsiaTheme="minorEastAsia"/>
                <w:color w:val="auto"/>
                <w:kern w:val="2"/>
                <w:sz w:val="21"/>
                <w:szCs w:val="21"/>
                <w:lang w:eastAsia="zh-CN" w:bidi="ar-SA"/>
              </w:rPr>
            </w:pPr>
            <w:r>
              <w:rPr>
                <w:rFonts w:asciiTheme="minorEastAsia" w:hAnsiTheme="minorEastAsia" w:eastAsiaTheme="minorEastAsia"/>
                <w:color w:val="auto"/>
                <w:kern w:val="2"/>
                <w:sz w:val="21"/>
                <w:szCs w:val="21"/>
                <w:lang w:eastAsia="zh-CN" w:bidi="ar-SA"/>
              </w:rPr>
              <w:t>港口工程桩基动力检测规程</w:t>
            </w:r>
          </w:p>
        </w:tc>
      </w:tr>
      <w:tr w14:paraId="0D4FBD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exact"/>
          <w:jc w:val="center"/>
        </w:trPr>
        <w:tc>
          <w:tcPr>
            <w:tcW w:w="726" w:type="dxa"/>
            <w:vAlign w:val="center"/>
          </w:tcPr>
          <w:p w14:paraId="445BF9F7">
            <w:pPr>
              <w:pStyle w:val="94"/>
              <w:numPr>
                <w:ilvl w:val="0"/>
                <w:numId w:val="7"/>
              </w:numPr>
              <w:jc w:val="center"/>
              <w:rPr>
                <w:rFonts w:hint="eastAsia" w:hAnsi="宋体"/>
                <w:color w:val="auto"/>
                <w:kern w:val="2"/>
                <w:sz w:val="21"/>
                <w:szCs w:val="21"/>
              </w:rPr>
            </w:pPr>
          </w:p>
        </w:tc>
        <w:tc>
          <w:tcPr>
            <w:tcW w:w="1202" w:type="dxa"/>
            <w:vMerge w:val="continue"/>
            <w:vAlign w:val="center"/>
          </w:tcPr>
          <w:p w14:paraId="17915472">
            <w:pPr>
              <w:jc w:val="center"/>
              <w:rPr>
                <w:rFonts w:eastAsia="宋体"/>
                <w:color w:val="auto"/>
                <w:kern w:val="2"/>
                <w:sz w:val="21"/>
                <w:szCs w:val="21"/>
                <w:lang w:eastAsia="zh-CN" w:bidi="ar-SA"/>
              </w:rPr>
            </w:pPr>
          </w:p>
        </w:tc>
        <w:tc>
          <w:tcPr>
            <w:tcW w:w="2372" w:type="dxa"/>
            <w:vAlign w:val="center"/>
          </w:tcPr>
          <w:p w14:paraId="3D61597A">
            <w:pPr>
              <w:jc w:val="both"/>
              <w:rPr>
                <w:rFonts w:hint="eastAsia" w:ascii="宋体" w:hAnsi="宋体" w:eastAsia="宋体"/>
                <w:color w:val="auto"/>
                <w:kern w:val="2"/>
                <w:sz w:val="21"/>
                <w:szCs w:val="21"/>
                <w:lang w:eastAsia="zh-CN" w:bidi="ar-SA"/>
              </w:rPr>
            </w:pPr>
            <w:r>
              <w:rPr>
                <w:rFonts w:ascii="宋体" w:hAnsi="宋体" w:eastAsia="宋体"/>
                <w:color w:val="auto"/>
                <w:kern w:val="2"/>
                <w:sz w:val="21"/>
                <w:szCs w:val="21"/>
                <w:lang w:eastAsia="zh-CN" w:bidi="ar-SA"/>
              </w:rPr>
              <w:t>JTS 167-4-2012</w:t>
            </w:r>
          </w:p>
        </w:tc>
        <w:tc>
          <w:tcPr>
            <w:tcW w:w="4768" w:type="dxa"/>
            <w:vAlign w:val="center"/>
          </w:tcPr>
          <w:p w14:paraId="5AB282C6">
            <w:pPr>
              <w:jc w:val="both"/>
              <w:rPr>
                <w:rFonts w:hint="eastAsia" w:asciiTheme="minorEastAsia" w:hAnsiTheme="minorEastAsia" w:eastAsiaTheme="minorEastAsia"/>
                <w:color w:val="auto"/>
                <w:kern w:val="2"/>
                <w:sz w:val="21"/>
                <w:szCs w:val="21"/>
                <w:lang w:eastAsia="zh-CN" w:bidi="ar-SA"/>
              </w:rPr>
            </w:pPr>
            <w:r>
              <w:rPr>
                <w:rFonts w:asciiTheme="minorEastAsia" w:hAnsiTheme="minorEastAsia" w:eastAsiaTheme="minorEastAsia"/>
                <w:color w:val="auto"/>
                <w:kern w:val="2"/>
                <w:sz w:val="21"/>
                <w:szCs w:val="21"/>
                <w:lang w:eastAsia="zh-CN" w:bidi="ar-SA"/>
              </w:rPr>
              <w:t>港口工程桩基规范</w:t>
            </w:r>
          </w:p>
        </w:tc>
      </w:tr>
      <w:tr w14:paraId="21EF53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exact"/>
          <w:jc w:val="center"/>
        </w:trPr>
        <w:tc>
          <w:tcPr>
            <w:tcW w:w="726" w:type="dxa"/>
            <w:vAlign w:val="center"/>
          </w:tcPr>
          <w:p w14:paraId="47267E1E">
            <w:pPr>
              <w:pStyle w:val="94"/>
              <w:numPr>
                <w:ilvl w:val="0"/>
                <w:numId w:val="7"/>
              </w:numPr>
              <w:jc w:val="center"/>
              <w:rPr>
                <w:rFonts w:hint="eastAsia" w:hAnsi="宋体"/>
                <w:color w:val="auto"/>
                <w:kern w:val="2"/>
                <w:sz w:val="21"/>
                <w:szCs w:val="21"/>
              </w:rPr>
            </w:pPr>
          </w:p>
        </w:tc>
        <w:tc>
          <w:tcPr>
            <w:tcW w:w="1202" w:type="dxa"/>
            <w:vMerge w:val="continue"/>
            <w:vAlign w:val="center"/>
          </w:tcPr>
          <w:p w14:paraId="2AC126D5">
            <w:pPr>
              <w:jc w:val="center"/>
              <w:rPr>
                <w:rFonts w:eastAsia="宋体"/>
                <w:color w:val="auto"/>
                <w:kern w:val="2"/>
                <w:sz w:val="21"/>
                <w:szCs w:val="21"/>
                <w:lang w:eastAsia="zh-CN" w:bidi="ar-SA"/>
              </w:rPr>
            </w:pPr>
          </w:p>
        </w:tc>
        <w:tc>
          <w:tcPr>
            <w:tcW w:w="2372" w:type="dxa"/>
            <w:vAlign w:val="center"/>
          </w:tcPr>
          <w:p w14:paraId="4EFB7C5D">
            <w:pPr>
              <w:jc w:val="both"/>
              <w:rPr>
                <w:rFonts w:hint="eastAsia" w:ascii="宋体" w:hAnsi="宋体" w:eastAsia="宋体"/>
                <w:color w:val="auto"/>
                <w:kern w:val="2"/>
                <w:sz w:val="21"/>
                <w:szCs w:val="21"/>
                <w:lang w:eastAsia="zh-CN" w:bidi="ar-SA"/>
              </w:rPr>
            </w:pPr>
            <w:r>
              <w:rPr>
                <w:rFonts w:ascii="宋体" w:hAnsi="宋体" w:eastAsia="宋体"/>
                <w:color w:val="auto"/>
                <w:kern w:val="2"/>
                <w:sz w:val="21"/>
                <w:szCs w:val="21"/>
                <w:lang w:eastAsia="zh-CN" w:bidi="ar-SA"/>
              </w:rPr>
              <w:t>JTJ 255-2002</w:t>
            </w:r>
          </w:p>
        </w:tc>
        <w:tc>
          <w:tcPr>
            <w:tcW w:w="4768" w:type="dxa"/>
            <w:vAlign w:val="center"/>
          </w:tcPr>
          <w:p w14:paraId="20DEE476">
            <w:pPr>
              <w:jc w:val="both"/>
              <w:rPr>
                <w:rFonts w:hint="eastAsia" w:asciiTheme="minorEastAsia" w:hAnsiTheme="minorEastAsia" w:eastAsiaTheme="minorEastAsia"/>
                <w:color w:val="auto"/>
                <w:kern w:val="2"/>
                <w:sz w:val="21"/>
                <w:szCs w:val="21"/>
                <w:lang w:eastAsia="zh-CN" w:bidi="ar-SA"/>
              </w:rPr>
            </w:pPr>
            <w:r>
              <w:rPr>
                <w:rFonts w:asciiTheme="minorEastAsia" w:hAnsiTheme="minorEastAsia" w:eastAsiaTheme="minorEastAsia"/>
                <w:color w:val="auto"/>
                <w:kern w:val="2"/>
                <w:sz w:val="21"/>
                <w:szCs w:val="21"/>
                <w:lang w:eastAsia="zh-CN" w:bidi="ar-SA"/>
              </w:rPr>
              <w:t>港口工程基桩静载荷试验规程</w:t>
            </w:r>
          </w:p>
        </w:tc>
      </w:tr>
      <w:tr w14:paraId="79E157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exact"/>
          <w:jc w:val="center"/>
        </w:trPr>
        <w:tc>
          <w:tcPr>
            <w:tcW w:w="726" w:type="dxa"/>
            <w:vAlign w:val="center"/>
          </w:tcPr>
          <w:p w14:paraId="75574DD9">
            <w:pPr>
              <w:pStyle w:val="94"/>
              <w:numPr>
                <w:ilvl w:val="0"/>
                <w:numId w:val="7"/>
              </w:numPr>
              <w:jc w:val="center"/>
              <w:rPr>
                <w:rFonts w:hint="eastAsia" w:hAnsi="宋体"/>
                <w:color w:val="auto"/>
                <w:kern w:val="2"/>
                <w:sz w:val="21"/>
                <w:szCs w:val="21"/>
              </w:rPr>
            </w:pPr>
          </w:p>
        </w:tc>
        <w:tc>
          <w:tcPr>
            <w:tcW w:w="1202" w:type="dxa"/>
            <w:vMerge w:val="continue"/>
            <w:vAlign w:val="center"/>
          </w:tcPr>
          <w:p w14:paraId="31526FE0">
            <w:pPr>
              <w:jc w:val="center"/>
              <w:rPr>
                <w:rFonts w:eastAsia="宋体"/>
                <w:color w:val="auto"/>
                <w:kern w:val="2"/>
                <w:sz w:val="21"/>
                <w:szCs w:val="21"/>
                <w:lang w:eastAsia="zh-CN" w:bidi="ar-SA"/>
              </w:rPr>
            </w:pPr>
          </w:p>
        </w:tc>
        <w:tc>
          <w:tcPr>
            <w:tcW w:w="2372" w:type="dxa"/>
            <w:vAlign w:val="center"/>
          </w:tcPr>
          <w:p w14:paraId="429AA989">
            <w:pPr>
              <w:jc w:val="both"/>
              <w:rPr>
                <w:rFonts w:hint="eastAsia" w:ascii="宋体" w:hAnsi="宋体" w:eastAsia="宋体"/>
                <w:color w:val="auto"/>
                <w:kern w:val="2"/>
                <w:sz w:val="21"/>
                <w:szCs w:val="21"/>
                <w:lang w:eastAsia="zh-CN" w:bidi="ar-SA"/>
              </w:rPr>
            </w:pPr>
            <w:r>
              <w:rPr>
                <w:rFonts w:ascii="宋体" w:hAnsi="宋体" w:eastAsia="宋体"/>
                <w:color w:val="auto"/>
                <w:kern w:val="2"/>
                <w:sz w:val="21"/>
                <w:szCs w:val="21"/>
                <w:lang w:eastAsia="zh-CN" w:bidi="ar-SA"/>
              </w:rPr>
              <w:t>JTJ/T 259-2004</w:t>
            </w:r>
          </w:p>
        </w:tc>
        <w:tc>
          <w:tcPr>
            <w:tcW w:w="4768" w:type="dxa"/>
            <w:vAlign w:val="center"/>
          </w:tcPr>
          <w:p w14:paraId="4266B959">
            <w:pPr>
              <w:jc w:val="both"/>
              <w:rPr>
                <w:rFonts w:hint="eastAsia" w:asciiTheme="minorEastAsia" w:hAnsiTheme="minorEastAsia" w:eastAsiaTheme="minorEastAsia"/>
                <w:color w:val="auto"/>
                <w:kern w:val="2"/>
                <w:sz w:val="21"/>
                <w:szCs w:val="21"/>
                <w:lang w:eastAsia="zh-CN" w:bidi="ar-SA"/>
              </w:rPr>
            </w:pPr>
            <w:r>
              <w:rPr>
                <w:rFonts w:asciiTheme="minorEastAsia" w:hAnsiTheme="minorEastAsia" w:eastAsiaTheme="minorEastAsia"/>
                <w:color w:val="auto"/>
                <w:kern w:val="2"/>
                <w:sz w:val="21"/>
                <w:szCs w:val="21"/>
                <w:lang w:eastAsia="zh-CN" w:bidi="ar-SA"/>
              </w:rPr>
              <w:t>水下深层水泥搅拌法加固软土地基技术规程</w:t>
            </w:r>
          </w:p>
        </w:tc>
      </w:tr>
      <w:tr w14:paraId="0EEE52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exact"/>
          <w:jc w:val="center"/>
        </w:trPr>
        <w:tc>
          <w:tcPr>
            <w:tcW w:w="726" w:type="dxa"/>
            <w:vAlign w:val="center"/>
          </w:tcPr>
          <w:p w14:paraId="54DC72B6">
            <w:pPr>
              <w:pStyle w:val="94"/>
              <w:numPr>
                <w:ilvl w:val="0"/>
                <w:numId w:val="7"/>
              </w:numPr>
              <w:jc w:val="center"/>
              <w:rPr>
                <w:rFonts w:hint="eastAsia" w:hAnsi="宋体"/>
                <w:color w:val="auto"/>
                <w:kern w:val="2"/>
                <w:sz w:val="21"/>
                <w:szCs w:val="21"/>
              </w:rPr>
            </w:pPr>
          </w:p>
        </w:tc>
        <w:tc>
          <w:tcPr>
            <w:tcW w:w="1202" w:type="dxa"/>
            <w:vMerge w:val="continue"/>
            <w:vAlign w:val="center"/>
          </w:tcPr>
          <w:p w14:paraId="282988C2">
            <w:pPr>
              <w:jc w:val="center"/>
              <w:rPr>
                <w:rFonts w:eastAsia="宋体"/>
                <w:color w:val="auto"/>
                <w:kern w:val="2"/>
                <w:sz w:val="21"/>
                <w:szCs w:val="21"/>
                <w:lang w:eastAsia="zh-CN" w:bidi="ar-SA"/>
              </w:rPr>
            </w:pPr>
          </w:p>
        </w:tc>
        <w:tc>
          <w:tcPr>
            <w:tcW w:w="2372" w:type="dxa"/>
            <w:vAlign w:val="center"/>
          </w:tcPr>
          <w:p w14:paraId="5C704FBE">
            <w:pPr>
              <w:jc w:val="both"/>
              <w:rPr>
                <w:rFonts w:hint="eastAsia" w:ascii="宋体" w:hAnsi="宋体" w:eastAsia="宋体"/>
                <w:color w:val="auto"/>
                <w:kern w:val="2"/>
                <w:sz w:val="21"/>
                <w:szCs w:val="21"/>
                <w:lang w:eastAsia="zh-CN" w:bidi="ar-SA"/>
              </w:rPr>
            </w:pPr>
            <w:r>
              <w:rPr>
                <w:rFonts w:ascii="宋体" w:hAnsi="宋体" w:eastAsia="宋体"/>
                <w:color w:val="auto"/>
                <w:kern w:val="2"/>
                <w:sz w:val="21"/>
                <w:szCs w:val="21"/>
                <w:lang w:eastAsia="zh-CN" w:bidi="ar-SA"/>
              </w:rPr>
              <w:t>JTJ/T 260-1997</w:t>
            </w:r>
          </w:p>
        </w:tc>
        <w:tc>
          <w:tcPr>
            <w:tcW w:w="4768" w:type="dxa"/>
            <w:vAlign w:val="center"/>
          </w:tcPr>
          <w:p w14:paraId="5BB020FC">
            <w:pPr>
              <w:jc w:val="both"/>
              <w:rPr>
                <w:rFonts w:hint="eastAsia" w:asciiTheme="minorEastAsia" w:hAnsiTheme="minorEastAsia" w:eastAsiaTheme="minorEastAsia"/>
                <w:color w:val="auto"/>
                <w:kern w:val="2"/>
                <w:sz w:val="21"/>
                <w:szCs w:val="21"/>
                <w:lang w:eastAsia="zh-CN" w:bidi="ar-SA"/>
              </w:rPr>
            </w:pPr>
            <w:r>
              <w:rPr>
                <w:rFonts w:asciiTheme="minorEastAsia" w:hAnsiTheme="minorEastAsia" w:eastAsiaTheme="minorEastAsia"/>
                <w:color w:val="auto"/>
                <w:kern w:val="2"/>
                <w:sz w:val="21"/>
                <w:szCs w:val="21"/>
                <w:lang w:eastAsia="zh-CN" w:bidi="ar-SA"/>
              </w:rPr>
              <w:t>港口工程粉煤灰填筑技术规程</w:t>
            </w:r>
          </w:p>
        </w:tc>
      </w:tr>
      <w:tr w14:paraId="57EFF1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exact"/>
          <w:jc w:val="center"/>
        </w:trPr>
        <w:tc>
          <w:tcPr>
            <w:tcW w:w="726" w:type="dxa"/>
            <w:vAlign w:val="center"/>
          </w:tcPr>
          <w:p w14:paraId="67D20CD0">
            <w:pPr>
              <w:pStyle w:val="94"/>
              <w:numPr>
                <w:ilvl w:val="0"/>
                <w:numId w:val="7"/>
              </w:numPr>
              <w:jc w:val="center"/>
              <w:rPr>
                <w:rFonts w:hint="eastAsia" w:hAnsi="宋体"/>
                <w:color w:val="auto"/>
                <w:kern w:val="2"/>
                <w:sz w:val="21"/>
                <w:szCs w:val="21"/>
              </w:rPr>
            </w:pPr>
          </w:p>
        </w:tc>
        <w:tc>
          <w:tcPr>
            <w:tcW w:w="1202" w:type="dxa"/>
            <w:vMerge w:val="continue"/>
            <w:vAlign w:val="center"/>
          </w:tcPr>
          <w:p w14:paraId="00426A52">
            <w:pPr>
              <w:jc w:val="center"/>
              <w:rPr>
                <w:rFonts w:eastAsia="宋体"/>
                <w:color w:val="auto"/>
                <w:kern w:val="2"/>
                <w:sz w:val="21"/>
                <w:szCs w:val="21"/>
                <w:lang w:eastAsia="zh-CN" w:bidi="ar-SA"/>
              </w:rPr>
            </w:pPr>
          </w:p>
        </w:tc>
        <w:tc>
          <w:tcPr>
            <w:tcW w:w="2372" w:type="dxa"/>
            <w:vAlign w:val="center"/>
          </w:tcPr>
          <w:p w14:paraId="0EF58EB4">
            <w:pPr>
              <w:jc w:val="both"/>
              <w:rPr>
                <w:rFonts w:hint="eastAsia" w:ascii="宋体" w:hAnsi="宋体" w:eastAsia="宋体"/>
                <w:color w:val="auto"/>
                <w:kern w:val="2"/>
                <w:sz w:val="21"/>
                <w:szCs w:val="21"/>
                <w:lang w:eastAsia="zh-CN" w:bidi="ar-SA"/>
              </w:rPr>
            </w:pPr>
            <w:r>
              <w:rPr>
                <w:rFonts w:ascii="宋体" w:hAnsi="宋体" w:eastAsia="宋体"/>
                <w:color w:val="auto"/>
                <w:kern w:val="2"/>
                <w:sz w:val="21"/>
                <w:szCs w:val="21"/>
                <w:lang w:eastAsia="zh-CN" w:bidi="ar-SA"/>
              </w:rPr>
              <w:t>JTS 167-6-2011</w:t>
            </w:r>
          </w:p>
        </w:tc>
        <w:tc>
          <w:tcPr>
            <w:tcW w:w="4768" w:type="dxa"/>
            <w:vAlign w:val="center"/>
          </w:tcPr>
          <w:p w14:paraId="7D704ABB">
            <w:pPr>
              <w:jc w:val="both"/>
              <w:rPr>
                <w:rFonts w:hint="eastAsia" w:asciiTheme="minorEastAsia" w:hAnsiTheme="minorEastAsia" w:eastAsiaTheme="minorEastAsia"/>
                <w:color w:val="auto"/>
                <w:kern w:val="2"/>
                <w:sz w:val="21"/>
                <w:szCs w:val="21"/>
                <w:lang w:eastAsia="zh-CN" w:bidi="ar-SA"/>
              </w:rPr>
            </w:pPr>
            <w:r>
              <w:rPr>
                <w:rFonts w:asciiTheme="minorEastAsia" w:hAnsiTheme="minorEastAsia" w:eastAsiaTheme="minorEastAsia"/>
                <w:color w:val="auto"/>
                <w:kern w:val="2"/>
                <w:sz w:val="21"/>
                <w:szCs w:val="21"/>
                <w:lang w:eastAsia="zh-CN" w:bidi="ar-SA"/>
              </w:rPr>
              <w:t>港口工程后张法预应力混凝土大管桩设计与施工规程</w:t>
            </w:r>
          </w:p>
        </w:tc>
      </w:tr>
      <w:tr w14:paraId="7F3A73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exact"/>
          <w:jc w:val="center"/>
        </w:trPr>
        <w:tc>
          <w:tcPr>
            <w:tcW w:w="726" w:type="dxa"/>
            <w:vAlign w:val="center"/>
          </w:tcPr>
          <w:p w14:paraId="2B0190EC">
            <w:pPr>
              <w:pStyle w:val="94"/>
              <w:numPr>
                <w:ilvl w:val="0"/>
                <w:numId w:val="7"/>
              </w:numPr>
              <w:jc w:val="center"/>
              <w:rPr>
                <w:rFonts w:hint="eastAsia" w:hAnsi="宋体"/>
                <w:color w:val="auto"/>
                <w:kern w:val="2"/>
                <w:sz w:val="21"/>
                <w:szCs w:val="21"/>
              </w:rPr>
            </w:pPr>
          </w:p>
        </w:tc>
        <w:tc>
          <w:tcPr>
            <w:tcW w:w="1202" w:type="dxa"/>
            <w:vMerge w:val="restart"/>
            <w:vAlign w:val="center"/>
          </w:tcPr>
          <w:p w14:paraId="762167BA">
            <w:pPr>
              <w:jc w:val="center"/>
              <w:rPr>
                <w:rFonts w:eastAsia="宋体"/>
                <w:color w:val="auto"/>
                <w:kern w:val="2"/>
                <w:sz w:val="21"/>
                <w:szCs w:val="21"/>
                <w:lang w:eastAsia="zh-CN" w:bidi="ar-SA"/>
              </w:rPr>
            </w:pPr>
            <w:r>
              <w:rPr>
                <w:rFonts w:hint="eastAsia" w:eastAsia="宋体"/>
                <w:color w:val="auto"/>
                <w:kern w:val="2"/>
                <w:sz w:val="21"/>
                <w:szCs w:val="21"/>
                <w:lang w:eastAsia="zh-CN" w:bidi="ar-SA"/>
              </w:rPr>
              <w:t>混凝土类</w:t>
            </w:r>
          </w:p>
        </w:tc>
        <w:tc>
          <w:tcPr>
            <w:tcW w:w="2372" w:type="dxa"/>
            <w:vAlign w:val="center"/>
          </w:tcPr>
          <w:p w14:paraId="7A953B09">
            <w:pPr>
              <w:widowControl/>
              <w:rPr>
                <w:rFonts w:eastAsia="等线"/>
                <w:color w:val="auto"/>
                <w:sz w:val="21"/>
                <w:szCs w:val="21"/>
                <w:lang w:eastAsia="zh-CN" w:bidi="ar-SA"/>
              </w:rPr>
            </w:pPr>
            <w:r>
              <w:rPr>
                <w:rFonts w:eastAsia="等线"/>
                <w:color w:val="auto"/>
                <w:kern w:val="2"/>
                <w:sz w:val="21"/>
                <w:szCs w:val="21"/>
                <w:lang w:eastAsia="zh-CN" w:bidi="ar-SA"/>
              </w:rPr>
              <w:t>JTJ 270-1998</w:t>
            </w:r>
          </w:p>
        </w:tc>
        <w:tc>
          <w:tcPr>
            <w:tcW w:w="4768" w:type="dxa"/>
            <w:vAlign w:val="center"/>
          </w:tcPr>
          <w:p w14:paraId="4A06BAD6">
            <w:pPr>
              <w:widowControl/>
              <w:rPr>
                <w:rFonts w:hint="eastAsia" w:asciiTheme="minorEastAsia" w:hAnsiTheme="minorEastAsia" w:eastAsiaTheme="minorEastAsia"/>
                <w:color w:val="auto"/>
                <w:sz w:val="21"/>
                <w:szCs w:val="21"/>
                <w:lang w:eastAsia="zh-CN" w:bidi="ar-SA"/>
              </w:rPr>
            </w:pPr>
            <w:r>
              <w:rPr>
                <w:rFonts w:asciiTheme="minorEastAsia" w:hAnsiTheme="minorEastAsia" w:eastAsiaTheme="minorEastAsia"/>
                <w:color w:val="auto"/>
                <w:kern w:val="2"/>
                <w:sz w:val="21"/>
                <w:szCs w:val="21"/>
                <w:lang w:eastAsia="zh-CN" w:bidi="ar-SA"/>
              </w:rPr>
              <w:t>水运工程混凝土试验规程</w:t>
            </w:r>
          </w:p>
        </w:tc>
      </w:tr>
      <w:tr w14:paraId="4608C2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exact"/>
          <w:jc w:val="center"/>
        </w:trPr>
        <w:tc>
          <w:tcPr>
            <w:tcW w:w="726" w:type="dxa"/>
            <w:vAlign w:val="center"/>
          </w:tcPr>
          <w:p w14:paraId="0063E0A7">
            <w:pPr>
              <w:pStyle w:val="94"/>
              <w:numPr>
                <w:ilvl w:val="0"/>
                <w:numId w:val="7"/>
              </w:numPr>
              <w:jc w:val="center"/>
              <w:rPr>
                <w:rFonts w:hint="eastAsia" w:hAnsi="宋体"/>
                <w:color w:val="auto"/>
                <w:kern w:val="2"/>
                <w:sz w:val="21"/>
                <w:szCs w:val="21"/>
              </w:rPr>
            </w:pPr>
          </w:p>
        </w:tc>
        <w:tc>
          <w:tcPr>
            <w:tcW w:w="1202" w:type="dxa"/>
            <w:vMerge w:val="continue"/>
            <w:vAlign w:val="center"/>
          </w:tcPr>
          <w:p w14:paraId="12AE12F4">
            <w:pPr>
              <w:jc w:val="center"/>
              <w:rPr>
                <w:rFonts w:eastAsia="宋体"/>
                <w:color w:val="auto"/>
                <w:kern w:val="2"/>
                <w:sz w:val="21"/>
                <w:szCs w:val="21"/>
                <w:lang w:eastAsia="zh-CN" w:bidi="ar-SA"/>
              </w:rPr>
            </w:pPr>
          </w:p>
        </w:tc>
        <w:tc>
          <w:tcPr>
            <w:tcW w:w="2372" w:type="dxa"/>
            <w:vAlign w:val="center"/>
          </w:tcPr>
          <w:p w14:paraId="3B19DB88">
            <w:pPr>
              <w:jc w:val="both"/>
              <w:rPr>
                <w:rFonts w:eastAsia="等线"/>
                <w:color w:val="auto"/>
                <w:kern w:val="2"/>
                <w:sz w:val="21"/>
                <w:szCs w:val="21"/>
                <w:lang w:eastAsia="zh-CN" w:bidi="ar-SA"/>
              </w:rPr>
            </w:pPr>
            <w:r>
              <w:rPr>
                <w:rFonts w:eastAsia="等线"/>
                <w:color w:val="auto"/>
                <w:kern w:val="2"/>
                <w:sz w:val="21"/>
                <w:szCs w:val="21"/>
                <w:lang w:eastAsia="zh-CN" w:bidi="ar-SA"/>
              </w:rPr>
              <w:t>JTS 151-2011</w:t>
            </w:r>
          </w:p>
        </w:tc>
        <w:tc>
          <w:tcPr>
            <w:tcW w:w="4768" w:type="dxa"/>
            <w:vAlign w:val="center"/>
          </w:tcPr>
          <w:p w14:paraId="6A07BDC9">
            <w:pPr>
              <w:jc w:val="both"/>
              <w:rPr>
                <w:rFonts w:hint="eastAsia" w:asciiTheme="minorEastAsia" w:hAnsiTheme="minorEastAsia" w:eastAsiaTheme="minorEastAsia"/>
                <w:color w:val="auto"/>
                <w:kern w:val="2"/>
                <w:sz w:val="21"/>
                <w:szCs w:val="21"/>
                <w:lang w:eastAsia="zh-CN" w:bidi="ar-SA"/>
              </w:rPr>
            </w:pPr>
            <w:r>
              <w:rPr>
                <w:rFonts w:asciiTheme="minorEastAsia" w:hAnsiTheme="minorEastAsia" w:eastAsiaTheme="minorEastAsia"/>
                <w:color w:val="auto"/>
                <w:kern w:val="2"/>
                <w:sz w:val="21"/>
                <w:szCs w:val="21"/>
                <w:lang w:eastAsia="zh-CN" w:bidi="ar-SA"/>
              </w:rPr>
              <w:t>水运工程混凝土结构设计规范</w:t>
            </w:r>
          </w:p>
        </w:tc>
      </w:tr>
      <w:tr w14:paraId="05897F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exact"/>
          <w:jc w:val="center"/>
        </w:trPr>
        <w:tc>
          <w:tcPr>
            <w:tcW w:w="726" w:type="dxa"/>
            <w:vAlign w:val="center"/>
          </w:tcPr>
          <w:p w14:paraId="590A4EFB">
            <w:pPr>
              <w:pStyle w:val="94"/>
              <w:numPr>
                <w:ilvl w:val="0"/>
                <w:numId w:val="7"/>
              </w:numPr>
              <w:jc w:val="center"/>
              <w:rPr>
                <w:rFonts w:hint="eastAsia" w:hAnsi="宋体"/>
                <w:color w:val="auto"/>
                <w:kern w:val="2"/>
                <w:sz w:val="21"/>
                <w:szCs w:val="21"/>
              </w:rPr>
            </w:pPr>
          </w:p>
        </w:tc>
        <w:tc>
          <w:tcPr>
            <w:tcW w:w="1202" w:type="dxa"/>
            <w:vMerge w:val="continue"/>
            <w:vAlign w:val="center"/>
          </w:tcPr>
          <w:p w14:paraId="7B84EB97">
            <w:pPr>
              <w:jc w:val="center"/>
              <w:rPr>
                <w:rFonts w:eastAsia="宋体"/>
                <w:color w:val="auto"/>
                <w:kern w:val="2"/>
                <w:sz w:val="21"/>
                <w:szCs w:val="21"/>
                <w:lang w:eastAsia="zh-CN" w:bidi="ar-SA"/>
              </w:rPr>
            </w:pPr>
          </w:p>
        </w:tc>
        <w:tc>
          <w:tcPr>
            <w:tcW w:w="2372" w:type="dxa"/>
            <w:vAlign w:val="center"/>
          </w:tcPr>
          <w:p w14:paraId="354EFC16">
            <w:pPr>
              <w:jc w:val="both"/>
              <w:rPr>
                <w:rFonts w:eastAsia="等线"/>
                <w:color w:val="auto"/>
                <w:kern w:val="2"/>
                <w:sz w:val="21"/>
                <w:szCs w:val="21"/>
                <w:lang w:eastAsia="zh-CN" w:bidi="ar-SA"/>
              </w:rPr>
            </w:pPr>
            <w:r>
              <w:rPr>
                <w:rFonts w:eastAsia="等线"/>
                <w:color w:val="auto"/>
                <w:kern w:val="2"/>
                <w:sz w:val="21"/>
                <w:szCs w:val="21"/>
                <w:lang w:eastAsia="zh-CN" w:bidi="ar-SA"/>
              </w:rPr>
              <w:t>JTS 239-2015</w:t>
            </w:r>
          </w:p>
        </w:tc>
        <w:tc>
          <w:tcPr>
            <w:tcW w:w="4768" w:type="dxa"/>
            <w:vAlign w:val="center"/>
          </w:tcPr>
          <w:p w14:paraId="3229B820">
            <w:pPr>
              <w:jc w:val="both"/>
              <w:rPr>
                <w:rFonts w:hint="eastAsia" w:asciiTheme="minorEastAsia" w:hAnsiTheme="minorEastAsia" w:eastAsiaTheme="minorEastAsia"/>
                <w:color w:val="auto"/>
                <w:kern w:val="2"/>
                <w:sz w:val="21"/>
                <w:szCs w:val="21"/>
                <w:lang w:eastAsia="zh-CN" w:bidi="ar-SA"/>
              </w:rPr>
            </w:pPr>
            <w:r>
              <w:rPr>
                <w:rFonts w:asciiTheme="minorEastAsia" w:hAnsiTheme="minorEastAsia" w:eastAsiaTheme="minorEastAsia"/>
                <w:color w:val="auto"/>
                <w:kern w:val="2"/>
                <w:sz w:val="21"/>
                <w:szCs w:val="21"/>
                <w:lang w:eastAsia="zh-CN" w:bidi="ar-SA"/>
              </w:rPr>
              <w:t>水运工程混凝土结构实体检测技术规程</w:t>
            </w:r>
          </w:p>
        </w:tc>
      </w:tr>
      <w:tr w14:paraId="74DA83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exact"/>
          <w:jc w:val="center"/>
        </w:trPr>
        <w:tc>
          <w:tcPr>
            <w:tcW w:w="726" w:type="dxa"/>
            <w:vAlign w:val="center"/>
          </w:tcPr>
          <w:p w14:paraId="06E12CEE">
            <w:pPr>
              <w:pStyle w:val="94"/>
              <w:numPr>
                <w:ilvl w:val="0"/>
                <w:numId w:val="7"/>
              </w:numPr>
              <w:jc w:val="center"/>
              <w:rPr>
                <w:rFonts w:hint="eastAsia" w:hAnsi="宋体"/>
                <w:color w:val="auto"/>
                <w:kern w:val="2"/>
                <w:sz w:val="21"/>
                <w:szCs w:val="21"/>
              </w:rPr>
            </w:pPr>
          </w:p>
        </w:tc>
        <w:tc>
          <w:tcPr>
            <w:tcW w:w="1202" w:type="dxa"/>
            <w:vMerge w:val="continue"/>
            <w:vAlign w:val="center"/>
          </w:tcPr>
          <w:p w14:paraId="07856DCC">
            <w:pPr>
              <w:jc w:val="center"/>
              <w:rPr>
                <w:rFonts w:eastAsia="宋体"/>
                <w:color w:val="auto"/>
                <w:kern w:val="2"/>
                <w:sz w:val="21"/>
                <w:szCs w:val="21"/>
                <w:lang w:eastAsia="zh-CN" w:bidi="ar-SA"/>
              </w:rPr>
            </w:pPr>
          </w:p>
        </w:tc>
        <w:tc>
          <w:tcPr>
            <w:tcW w:w="2372" w:type="dxa"/>
            <w:vAlign w:val="center"/>
          </w:tcPr>
          <w:p w14:paraId="24D1DB97">
            <w:pPr>
              <w:jc w:val="both"/>
              <w:rPr>
                <w:rFonts w:eastAsia="等线"/>
                <w:color w:val="auto"/>
                <w:kern w:val="2"/>
                <w:sz w:val="21"/>
                <w:szCs w:val="21"/>
                <w:lang w:eastAsia="zh-CN" w:bidi="ar-SA"/>
              </w:rPr>
            </w:pPr>
            <w:r>
              <w:rPr>
                <w:rFonts w:eastAsia="等线"/>
                <w:color w:val="auto"/>
                <w:kern w:val="2"/>
                <w:sz w:val="21"/>
                <w:szCs w:val="21"/>
                <w:lang w:eastAsia="zh-CN" w:bidi="ar-SA"/>
              </w:rPr>
              <w:t>JTS 202-2011</w:t>
            </w:r>
          </w:p>
        </w:tc>
        <w:tc>
          <w:tcPr>
            <w:tcW w:w="4768" w:type="dxa"/>
            <w:vAlign w:val="center"/>
          </w:tcPr>
          <w:p w14:paraId="21E1F757">
            <w:pPr>
              <w:jc w:val="both"/>
              <w:rPr>
                <w:rFonts w:hint="eastAsia" w:asciiTheme="minorEastAsia" w:hAnsiTheme="minorEastAsia" w:eastAsiaTheme="minorEastAsia"/>
                <w:color w:val="auto"/>
                <w:kern w:val="2"/>
                <w:sz w:val="21"/>
                <w:szCs w:val="21"/>
                <w:lang w:eastAsia="zh-CN" w:bidi="ar-SA"/>
              </w:rPr>
            </w:pPr>
            <w:r>
              <w:rPr>
                <w:rFonts w:asciiTheme="minorEastAsia" w:hAnsiTheme="minorEastAsia" w:eastAsiaTheme="minorEastAsia"/>
                <w:color w:val="auto"/>
                <w:kern w:val="2"/>
                <w:sz w:val="21"/>
                <w:szCs w:val="21"/>
                <w:lang w:eastAsia="zh-CN" w:bidi="ar-SA"/>
              </w:rPr>
              <w:t>水运工程混凝土施工规范</w:t>
            </w:r>
          </w:p>
        </w:tc>
      </w:tr>
      <w:tr w14:paraId="27AB1E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exact"/>
          <w:jc w:val="center"/>
        </w:trPr>
        <w:tc>
          <w:tcPr>
            <w:tcW w:w="726" w:type="dxa"/>
            <w:vAlign w:val="center"/>
          </w:tcPr>
          <w:p w14:paraId="7DE13C6A">
            <w:pPr>
              <w:pStyle w:val="94"/>
              <w:numPr>
                <w:ilvl w:val="0"/>
                <w:numId w:val="7"/>
              </w:numPr>
              <w:jc w:val="center"/>
              <w:rPr>
                <w:rFonts w:hint="eastAsia" w:hAnsi="宋体"/>
                <w:color w:val="auto"/>
                <w:kern w:val="2"/>
                <w:sz w:val="21"/>
                <w:szCs w:val="21"/>
              </w:rPr>
            </w:pPr>
          </w:p>
        </w:tc>
        <w:tc>
          <w:tcPr>
            <w:tcW w:w="1202" w:type="dxa"/>
            <w:vMerge w:val="continue"/>
            <w:vAlign w:val="center"/>
          </w:tcPr>
          <w:p w14:paraId="44D7BA66">
            <w:pPr>
              <w:jc w:val="center"/>
              <w:rPr>
                <w:rFonts w:eastAsia="宋体"/>
                <w:color w:val="auto"/>
                <w:kern w:val="2"/>
                <w:sz w:val="21"/>
                <w:szCs w:val="21"/>
                <w:lang w:eastAsia="zh-CN" w:bidi="ar-SA"/>
              </w:rPr>
            </w:pPr>
          </w:p>
        </w:tc>
        <w:tc>
          <w:tcPr>
            <w:tcW w:w="2372" w:type="dxa"/>
            <w:vAlign w:val="center"/>
          </w:tcPr>
          <w:p w14:paraId="2316B9B1">
            <w:pPr>
              <w:jc w:val="both"/>
              <w:rPr>
                <w:rFonts w:eastAsia="等线"/>
                <w:color w:val="auto"/>
                <w:kern w:val="2"/>
                <w:sz w:val="21"/>
                <w:szCs w:val="21"/>
                <w:lang w:eastAsia="zh-CN" w:bidi="ar-SA"/>
              </w:rPr>
            </w:pPr>
            <w:r>
              <w:rPr>
                <w:rFonts w:eastAsia="等线"/>
                <w:color w:val="auto"/>
                <w:kern w:val="2"/>
                <w:sz w:val="21"/>
                <w:szCs w:val="21"/>
                <w:lang w:eastAsia="zh-CN" w:bidi="ar-SA"/>
              </w:rPr>
              <w:t>JTS 202-1-2010</w:t>
            </w:r>
          </w:p>
        </w:tc>
        <w:tc>
          <w:tcPr>
            <w:tcW w:w="4768" w:type="dxa"/>
            <w:vAlign w:val="center"/>
          </w:tcPr>
          <w:p w14:paraId="39DE7E96">
            <w:pPr>
              <w:jc w:val="both"/>
              <w:rPr>
                <w:rFonts w:hint="eastAsia" w:asciiTheme="minorEastAsia" w:hAnsiTheme="minorEastAsia" w:eastAsiaTheme="minorEastAsia"/>
                <w:color w:val="auto"/>
                <w:kern w:val="2"/>
                <w:sz w:val="21"/>
                <w:szCs w:val="21"/>
                <w:lang w:eastAsia="zh-CN" w:bidi="ar-SA"/>
              </w:rPr>
            </w:pPr>
            <w:r>
              <w:rPr>
                <w:rFonts w:asciiTheme="minorEastAsia" w:hAnsiTheme="minorEastAsia" w:eastAsiaTheme="minorEastAsia"/>
                <w:color w:val="auto"/>
                <w:kern w:val="2"/>
                <w:sz w:val="21"/>
                <w:szCs w:val="21"/>
                <w:lang w:eastAsia="zh-CN" w:bidi="ar-SA"/>
              </w:rPr>
              <w:t>水运工程大体积混凝土温度裂缝控制技术规程</w:t>
            </w:r>
          </w:p>
        </w:tc>
      </w:tr>
      <w:tr w14:paraId="0E5154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exact"/>
          <w:jc w:val="center"/>
        </w:trPr>
        <w:tc>
          <w:tcPr>
            <w:tcW w:w="726" w:type="dxa"/>
            <w:vAlign w:val="center"/>
          </w:tcPr>
          <w:p w14:paraId="6AC4B90C">
            <w:pPr>
              <w:pStyle w:val="94"/>
              <w:numPr>
                <w:ilvl w:val="0"/>
                <w:numId w:val="7"/>
              </w:numPr>
              <w:jc w:val="center"/>
              <w:rPr>
                <w:rFonts w:hint="eastAsia" w:hAnsi="宋体"/>
                <w:color w:val="auto"/>
                <w:kern w:val="2"/>
                <w:sz w:val="21"/>
                <w:szCs w:val="21"/>
              </w:rPr>
            </w:pPr>
          </w:p>
        </w:tc>
        <w:tc>
          <w:tcPr>
            <w:tcW w:w="1202" w:type="dxa"/>
            <w:vMerge w:val="continue"/>
            <w:vAlign w:val="center"/>
          </w:tcPr>
          <w:p w14:paraId="17FBF846">
            <w:pPr>
              <w:jc w:val="center"/>
              <w:rPr>
                <w:rFonts w:eastAsia="宋体"/>
                <w:color w:val="auto"/>
                <w:kern w:val="2"/>
                <w:sz w:val="21"/>
                <w:szCs w:val="21"/>
                <w:lang w:eastAsia="zh-CN" w:bidi="ar-SA"/>
              </w:rPr>
            </w:pPr>
          </w:p>
        </w:tc>
        <w:tc>
          <w:tcPr>
            <w:tcW w:w="2372" w:type="dxa"/>
            <w:vAlign w:val="center"/>
          </w:tcPr>
          <w:p w14:paraId="38705319">
            <w:pPr>
              <w:jc w:val="both"/>
              <w:rPr>
                <w:rFonts w:eastAsia="等线"/>
                <w:color w:val="auto"/>
                <w:kern w:val="2"/>
                <w:sz w:val="21"/>
                <w:szCs w:val="21"/>
                <w:lang w:eastAsia="zh-CN" w:bidi="ar-SA"/>
              </w:rPr>
            </w:pPr>
            <w:r>
              <w:rPr>
                <w:rFonts w:eastAsia="等线"/>
                <w:color w:val="auto"/>
                <w:kern w:val="2"/>
                <w:sz w:val="21"/>
                <w:szCs w:val="21"/>
                <w:lang w:eastAsia="zh-CN" w:bidi="ar-SA"/>
              </w:rPr>
              <w:t>JTS 202-2-2011</w:t>
            </w:r>
          </w:p>
        </w:tc>
        <w:tc>
          <w:tcPr>
            <w:tcW w:w="4768" w:type="dxa"/>
            <w:vAlign w:val="center"/>
          </w:tcPr>
          <w:p w14:paraId="4830AC5D">
            <w:pPr>
              <w:jc w:val="both"/>
              <w:rPr>
                <w:rFonts w:hint="eastAsia" w:asciiTheme="minorEastAsia" w:hAnsiTheme="minorEastAsia" w:eastAsiaTheme="minorEastAsia"/>
                <w:color w:val="auto"/>
                <w:kern w:val="2"/>
                <w:sz w:val="21"/>
                <w:szCs w:val="21"/>
                <w:lang w:eastAsia="zh-CN" w:bidi="ar-SA"/>
              </w:rPr>
            </w:pPr>
            <w:r>
              <w:rPr>
                <w:rFonts w:asciiTheme="minorEastAsia" w:hAnsiTheme="minorEastAsia" w:eastAsiaTheme="minorEastAsia"/>
                <w:color w:val="auto"/>
                <w:kern w:val="2"/>
                <w:sz w:val="21"/>
                <w:szCs w:val="21"/>
                <w:lang w:eastAsia="zh-CN" w:bidi="ar-SA"/>
              </w:rPr>
              <w:t>水运工程混凝土质量控制标准</w:t>
            </w:r>
          </w:p>
        </w:tc>
      </w:tr>
      <w:tr w14:paraId="1DF99E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exact"/>
          <w:jc w:val="center"/>
        </w:trPr>
        <w:tc>
          <w:tcPr>
            <w:tcW w:w="726" w:type="dxa"/>
            <w:vAlign w:val="center"/>
          </w:tcPr>
          <w:p w14:paraId="611683B5">
            <w:pPr>
              <w:pStyle w:val="94"/>
              <w:numPr>
                <w:ilvl w:val="0"/>
                <w:numId w:val="7"/>
              </w:numPr>
              <w:jc w:val="center"/>
              <w:rPr>
                <w:rFonts w:hint="eastAsia" w:hAnsi="宋体"/>
                <w:color w:val="auto"/>
                <w:kern w:val="2"/>
                <w:sz w:val="21"/>
                <w:szCs w:val="21"/>
              </w:rPr>
            </w:pPr>
          </w:p>
        </w:tc>
        <w:tc>
          <w:tcPr>
            <w:tcW w:w="1202" w:type="dxa"/>
            <w:vMerge w:val="restart"/>
            <w:vAlign w:val="center"/>
          </w:tcPr>
          <w:p w14:paraId="37C7964A">
            <w:pPr>
              <w:jc w:val="center"/>
              <w:rPr>
                <w:rFonts w:eastAsia="宋体"/>
                <w:color w:val="auto"/>
                <w:kern w:val="2"/>
                <w:sz w:val="21"/>
                <w:szCs w:val="21"/>
                <w:lang w:eastAsia="zh-CN" w:bidi="ar-SA"/>
              </w:rPr>
            </w:pPr>
            <w:r>
              <w:rPr>
                <w:rFonts w:hint="eastAsia" w:eastAsia="宋体"/>
                <w:color w:val="auto"/>
                <w:kern w:val="2"/>
                <w:sz w:val="21"/>
                <w:szCs w:val="21"/>
                <w:lang w:eastAsia="zh-CN" w:bidi="ar-SA"/>
              </w:rPr>
              <w:t>航道类</w:t>
            </w:r>
          </w:p>
        </w:tc>
        <w:tc>
          <w:tcPr>
            <w:tcW w:w="2372" w:type="dxa"/>
            <w:vAlign w:val="center"/>
          </w:tcPr>
          <w:p w14:paraId="7EDD5F0F">
            <w:pPr>
              <w:widowControl/>
              <w:rPr>
                <w:rFonts w:eastAsia="等线"/>
                <w:color w:val="auto"/>
                <w:sz w:val="21"/>
                <w:szCs w:val="21"/>
                <w:lang w:eastAsia="zh-CN" w:bidi="ar-SA"/>
              </w:rPr>
            </w:pPr>
            <w:r>
              <w:rPr>
                <w:rFonts w:eastAsia="等线"/>
                <w:color w:val="auto"/>
                <w:kern w:val="2"/>
                <w:sz w:val="21"/>
                <w:szCs w:val="21"/>
                <w:lang w:eastAsia="zh-CN" w:bidi="ar-SA"/>
              </w:rPr>
              <w:t>JTJ/T 204-1996</w:t>
            </w:r>
          </w:p>
        </w:tc>
        <w:tc>
          <w:tcPr>
            <w:tcW w:w="4768" w:type="dxa"/>
            <w:vAlign w:val="center"/>
          </w:tcPr>
          <w:p w14:paraId="0D94BBE9">
            <w:pPr>
              <w:widowControl/>
              <w:rPr>
                <w:rFonts w:hint="eastAsia" w:asciiTheme="minorEastAsia" w:hAnsiTheme="minorEastAsia" w:eastAsiaTheme="minorEastAsia"/>
                <w:color w:val="auto"/>
                <w:sz w:val="21"/>
                <w:szCs w:val="21"/>
                <w:lang w:eastAsia="zh-CN" w:bidi="ar-SA"/>
              </w:rPr>
            </w:pPr>
            <w:r>
              <w:rPr>
                <w:rFonts w:hint="eastAsia" w:asciiTheme="minorEastAsia" w:hAnsiTheme="minorEastAsia" w:eastAsiaTheme="minorEastAsia"/>
                <w:color w:val="auto"/>
                <w:kern w:val="2"/>
                <w:sz w:val="21"/>
                <w:szCs w:val="21"/>
                <w:lang w:eastAsia="zh-CN" w:bidi="ar-SA"/>
              </w:rPr>
              <w:t>航道工程基本术语标准</w:t>
            </w:r>
          </w:p>
        </w:tc>
      </w:tr>
      <w:tr w14:paraId="155F6F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exact"/>
          <w:jc w:val="center"/>
        </w:trPr>
        <w:tc>
          <w:tcPr>
            <w:tcW w:w="726" w:type="dxa"/>
            <w:vAlign w:val="center"/>
          </w:tcPr>
          <w:p w14:paraId="0C3152B6">
            <w:pPr>
              <w:pStyle w:val="94"/>
              <w:numPr>
                <w:ilvl w:val="0"/>
                <w:numId w:val="7"/>
              </w:numPr>
              <w:jc w:val="center"/>
              <w:rPr>
                <w:rFonts w:hint="eastAsia" w:hAnsi="宋体"/>
                <w:color w:val="auto"/>
                <w:kern w:val="2"/>
                <w:sz w:val="21"/>
                <w:szCs w:val="21"/>
              </w:rPr>
            </w:pPr>
          </w:p>
        </w:tc>
        <w:tc>
          <w:tcPr>
            <w:tcW w:w="1202" w:type="dxa"/>
            <w:vMerge w:val="continue"/>
            <w:vAlign w:val="center"/>
          </w:tcPr>
          <w:p w14:paraId="5B3EB881">
            <w:pPr>
              <w:jc w:val="center"/>
              <w:rPr>
                <w:rFonts w:eastAsia="宋体"/>
                <w:color w:val="auto"/>
                <w:kern w:val="2"/>
                <w:sz w:val="21"/>
                <w:szCs w:val="21"/>
                <w:lang w:eastAsia="zh-CN" w:bidi="ar-SA"/>
              </w:rPr>
            </w:pPr>
          </w:p>
        </w:tc>
        <w:tc>
          <w:tcPr>
            <w:tcW w:w="2372" w:type="dxa"/>
            <w:vAlign w:val="center"/>
          </w:tcPr>
          <w:p w14:paraId="10390309">
            <w:pPr>
              <w:jc w:val="both"/>
              <w:rPr>
                <w:rFonts w:eastAsia="等线"/>
                <w:color w:val="auto"/>
                <w:kern w:val="2"/>
                <w:sz w:val="21"/>
                <w:szCs w:val="21"/>
                <w:lang w:eastAsia="zh-CN" w:bidi="ar-SA"/>
              </w:rPr>
            </w:pPr>
            <w:r>
              <w:rPr>
                <w:rFonts w:eastAsia="等线"/>
                <w:color w:val="auto"/>
                <w:kern w:val="2"/>
                <w:sz w:val="21"/>
                <w:szCs w:val="21"/>
                <w:lang w:eastAsia="zh-CN" w:bidi="ar-SA"/>
              </w:rPr>
              <w:t>JTS 145-1-2011</w:t>
            </w:r>
          </w:p>
        </w:tc>
        <w:tc>
          <w:tcPr>
            <w:tcW w:w="4768" w:type="dxa"/>
            <w:vAlign w:val="center"/>
          </w:tcPr>
          <w:p w14:paraId="76361F65">
            <w:pPr>
              <w:jc w:val="both"/>
              <w:rPr>
                <w:rFonts w:hint="eastAsia" w:asciiTheme="minorEastAsia" w:hAnsiTheme="minorEastAsia" w:eastAsiaTheme="minorEastAsia"/>
                <w:color w:val="auto"/>
                <w:kern w:val="2"/>
                <w:sz w:val="21"/>
                <w:szCs w:val="21"/>
                <w:lang w:eastAsia="zh-CN" w:bidi="ar-SA"/>
              </w:rPr>
            </w:pPr>
            <w:r>
              <w:rPr>
                <w:rFonts w:asciiTheme="minorEastAsia" w:hAnsiTheme="minorEastAsia" w:eastAsiaTheme="minorEastAsia"/>
                <w:color w:val="auto"/>
                <w:kern w:val="2"/>
                <w:sz w:val="21"/>
                <w:szCs w:val="21"/>
                <w:lang w:eastAsia="zh-CN" w:bidi="ar-SA"/>
              </w:rPr>
              <w:t>内河航运工程水文规范</w:t>
            </w:r>
          </w:p>
        </w:tc>
      </w:tr>
      <w:tr w14:paraId="17AF2C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exact"/>
          <w:jc w:val="center"/>
        </w:trPr>
        <w:tc>
          <w:tcPr>
            <w:tcW w:w="726" w:type="dxa"/>
            <w:vAlign w:val="center"/>
          </w:tcPr>
          <w:p w14:paraId="0947A32F">
            <w:pPr>
              <w:pStyle w:val="94"/>
              <w:numPr>
                <w:ilvl w:val="0"/>
                <w:numId w:val="7"/>
              </w:numPr>
              <w:jc w:val="center"/>
              <w:rPr>
                <w:rFonts w:hint="eastAsia" w:hAnsi="宋体"/>
                <w:color w:val="auto"/>
                <w:kern w:val="2"/>
                <w:sz w:val="21"/>
                <w:szCs w:val="21"/>
              </w:rPr>
            </w:pPr>
          </w:p>
        </w:tc>
        <w:tc>
          <w:tcPr>
            <w:tcW w:w="1202" w:type="dxa"/>
            <w:vMerge w:val="continue"/>
            <w:vAlign w:val="center"/>
          </w:tcPr>
          <w:p w14:paraId="1C4BFA93">
            <w:pPr>
              <w:jc w:val="center"/>
              <w:rPr>
                <w:rFonts w:eastAsia="宋体"/>
                <w:color w:val="auto"/>
                <w:kern w:val="2"/>
                <w:sz w:val="21"/>
                <w:szCs w:val="21"/>
                <w:lang w:eastAsia="zh-CN" w:bidi="ar-SA"/>
              </w:rPr>
            </w:pPr>
          </w:p>
        </w:tc>
        <w:tc>
          <w:tcPr>
            <w:tcW w:w="2372" w:type="dxa"/>
            <w:vAlign w:val="center"/>
          </w:tcPr>
          <w:p w14:paraId="29D88B3B">
            <w:pPr>
              <w:jc w:val="both"/>
              <w:rPr>
                <w:rFonts w:eastAsia="等线"/>
                <w:color w:val="auto"/>
                <w:kern w:val="2"/>
                <w:sz w:val="21"/>
                <w:szCs w:val="21"/>
                <w:lang w:eastAsia="zh-CN" w:bidi="ar-SA"/>
              </w:rPr>
            </w:pPr>
            <w:r>
              <w:rPr>
                <w:rFonts w:eastAsia="等线"/>
                <w:color w:val="auto"/>
                <w:kern w:val="2"/>
                <w:sz w:val="21"/>
                <w:szCs w:val="21"/>
                <w:lang w:eastAsia="zh-CN" w:bidi="ar-SA"/>
              </w:rPr>
              <w:t>JTS 182-1-2009</w:t>
            </w:r>
          </w:p>
        </w:tc>
        <w:tc>
          <w:tcPr>
            <w:tcW w:w="4768" w:type="dxa"/>
            <w:vAlign w:val="center"/>
          </w:tcPr>
          <w:p w14:paraId="73622841">
            <w:pPr>
              <w:jc w:val="both"/>
              <w:rPr>
                <w:rFonts w:hint="eastAsia" w:asciiTheme="minorEastAsia" w:hAnsiTheme="minorEastAsia" w:eastAsiaTheme="minorEastAsia"/>
                <w:color w:val="auto"/>
                <w:kern w:val="2"/>
                <w:sz w:val="21"/>
                <w:szCs w:val="21"/>
                <w:lang w:eastAsia="zh-CN" w:bidi="ar-SA"/>
              </w:rPr>
            </w:pPr>
            <w:r>
              <w:rPr>
                <w:rFonts w:hint="eastAsia" w:asciiTheme="minorEastAsia" w:hAnsiTheme="minorEastAsia" w:eastAsiaTheme="minorEastAsia"/>
                <w:color w:val="auto"/>
                <w:kern w:val="2"/>
                <w:sz w:val="21"/>
                <w:szCs w:val="21"/>
                <w:lang w:eastAsia="zh-CN" w:bidi="ar-SA"/>
              </w:rPr>
              <w:t>渠化工程枢纽总体设计规范</w:t>
            </w:r>
          </w:p>
        </w:tc>
      </w:tr>
      <w:tr w14:paraId="28F805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exact"/>
          <w:jc w:val="center"/>
        </w:trPr>
        <w:tc>
          <w:tcPr>
            <w:tcW w:w="726" w:type="dxa"/>
            <w:vAlign w:val="center"/>
          </w:tcPr>
          <w:p w14:paraId="365BDF9C">
            <w:pPr>
              <w:pStyle w:val="94"/>
              <w:numPr>
                <w:ilvl w:val="0"/>
                <w:numId w:val="7"/>
              </w:numPr>
              <w:jc w:val="center"/>
              <w:rPr>
                <w:rFonts w:hint="eastAsia" w:hAnsi="宋体"/>
                <w:color w:val="auto"/>
                <w:kern w:val="2"/>
                <w:sz w:val="21"/>
                <w:szCs w:val="21"/>
              </w:rPr>
            </w:pPr>
          </w:p>
        </w:tc>
        <w:tc>
          <w:tcPr>
            <w:tcW w:w="1202" w:type="dxa"/>
            <w:vMerge w:val="continue"/>
            <w:vAlign w:val="center"/>
          </w:tcPr>
          <w:p w14:paraId="7D9E3723">
            <w:pPr>
              <w:jc w:val="center"/>
              <w:rPr>
                <w:rFonts w:eastAsia="宋体"/>
                <w:color w:val="auto"/>
                <w:kern w:val="2"/>
                <w:sz w:val="21"/>
                <w:szCs w:val="21"/>
                <w:lang w:eastAsia="zh-CN" w:bidi="ar-SA"/>
              </w:rPr>
            </w:pPr>
          </w:p>
        </w:tc>
        <w:tc>
          <w:tcPr>
            <w:tcW w:w="2372" w:type="dxa"/>
            <w:vAlign w:val="center"/>
          </w:tcPr>
          <w:p w14:paraId="39B64741">
            <w:pPr>
              <w:jc w:val="both"/>
              <w:rPr>
                <w:rFonts w:eastAsia="等线"/>
                <w:color w:val="auto"/>
                <w:kern w:val="2"/>
                <w:sz w:val="21"/>
                <w:szCs w:val="21"/>
                <w:lang w:eastAsia="zh-CN" w:bidi="ar-SA"/>
              </w:rPr>
            </w:pPr>
            <w:r>
              <w:rPr>
                <w:rFonts w:eastAsia="等线"/>
                <w:color w:val="auto"/>
                <w:kern w:val="2"/>
                <w:sz w:val="21"/>
                <w:szCs w:val="21"/>
                <w:lang w:eastAsia="zh-CN" w:bidi="ar-SA"/>
              </w:rPr>
              <w:t>JTJ 227-2001</w:t>
            </w:r>
          </w:p>
        </w:tc>
        <w:tc>
          <w:tcPr>
            <w:tcW w:w="4768" w:type="dxa"/>
            <w:vAlign w:val="center"/>
          </w:tcPr>
          <w:p w14:paraId="20D8671A">
            <w:pPr>
              <w:jc w:val="both"/>
              <w:rPr>
                <w:rFonts w:hint="eastAsia" w:asciiTheme="minorEastAsia" w:hAnsiTheme="minorEastAsia" w:eastAsiaTheme="minorEastAsia"/>
                <w:color w:val="auto"/>
                <w:kern w:val="2"/>
                <w:sz w:val="21"/>
                <w:szCs w:val="21"/>
                <w:lang w:eastAsia="zh-CN" w:bidi="ar-SA"/>
              </w:rPr>
            </w:pPr>
            <w:r>
              <w:rPr>
                <w:rFonts w:asciiTheme="minorEastAsia" w:hAnsiTheme="minorEastAsia" w:eastAsiaTheme="minorEastAsia"/>
                <w:color w:val="auto"/>
                <w:kern w:val="2"/>
                <w:sz w:val="21"/>
                <w:szCs w:val="21"/>
                <w:lang w:eastAsia="zh-CN" w:bidi="ar-SA"/>
              </w:rPr>
              <w:t>内河航运建设项目环境影响评价规范</w:t>
            </w:r>
          </w:p>
        </w:tc>
      </w:tr>
      <w:tr w14:paraId="163D6F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exact"/>
          <w:jc w:val="center"/>
        </w:trPr>
        <w:tc>
          <w:tcPr>
            <w:tcW w:w="726" w:type="dxa"/>
            <w:vAlign w:val="center"/>
          </w:tcPr>
          <w:p w14:paraId="4E03232C">
            <w:pPr>
              <w:pStyle w:val="94"/>
              <w:numPr>
                <w:ilvl w:val="0"/>
                <w:numId w:val="7"/>
              </w:numPr>
              <w:jc w:val="center"/>
              <w:rPr>
                <w:rFonts w:hint="eastAsia" w:hAnsi="宋体"/>
                <w:color w:val="auto"/>
                <w:kern w:val="2"/>
                <w:sz w:val="21"/>
                <w:szCs w:val="21"/>
              </w:rPr>
            </w:pPr>
          </w:p>
        </w:tc>
        <w:tc>
          <w:tcPr>
            <w:tcW w:w="1202" w:type="dxa"/>
            <w:vMerge w:val="continue"/>
            <w:vAlign w:val="center"/>
          </w:tcPr>
          <w:p w14:paraId="6969346F">
            <w:pPr>
              <w:jc w:val="center"/>
              <w:rPr>
                <w:rFonts w:eastAsia="宋体"/>
                <w:color w:val="auto"/>
                <w:kern w:val="2"/>
                <w:sz w:val="21"/>
                <w:szCs w:val="21"/>
                <w:lang w:eastAsia="zh-CN" w:bidi="ar-SA"/>
              </w:rPr>
            </w:pPr>
          </w:p>
        </w:tc>
        <w:tc>
          <w:tcPr>
            <w:tcW w:w="2372" w:type="dxa"/>
            <w:vAlign w:val="center"/>
          </w:tcPr>
          <w:p w14:paraId="040D8448">
            <w:pPr>
              <w:jc w:val="both"/>
              <w:rPr>
                <w:rFonts w:eastAsia="等线"/>
                <w:color w:val="auto"/>
                <w:kern w:val="2"/>
                <w:sz w:val="21"/>
                <w:szCs w:val="21"/>
                <w:lang w:eastAsia="zh-CN" w:bidi="ar-SA"/>
              </w:rPr>
            </w:pPr>
            <w:r>
              <w:rPr>
                <w:rFonts w:eastAsia="等线"/>
                <w:color w:val="auto"/>
                <w:kern w:val="2"/>
                <w:sz w:val="21"/>
                <w:szCs w:val="21"/>
                <w:lang w:eastAsia="zh-CN" w:bidi="ar-SA"/>
              </w:rPr>
              <w:t>JTJ 287-2005</w:t>
            </w:r>
          </w:p>
        </w:tc>
        <w:tc>
          <w:tcPr>
            <w:tcW w:w="4768" w:type="dxa"/>
            <w:vAlign w:val="center"/>
          </w:tcPr>
          <w:p w14:paraId="15987E99">
            <w:pPr>
              <w:jc w:val="both"/>
              <w:rPr>
                <w:rFonts w:hint="eastAsia" w:asciiTheme="minorEastAsia" w:hAnsiTheme="minorEastAsia" w:eastAsiaTheme="minorEastAsia"/>
                <w:color w:val="auto"/>
                <w:kern w:val="2"/>
                <w:sz w:val="21"/>
                <w:szCs w:val="21"/>
                <w:lang w:eastAsia="zh-CN" w:bidi="ar-SA"/>
              </w:rPr>
            </w:pPr>
            <w:r>
              <w:rPr>
                <w:rFonts w:asciiTheme="minorEastAsia" w:hAnsiTheme="minorEastAsia" w:eastAsiaTheme="minorEastAsia"/>
                <w:color w:val="auto"/>
                <w:kern w:val="2"/>
                <w:sz w:val="21"/>
                <w:szCs w:val="21"/>
                <w:lang w:eastAsia="zh-CN" w:bidi="ar-SA"/>
              </w:rPr>
              <w:t>内河航道维护技术规范</w:t>
            </w:r>
          </w:p>
        </w:tc>
      </w:tr>
      <w:tr w14:paraId="72399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exact"/>
          <w:jc w:val="center"/>
        </w:trPr>
        <w:tc>
          <w:tcPr>
            <w:tcW w:w="726" w:type="dxa"/>
            <w:vAlign w:val="center"/>
          </w:tcPr>
          <w:p w14:paraId="4DDDEE27">
            <w:pPr>
              <w:pStyle w:val="94"/>
              <w:numPr>
                <w:ilvl w:val="0"/>
                <w:numId w:val="7"/>
              </w:numPr>
              <w:jc w:val="center"/>
              <w:rPr>
                <w:rFonts w:hint="eastAsia" w:hAnsi="宋体"/>
                <w:color w:val="auto"/>
                <w:kern w:val="2"/>
                <w:sz w:val="21"/>
                <w:szCs w:val="21"/>
              </w:rPr>
            </w:pPr>
          </w:p>
        </w:tc>
        <w:tc>
          <w:tcPr>
            <w:tcW w:w="1202" w:type="dxa"/>
            <w:vMerge w:val="continue"/>
            <w:vAlign w:val="center"/>
          </w:tcPr>
          <w:p w14:paraId="560636D7">
            <w:pPr>
              <w:jc w:val="center"/>
              <w:rPr>
                <w:rFonts w:eastAsia="宋体"/>
                <w:color w:val="auto"/>
                <w:kern w:val="2"/>
                <w:sz w:val="21"/>
                <w:szCs w:val="21"/>
                <w:lang w:eastAsia="zh-CN" w:bidi="ar-SA"/>
              </w:rPr>
            </w:pPr>
          </w:p>
        </w:tc>
        <w:tc>
          <w:tcPr>
            <w:tcW w:w="2372" w:type="dxa"/>
            <w:vAlign w:val="center"/>
          </w:tcPr>
          <w:p w14:paraId="4772CCCB">
            <w:pPr>
              <w:jc w:val="both"/>
              <w:rPr>
                <w:rFonts w:eastAsia="等线"/>
                <w:color w:val="auto"/>
                <w:kern w:val="2"/>
                <w:sz w:val="21"/>
                <w:szCs w:val="21"/>
                <w:lang w:eastAsia="zh-CN" w:bidi="ar-SA"/>
              </w:rPr>
            </w:pPr>
            <w:r>
              <w:rPr>
                <w:rFonts w:eastAsia="等线"/>
                <w:color w:val="auto"/>
                <w:kern w:val="2"/>
                <w:sz w:val="21"/>
                <w:szCs w:val="21"/>
                <w:lang w:eastAsia="zh-CN" w:bidi="ar-SA"/>
              </w:rPr>
              <w:t>JTJ 311-1997</w:t>
            </w:r>
          </w:p>
        </w:tc>
        <w:tc>
          <w:tcPr>
            <w:tcW w:w="4768" w:type="dxa"/>
            <w:vAlign w:val="center"/>
          </w:tcPr>
          <w:p w14:paraId="1A2756CC">
            <w:pPr>
              <w:jc w:val="both"/>
              <w:rPr>
                <w:rFonts w:hint="eastAsia" w:asciiTheme="minorEastAsia" w:hAnsiTheme="minorEastAsia" w:eastAsiaTheme="minorEastAsia"/>
                <w:color w:val="auto"/>
                <w:kern w:val="2"/>
                <w:sz w:val="21"/>
                <w:szCs w:val="21"/>
                <w:lang w:eastAsia="zh-CN" w:bidi="ar-SA"/>
              </w:rPr>
            </w:pPr>
            <w:r>
              <w:rPr>
                <w:rFonts w:asciiTheme="minorEastAsia" w:hAnsiTheme="minorEastAsia" w:eastAsiaTheme="minorEastAsia"/>
                <w:color w:val="auto"/>
                <w:kern w:val="2"/>
                <w:sz w:val="21"/>
                <w:szCs w:val="21"/>
                <w:lang w:eastAsia="zh-CN" w:bidi="ar-SA"/>
              </w:rPr>
              <w:t>通航海轮桥梁通航标准</w:t>
            </w:r>
          </w:p>
        </w:tc>
      </w:tr>
      <w:tr w14:paraId="3B83A9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exact"/>
          <w:jc w:val="center"/>
        </w:trPr>
        <w:tc>
          <w:tcPr>
            <w:tcW w:w="726" w:type="dxa"/>
            <w:vAlign w:val="center"/>
          </w:tcPr>
          <w:p w14:paraId="271A5965">
            <w:pPr>
              <w:pStyle w:val="94"/>
              <w:numPr>
                <w:ilvl w:val="0"/>
                <w:numId w:val="7"/>
              </w:numPr>
              <w:jc w:val="center"/>
              <w:rPr>
                <w:rFonts w:hint="eastAsia" w:hAnsi="宋体"/>
                <w:color w:val="auto"/>
                <w:kern w:val="2"/>
                <w:sz w:val="21"/>
                <w:szCs w:val="21"/>
              </w:rPr>
            </w:pPr>
          </w:p>
        </w:tc>
        <w:tc>
          <w:tcPr>
            <w:tcW w:w="1202" w:type="dxa"/>
            <w:vMerge w:val="continue"/>
            <w:vAlign w:val="center"/>
          </w:tcPr>
          <w:p w14:paraId="38E43668">
            <w:pPr>
              <w:jc w:val="center"/>
              <w:rPr>
                <w:rFonts w:eastAsia="宋体"/>
                <w:color w:val="auto"/>
                <w:kern w:val="2"/>
                <w:sz w:val="21"/>
                <w:szCs w:val="21"/>
                <w:lang w:eastAsia="zh-CN" w:bidi="ar-SA"/>
              </w:rPr>
            </w:pPr>
          </w:p>
        </w:tc>
        <w:tc>
          <w:tcPr>
            <w:tcW w:w="2372" w:type="dxa"/>
            <w:vAlign w:val="center"/>
          </w:tcPr>
          <w:p w14:paraId="26080EE5">
            <w:pPr>
              <w:jc w:val="both"/>
              <w:rPr>
                <w:rFonts w:eastAsia="等线"/>
                <w:color w:val="auto"/>
                <w:kern w:val="2"/>
                <w:sz w:val="21"/>
                <w:szCs w:val="21"/>
                <w:lang w:eastAsia="zh-CN" w:bidi="ar-SA"/>
              </w:rPr>
            </w:pPr>
            <w:r>
              <w:rPr>
                <w:rFonts w:eastAsia="等线"/>
                <w:color w:val="auto"/>
                <w:kern w:val="2"/>
                <w:sz w:val="21"/>
                <w:szCs w:val="21"/>
                <w:lang w:eastAsia="zh-CN" w:bidi="ar-SA"/>
              </w:rPr>
              <w:t>JTJ 312-2003</w:t>
            </w:r>
          </w:p>
        </w:tc>
        <w:tc>
          <w:tcPr>
            <w:tcW w:w="4768" w:type="dxa"/>
            <w:vAlign w:val="center"/>
          </w:tcPr>
          <w:p w14:paraId="1E303C3D">
            <w:pPr>
              <w:jc w:val="both"/>
              <w:rPr>
                <w:rFonts w:hint="eastAsia" w:asciiTheme="minorEastAsia" w:hAnsiTheme="minorEastAsia" w:eastAsiaTheme="minorEastAsia"/>
                <w:color w:val="auto"/>
                <w:kern w:val="2"/>
                <w:sz w:val="21"/>
                <w:szCs w:val="21"/>
                <w:lang w:eastAsia="zh-CN" w:bidi="ar-SA"/>
              </w:rPr>
            </w:pPr>
            <w:r>
              <w:rPr>
                <w:rFonts w:asciiTheme="minorEastAsia" w:hAnsiTheme="minorEastAsia" w:eastAsiaTheme="minorEastAsia"/>
                <w:color w:val="auto"/>
                <w:kern w:val="2"/>
                <w:sz w:val="21"/>
                <w:szCs w:val="21"/>
                <w:lang w:eastAsia="zh-CN" w:bidi="ar-SA"/>
              </w:rPr>
              <w:t>航道整治工程技术规范</w:t>
            </w:r>
          </w:p>
        </w:tc>
      </w:tr>
      <w:tr w14:paraId="3757D8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exact"/>
          <w:jc w:val="center"/>
        </w:trPr>
        <w:tc>
          <w:tcPr>
            <w:tcW w:w="726" w:type="dxa"/>
            <w:vAlign w:val="center"/>
          </w:tcPr>
          <w:p w14:paraId="45180B27">
            <w:pPr>
              <w:pStyle w:val="94"/>
              <w:numPr>
                <w:ilvl w:val="0"/>
                <w:numId w:val="7"/>
              </w:numPr>
              <w:jc w:val="center"/>
              <w:rPr>
                <w:rFonts w:hint="eastAsia" w:hAnsi="宋体"/>
                <w:color w:val="auto"/>
                <w:kern w:val="2"/>
                <w:sz w:val="21"/>
                <w:szCs w:val="21"/>
              </w:rPr>
            </w:pPr>
          </w:p>
        </w:tc>
        <w:tc>
          <w:tcPr>
            <w:tcW w:w="1202" w:type="dxa"/>
            <w:vMerge w:val="continue"/>
            <w:vAlign w:val="center"/>
          </w:tcPr>
          <w:p w14:paraId="4670B3C7">
            <w:pPr>
              <w:jc w:val="center"/>
              <w:rPr>
                <w:rFonts w:eastAsia="宋体"/>
                <w:color w:val="auto"/>
                <w:kern w:val="2"/>
                <w:sz w:val="21"/>
                <w:szCs w:val="21"/>
                <w:lang w:eastAsia="zh-CN" w:bidi="ar-SA"/>
              </w:rPr>
            </w:pPr>
          </w:p>
        </w:tc>
        <w:tc>
          <w:tcPr>
            <w:tcW w:w="2372" w:type="dxa"/>
            <w:vAlign w:val="center"/>
          </w:tcPr>
          <w:p w14:paraId="6CADC69C">
            <w:pPr>
              <w:jc w:val="both"/>
              <w:rPr>
                <w:rFonts w:eastAsia="等线"/>
                <w:color w:val="auto"/>
                <w:kern w:val="2"/>
                <w:sz w:val="21"/>
                <w:szCs w:val="21"/>
                <w:lang w:eastAsia="zh-CN" w:bidi="ar-SA"/>
              </w:rPr>
            </w:pPr>
            <w:r>
              <w:rPr>
                <w:rFonts w:eastAsia="等线"/>
                <w:color w:val="auto"/>
                <w:kern w:val="2"/>
                <w:sz w:val="21"/>
                <w:szCs w:val="21"/>
                <w:lang w:eastAsia="zh-CN" w:bidi="ar-SA"/>
              </w:rPr>
              <w:t>JTJ 319-1999</w:t>
            </w:r>
          </w:p>
        </w:tc>
        <w:tc>
          <w:tcPr>
            <w:tcW w:w="4768" w:type="dxa"/>
            <w:vAlign w:val="center"/>
          </w:tcPr>
          <w:p w14:paraId="61A94F66">
            <w:pPr>
              <w:jc w:val="both"/>
              <w:rPr>
                <w:rFonts w:hint="eastAsia" w:asciiTheme="minorEastAsia" w:hAnsiTheme="minorEastAsia" w:eastAsiaTheme="minorEastAsia"/>
                <w:color w:val="auto"/>
                <w:kern w:val="2"/>
                <w:sz w:val="21"/>
                <w:szCs w:val="21"/>
                <w:lang w:eastAsia="zh-CN" w:bidi="ar-SA"/>
              </w:rPr>
            </w:pPr>
            <w:r>
              <w:rPr>
                <w:rFonts w:asciiTheme="minorEastAsia" w:hAnsiTheme="minorEastAsia" w:eastAsiaTheme="minorEastAsia"/>
                <w:color w:val="auto"/>
                <w:kern w:val="2"/>
                <w:sz w:val="21"/>
                <w:szCs w:val="21"/>
                <w:lang w:eastAsia="zh-CN" w:bidi="ar-SA"/>
              </w:rPr>
              <w:t>疏浚工程技术规范</w:t>
            </w:r>
          </w:p>
        </w:tc>
      </w:tr>
      <w:tr w14:paraId="2E2F83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exact"/>
          <w:jc w:val="center"/>
        </w:trPr>
        <w:tc>
          <w:tcPr>
            <w:tcW w:w="726" w:type="dxa"/>
            <w:vAlign w:val="center"/>
          </w:tcPr>
          <w:p w14:paraId="40117FBA">
            <w:pPr>
              <w:pStyle w:val="94"/>
              <w:numPr>
                <w:ilvl w:val="0"/>
                <w:numId w:val="7"/>
              </w:numPr>
              <w:jc w:val="center"/>
              <w:rPr>
                <w:rFonts w:hint="eastAsia" w:hAnsi="宋体"/>
                <w:color w:val="auto"/>
                <w:kern w:val="2"/>
                <w:sz w:val="21"/>
                <w:szCs w:val="21"/>
              </w:rPr>
            </w:pPr>
          </w:p>
        </w:tc>
        <w:tc>
          <w:tcPr>
            <w:tcW w:w="1202" w:type="dxa"/>
            <w:vMerge w:val="continue"/>
            <w:vAlign w:val="center"/>
          </w:tcPr>
          <w:p w14:paraId="7A5DCB2C">
            <w:pPr>
              <w:jc w:val="center"/>
              <w:rPr>
                <w:rFonts w:eastAsia="宋体"/>
                <w:color w:val="auto"/>
                <w:kern w:val="2"/>
                <w:sz w:val="21"/>
                <w:szCs w:val="21"/>
                <w:lang w:eastAsia="zh-CN" w:bidi="ar-SA"/>
              </w:rPr>
            </w:pPr>
          </w:p>
        </w:tc>
        <w:tc>
          <w:tcPr>
            <w:tcW w:w="2372" w:type="dxa"/>
            <w:vAlign w:val="center"/>
          </w:tcPr>
          <w:p w14:paraId="7B48578F">
            <w:pPr>
              <w:jc w:val="both"/>
              <w:rPr>
                <w:rFonts w:eastAsia="等线"/>
                <w:color w:val="auto"/>
                <w:kern w:val="2"/>
                <w:sz w:val="21"/>
                <w:szCs w:val="21"/>
                <w:lang w:eastAsia="zh-CN" w:bidi="ar-SA"/>
              </w:rPr>
            </w:pPr>
            <w:r>
              <w:rPr>
                <w:rFonts w:eastAsia="等线"/>
                <w:color w:val="auto"/>
                <w:kern w:val="2"/>
                <w:sz w:val="21"/>
                <w:szCs w:val="21"/>
                <w:lang w:eastAsia="zh-CN" w:bidi="ar-SA"/>
              </w:rPr>
              <w:t>JTJ/T 320-1996</w:t>
            </w:r>
          </w:p>
        </w:tc>
        <w:tc>
          <w:tcPr>
            <w:tcW w:w="4768" w:type="dxa"/>
            <w:vAlign w:val="center"/>
          </w:tcPr>
          <w:p w14:paraId="2153FD77">
            <w:pPr>
              <w:jc w:val="both"/>
              <w:rPr>
                <w:rFonts w:hint="eastAsia" w:asciiTheme="minorEastAsia" w:hAnsiTheme="minorEastAsia" w:eastAsiaTheme="minorEastAsia"/>
                <w:color w:val="auto"/>
                <w:kern w:val="2"/>
                <w:sz w:val="21"/>
                <w:szCs w:val="21"/>
                <w:lang w:eastAsia="zh-CN" w:bidi="ar-SA"/>
              </w:rPr>
            </w:pPr>
            <w:r>
              <w:rPr>
                <w:rFonts w:asciiTheme="minorEastAsia" w:hAnsiTheme="minorEastAsia" w:eastAsiaTheme="minorEastAsia"/>
                <w:color w:val="auto"/>
                <w:kern w:val="2"/>
                <w:sz w:val="21"/>
                <w:szCs w:val="21"/>
                <w:lang w:eastAsia="zh-CN" w:bidi="ar-SA"/>
              </w:rPr>
              <w:t>疏浚岩土分类标准</w:t>
            </w:r>
          </w:p>
        </w:tc>
      </w:tr>
      <w:tr w14:paraId="3FC511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exact"/>
          <w:jc w:val="center"/>
        </w:trPr>
        <w:tc>
          <w:tcPr>
            <w:tcW w:w="726" w:type="dxa"/>
            <w:vAlign w:val="center"/>
          </w:tcPr>
          <w:p w14:paraId="6FC4E06B">
            <w:pPr>
              <w:pStyle w:val="94"/>
              <w:numPr>
                <w:ilvl w:val="0"/>
                <w:numId w:val="7"/>
              </w:numPr>
              <w:jc w:val="center"/>
              <w:rPr>
                <w:rFonts w:hint="eastAsia" w:hAnsi="宋体"/>
                <w:color w:val="auto"/>
                <w:kern w:val="2"/>
                <w:sz w:val="21"/>
                <w:szCs w:val="21"/>
              </w:rPr>
            </w:pPr>
          </w:p>
        </w:tc>
        <w:tc>
          <w:tcPr>
            <w:tcW w:w="1202" w:type="dxa"/>
            <w:vMerge w:val="continue"/>
            <w:vAlign w:val="center"/>
          </w:tcPr>
          <w:p w14:paraId="6EE26B9E">
            <w:pPr>
              <w:jc w:val="center"/>
              <w:rPr>
                <w:rFonts w:eastAsia="宋体"/>
                <w:color w:val="auto"/>
                <w:kern w:val="2"/>
                <w:sz w:val="21"/>
                <w:szCs w:val="21"/>
                <w:lang w:eastAsia="zh-CN" w:bidi="ar-SA"/>
              </w:rPr>
            </w:pPr>
          </w:p>
        </w:tc>
        <w:tc>
          <w:tcPr>
            <w:tcW w:w="2372" w:type="dxa"/>
            <w:vAlign w:val="center"/>
          </w:tcPr>
          <w:p w14:paraId="7F478B40">
            <w:pPr>
              <w:jc w:val="both"/>
              <w:rPr>
                <w:rFonts w:eastAsia="等线"/>
                <w:color w:val="auto"/>
                <w:kern w:val="2"/>
                <w:sz w:val="21"/>
                <w:szCs w:val="21"/>
                <w:lang w:eastAsia="zh-CN" w:bidi="ar-SA"/>
              </w:rPr>
            </w:pPr>
            <w:r>
              <w:rPr>
                <w:rFonts w:eastAsia="等线"/>
                <w:color w:val="auto"/>
                <w:kern w:val="2"/>
                <w:sz w:val="21"/>
                <w:szCs w:val="21"/>
                <w:lang w:eastAsia="zh-CN" w:bidi="ar-SA"/>
              </w:rPr>
              <w:t>JTJ/T 321-1996</w:t>
            </w:r>
          </w:p>
        </w:tc>
        <w:tc>
          <w:tcPr>
            <w:tcW w:w="4768" w:type="dxa"/>
            <w:vAlign w:val="center"/>
          </w:tcPr>
          <w:p w14:paraId="76B60404">
            <w:pPr>
              <w:jc w:val="both"/>
              <w:rPr>
                <w:rFonts w:hint="eastAsia" w:asciiTheme="minorEastAsia" w:hAnsiTheme="minorEastAsia" w:eastAsiaTheme="minorEastAsia"/>
                <w:color w:val="auto"/>
                <w:kern w:val="2"/>
                <w:sz w:val="21"/>
                <w:szCs w:val="21"/>
                <w:lang w:eastAsia="zh-CN" w:bidi="ar-SA"/>
              </w:rPr>
            </w:pPr>
            <w:r>
              <w:rPr>
                <w:rFonts w:asciiTheme="minorEastAsia" w:hAnsiTheme="minorEastAsia" w:eastAsiaTheme="minorEastAsia"/>
                <w:color w:val="auto"/>
                <w:kern w:val="2"/>
                <w:sz w:val="21"/>
                <w:szCs w:val="21"/>
                <w:lang w:eastAsia="zh-CN" w:bidi="ar-SA"/>
              </w:rPr>
              <w:t>疏浚工程土石方计量标准</w:t>
            </w:r>
          </w:p>
        </w:tc>
      </w:tr>
      <w:tr w14:paraId="5933ED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exact"/>
          <w:jc w:val="center"/>
        </w:trPr>
        <w:tc>
          <w:tcPr>
            <w:tcW w:w="726" w:type="dxa"/>
            <w:vAlign w:val="center"/>
          </w:tcPr>
          <w:p w14:paraId="0644F0CC">
            <w:pPr>
              <w:pStyle w:val="94"/>
              <w:numPr>
                <w:ilvl w:val="0"/>
                <w:numId w:val="7"/>
              </w:numPr>
              <w:jc w:val="center"/>
              <w:rPr>
                <w:rFonts w:hint="eastAsia" w:hAnsi="宋体"/>
                <w:color w:val="auto"/>
                <w:kern w:val="2"/>
                <w:sz w:val="21"/>
                <w:szCs w:val="21"/>
              </w:rPr>
            </w:pPr>
          </w:p>
        </w:tc>
        <w:tc>
          <w:tcPr>
            <w:tcW w:w="1202" w:type="dxa"/>
            <w:vMerge w:val="continue"/>
            <w:vAlign w:val="center"/>
          </w:tcPr>
          <w:p w14:paraId="1DD683C0">
            <w:pPr>
              <w:jc w:val="center"/>
              <w:rPr>
                <w:rFonts w:eastAsia="宋体"/>
                <w:color w:val="auto"/>
                <w:kern w:val="2"/>
                <w:sz w:val="21"/>
                <w:szCs w:val="21"/>
                <w:lang w:eastAsia="zh-CN" w:bidi="ar-SA"/>
              </w:rPr>
            </w:pPr>
          </w:p>
        </w:tc>
        <w:tc>
          <w:tcPr>
            <w:tcW w:w="2372" w:type="dxa"/>
            <w:vAlign w:val="center"/>
          </w:tcPr>
          <w:p w14:paraId="498914B9">
            <w:pPr>
              <w:jc w:val="both"/>
              <w:rPr>
                <w:rFonts w:eastAsia="等线"/>
                <w:color w:val="auto"/>
                <w:kern w:val="2"/>
                <w:sz w:val="21"/>
                <w:szCs w:val="21"/>
                <w:lang w:eastAsia="zh-CN" w:bidi="ar-SA"/>
              </w:rPr>
            </w:pPr>
            <w:r>
              <w:rPr>
                <w:rFonts w:eastAsia="等线"/>
                <w:color w:val="auto"/>
                <w:kern w:val="2"/>
                <w:sz w:val="21"/>
                <w:szCs w:val="21"/>
                <w:lang w:eastAsia="zh-CN" w:bidi="ar-SA"/>
              </w:rPr>
              <w:t>JTJ/T 322-1999</w:t>
            </w:r>
          </w:p>
        </w:tc>
        <w:tc>
          <w:tcPr>
            <w:tcW w:w="4768" w:type="dxa"/>
            <w:vAlign w:val="center"/>
          </w:tcPr>
          <w:p w14:paraId="2AECCAFC">
            <w:pPr>
              <w:jc w:val="both"/>
              <w:rPr>
                <w:rFonts w:hint="eastAsia" w:asciiTheme="minorEastAsia" w:hAnsiTheme="minorEastAsia" w:eastAsiaTheme="minorEastAsia"/>
                <w:color w:val="auto"/>
                <w:kern w:val="2"/>
                <w:sz w:val="21"/>
                <w:szCs w:val="21"/>
                <w:lang w:eastAsia="zh-CN" w:bidi="ar-SA"/>
              </w:rPr>
            </w:pPr>
            <w:r>
              <w:rPr>
                <w:rFonts w:asciiTheme="minorEastAsia" w:hAnsiTheme="minorEastAsia" w:eastAsiaTheme="minorEastAsia"/>
                <w:color w:val="auto"/>
                <w:kern w:val="2"/>
                <w:sz w:val="21"/>
                <w:szCs w:val="21"/>
                <w:lang w:eastAsia="zh-CN" w:bidi="ar-SA"/>
              </w:rPr>
              <w:t>淤泥质港口维护性疏浚工程土方计量技术规程</w:t>
            </w:r>
          </w:p>
        </w:tc>
      </w:tr>
      <w:tr w14:paraId="2CE2AF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exact"/>
          <w:jc w:val="center"/>
        </w:trPr>
        <w:tc>
          <w:tcPr>
            <w:tcW w:w="726" w:type="dxa"/>
            <w:vAlign w:val="center"/>
          </w:tcPr>
          <w:p w14:paraId="3838A8E6">
            <w:pPr>
              <w:pStyle w:val="94"/>
              <w:numPr>
                <w:ilvl w:val="0"/>
                <w:numId w:val="7"/>
              </w:numPr>
              <w:jc w:val="center"/>
              <w:rPr>
                <w:rFonts w:hint="eastAsia" w:hAnsi="宋体"/>
                <w:color w:val="auto"/>
                <w:kern w:val="2"/>
                <w:sz w:val="21"/>
                <w:szCs w:val="21"/>
              </w:rPr>
            </w:pPr>
          </w:p>
        </w:tc>
        <w:tc>
          <w:tcPr>
            <w:tcW w:w="1202" w:type="dxa"/>
            <w:vMerge w:val="restart"/>
            <w:vAlign w:val="center"/>
          </w:tcPr>
          <w:p w14:paraId="70B45E30">
            <w:pPr>
              <w:jc w:val="center"/>
              <w:rPr>
                <w:rFonts w:eastAsia="宋体"/>
                <w:color w:val="auto"/>
                <w:kern w:val="2"/>
                <w:sz w:val="21"/>
                <w:szCs w:val="21"/>
                <w:lang w:eastAsia="zh-CN" w:bidi="ar-SA"/>
              </w:rPr>
            </w:pPr>
            <w:r>
              <w:rPr>
                <w:rFonts w:hint="eastAsia" w:eastAsia="宋体"/>
                <w:color w:val="auto"/>
                <w:kern w:val="2"/>
                <w:sz w:val="21"/>
                <w:szCs w:val="21"/>
                <w:lang w:eastAsia="zh-CN" w:bidi="ar-SA"/>
              </w:rPr>
              <w:t>航道类</w:t>
            </w:r>
          </w:p>
        </w:tc>
        <w:tc>
          <w:tcPr>
            <w:tcW w:w="2372" w:type="dxa"/>
            <w:vAlign w:val="center"/>
          </w:tcPr>
          <w:p w14:paraId="528E4116">
            <w:pPr>
              <w:jc w:val="both"/>
              <w:rPr>
                <w:rFonts w:eastAsia="等线"/>
                <w:color w:val="auto"/>
                <w:kern w:val="2"/>
                <w:sz w:val="21"/>
                <w:szCs w:val="21"/>
                <w:lang w:eastAsia="zh-CN" w:bidi="ar-SA"/>
              </w:rPr>
            </w:pPr>
            <w:r>
              <w:rPr>
                <w:rFonts w:eastAsia="等线"/>
                <w:color w:val="auto"/>
                <w:kern w:val="2"/>
                <w:sz w:val="21"/>
                <w:szCs w:val="21"/>
                <w:lang w:eastAsia="zh-CN" w:bidi="ar-SA"/>
              </w:rPr>
              <w:t>JTS 180-2-2011</w:t>
            </w:r>
          </w:p>
        </w:tc>
        <w:tc>
          <w:tcPr>
            <w:tcW w:w="4768" w:type="dxa"/>
            <w:vAlign w:val="center"/>
          </w:tcPr>
          <w:p w14:paraId="3663C754">
            <w:pPr>
              <w:jc w:val="both"/>
              <w:rPr>
                <w:rFonts w:hint="eastAsia" w:asciiTheme="minorEastAsia" w:hAnsiTheme="minorEastAsia" w:eastAsiaTheme="minorEastAsia"/>
                <w:color w:val="auto"/>
                <w:kern w:val="2"/>
                <w:sz w:val="21"/>
                <w:szCs w:val="21"/>
                <w:lang w:eastAsia="zh-CN" w:bidi="ar-SA"/>
              </w:rPr>
            </w:pPr>
            <w:r>
              <w:rPr>
                <w:rFonts w:asciiTheme="minorEastAsia" w:hAnsiTheme="minorEastAsia" w:eastAsiaTheme="minorEastAsia"/>
                <w:color w:val="auto"/>
                <w:kern w:val="2"/>
                <w:sz w:val="21"/>
                <w:szCs w:val="21"/>
                <w:lang w:eastAsia="zh-CN" w:bidi="ar-SA"/>
              </w:rPr>
              <w:t>运河通航标准</w:t>
            </w:r>
          </w:p>
        </w:tc>
      </w:tr>
      <w:tr w14:paraId="57642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exact"/>
          <w:jc w:val="center"/>
        </w:trPr>
        <w:tc>
          <w:tcPr>
            <w:tcW w:w="726" w:type="dxa"/>
            <w:vAlign w:val="center"/>
          </w:tcPr>
          <w:p w14:paraId="0F6B988E">
            <w:pPr>
              <w:pStyle w:val="94"/>
              <w:numPr>
                <w:ilvl w:val="0"/>
                <w:numId w:val="7"/>
              </w:numPr>
              <w:jc w:val="center"/>
              <w:rPr>
                <w:rFonts w:hint="eastAsia" w:hAnsi="宋体"/>
                <w:color w:val="auto"/>
                <w:kern w:val="2"/>
                <w:sz w:val="21"/>
                <w:szCs w:val="21"/>
              </w:rPr>
            </w:pPr>
          </w:p>
        </w:tc>
        <w:tc>
          <w:tcPr>
            <w:tcW w:w="1202" w:type="dxa"/>
            <w:vMerge w:val="continue"/>
            <w:vAlign w:val="center"/>
          </w:tcPr>
          <w:p w14:paraId="2DC83DED">
            <w:pPr>
              <w:jc w:val="center"/>
              <w:rPr>
                <w:rFonts w:eastAsia="宋体"/>
                <w:color w:val="auto"/>
                <w:kern w:val="2"/>
                <w:sz w:val="21"/>
                <w:szCs w:val="21"/>
                <w:lang w:eastAsia="zh-CN" w:bidi="ar-SA"/>
              </w:rPr>
            </w:pPr>
          </w:p>
        </w:tc>
        <w:tc>
          <w:tcPr>
            <w:tcW w:w="2372" w:type="dxa"/>
            <w:vAlign w:val="center"/>
          </w:tcPr>
          <w:p w14:paraId="75FC8BBB">
            <w:pPr>
              <w:jc w:val="both"/>
              <w:rPr>
                <w:rFonts w:eastAsia="等线"/>
                <w:color w:val="auto"/>
                <w:kern w:val="2"/>
                <w:sz w:val="21"/>
                <w:szCs w:val="21"/>
                <w:lang w:eastAsia="zh-CN" w:bidi="ar-SA"/>
              </w:rPr>
            </w:pPr>
            <w:r>
              <w:rPr>
                <w:rFonts w:eastAsia="等线"/>
                <w:color w:val="auto"/>
                <w:kern w:val="2"/>
                <w:sz w:val="21"/>
                <w:szCs w:val="21"/>
                <w:lang w:eastAsia="zh-CN" w:bidi="ar-SA"/>
              </w:rPr>
              <w:t>JTS 180-4-2015</w:t>
            </w:r>
          </w:p>
        </w:tc>
        <w:tc>
          <w:tcPr>
            <w:tcW w:w="4768" w:type="dxa"/>
            <w:vAlign w:val="center"/>
          </w:tcPr>
          <w:p w14:paraId="74896E94">
            <w:pPr>
              <w:jc w:val="both"/>
              <w:rPr>
                <w:rFonts w:hint="eastAsia" w:asciiTheme="minorEastAsia" w:hAnsiTheme="minorEastAsia" w:eastAsiaTheme="minorEastAsia"/>
                <w:color w:val="auto"/>
                <w:kern w:val="2"/>
                <w:sz w:val="21"/>
                <w:szCs w:val="21"/>
                <w:lang w:eastAsia="zh-CN" w:bidi="ar-SA"/>
              </w:rPr>
            </w:pPr>
            <w:r>
              <w:rPr>
                <w:rFonts w:hint="eastAsia" w:asciiTheme="minorEastAsia" w:hAnsiTheme="minorEastAsia" w:eastAsiaTheme="minorEastAsia"/>
                <w:color w:val="auto"/>
                <w:kern w:val="2"/>
                <w:sz w:val="21"/>
                <w:szCs w:val="21"/>
                <w:lang w:eastAsia="zh-CN" w:bidi="ar-SA"/>
              </w:rPr>
              <w:t>长江干线通航标准</w:t>
            </w:r>
          </w:p>
        </w:tc>
      </w:tr>
      <w:tr w14:paraId="38A3E7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exact"/>
          <w:jc w:val="center"/>
        </w:trPr>
        <w:tc>
          <w:tcPr>
            <w:tcW w:w="726" w:type="dxa"/>
            <w:vAlign w:val="center"/>
          </w:tcPr>
          <w:p w14:paraId="38712B15">
            <w:pPr>
              <w:pStyle w:val="94"/>
              <w:numPr>
                <w:ilvl w:val="0"/>
                <w:numId w:val="7"/>
              </w:numPr>
              <w:jc w:val="center"/>
              <w:rPr>
                <w:rFonts w:hint="eastAsia" w:hAnsi="宋体"/>
                <w:color w:val="auto"/>
                <w:kern w:val="2"/>
                <w:sz w:val="21"/>
                <w:szCs w:val="21"/>
              </w:rPr>
            </w:pPr>
          </w:p>
        </w:tc>
        <w:tc>
          <w:tcPr>
            <w:tcW w:w="1202" w:type="dxa"/>
            <w:vMerge w:val="continue"/>
            <w:vAlign w:val="center"/>
          </w:tcPr>
          <w:p w14:paraId="688E93E7">
            <w:pPr>
              <w:jc w:val="center"/>
              <w:rPr>
                <w:rFonts w:eastAsia="宋体"/>
                <w:color w:val="auto"/>
                <w:kern w:val="2"/>
                <w:sz w:val="21"/>
                <w:szCs w:val="21"/>
                <w:lang w:eastAsia="zh-CN" w:bidi="ar-SA"/>
              </w:rPr>
            </w:pPr>
          </w:p>
        </w:tc>
        <w:tc>
          <w:tcPr>
            <w:tcW w:w="2372" w:type="dxa"/>
            <w:vAlign w:val="center"/>
          </w:tcPr>
          <w:p w14:paraId="40CCE580">
            <w:pPr>
              <w:jc w:val="both"/>
              <w:rPr>
                <w:rFonts w:eastAsia="等线"/>
                <w:color w:val="auto"/>
                <w:kern w:val="2"/>
                <w:sz w:val="21"/>
                <w:szCs w:val="21"/>
                <w:lang w:eastAsia="zh-CN" w:bidi="ar-SA"/>
              </w:rPr>
            </w:pPr>
            <w:r>
              <w:rPr>
                <w:rFonts w:eastAsia="等线"/>
                <w:color w:val="auto"/>
                <w:kern w:val="2"/>
                <w:sz w:val="21"/>
                <w:szCs w:val="21"/>
                <w:lang w:eastAsia="zh-CN" w:bidi="ar-SA"/>
              </w:rPr>
              <w:t>JTS 181-5-2012</w:t>
            </w:r>
          </w:p>
        </w:tc>
        <w:tc>
          <w:tcPr>
            <w:tcW w:w="4768" w:type="dxa"/>
            <w:vAlign w:val="center"/>
          </w:tcPr>
          <w:p w14:paraId="0F8D3E83">
            <w:pPr>
              <w:jc w:val="both"/>
              <w:rPr>
                <w:rFonts w:hint="eastAsia" w:asciiTheme="minorEastAsia" w:hAnsiTheme="minorEastAsia" w:eastAsiaTheme="minorEastAsia"/>
                <w:color w:val="auto"/>
                <w:kern w:val="2"/>
                <w:sz w:val="21"/>
                <w:szCs w:val="21"/>
                <w:lang w:eastAsia="zh-CN" w:bidi="ar-SA"/>
              </w:rPr>
            </w:pPr>
            <w:r>
              <w:rPr>
                <w:rFonts w:asciiTheme="minorEastAsia" w:hAnsiTheme="minorEastAsia" w:eastAsiaTheme="minorEastAsia"/>
                <w:color w:val="auto"/>
                <w:kern w:val="2"/>
                <w:sz w:val="21"/>
                <w:szCs w:val="21"/>
                <w:lang w:eastAsia="zh-CN" w:bidi="ar-SA"/>
              </w:rPr>
              <w:t>疏浚与吹填工程设计规范</w:t>
            </w:r>
          </w:p>
        </w:tc>
      </w:tr>
      <w:tr w14:paraId="3D7194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exact"/>
          <w:jc w:val="center"/>
        </w:trPr>
        <w:tc>
          <w:tcPr>
            <w:tcW w:w="726" w:type="dxa"/>
            <w:vAlign w:val="center"/>
          </w:tcPr>
          <w:p w14:paraId="02EF57A4">
            <w:pPr>
              <w:pStyle w:val="94"/>
              <w:numPr>
                <w:ilvl w:val="0"/>
                <w:numId w:val="7"/>
              </w:numPr>
              <w:jc w:val="center"/>
              <w:rPr>
                <w:rFonts w:hint="eastAsia" w:hAnsi="宋体"/>
                <w:color w:val="auto"/>
                <w:kern w:val="2"/>
                <w:sz w:val="21"/>
                <w:szCs w:val="21"/>
              </w:rPr>
            </w:pPr>
          </w:p>
        </w:tc>
        <w:tc>
          <w:tcPr>
            <w:tcW w:w="1202" w:type="dxa"/>
            <w:vMerge w:val="continue"/>
            <w:vAlign w:val="center"/>
          </w:tcPr>
          <w:p w14:paraId="3301F04B">
            <w:pPr>
              <w:jc w:val="center"/>
              <w:rPr>
                <w:rFonts w:eastAsia="宋体"/>
                <w:color w:val="auto"/>
                <w:kern w:val="2"/>
                <w:sz w:val="21"/>
                <w:szCs w:val="21"/>
                <w:lang w:eastAsia="zh-CN" w:bidi="ar-SA"/>
              </w:rPr>
            </w:pPr>
          </w:p>
        </w:tc>
        <w:tc>
          <w:tcPr>
            <w:tcW w:w="2372" w:type="dxa"/>
            <w:vAlign w:val="center"/>
          </w:tcPr>
          <w:p w14:paraId="6C6C2C30">
            <w:pPr>
              <w:jc w:val="both"/>
              <w:rPr>
                <w:rFonts w:eastAsia="等线"/>
                <w:color w:val="auto"/>
                <w:kern w:val="2"/>
                <w:sz w:val="21"/>
                <w:szCs w:val="21"/>
                <w:lang w:eastAsia="zh-CN" w:bidi="ar-SA"/>
              </w:rPr>
            </w:pPr>
            <w:r>
              <w:rPr>
                <w:rFonts w:eastAsia="等线"/>
                <w:color w:val="auto"/>
                <w:kern w:val="2"/>
                <w:sz w:val="21"/>
                <w:szCs w:val="21"/>
                <w:lang w:eastAsia="zh-CN" w:bidi="ar-SA"/>
              </w:rPr>
              <w:t>JTS 196-10-2015</w:t>
            </w:r>
          </w:p>
        </w:tc>
        <w:tc>
          <w:tcPr>
            <w:tcW w:w="4768" w:type="dxa"/>
            <w:vAlign w:val="center"/>
          </w:tcPr>
          <w:p w14:paraId="0CE80E19">
            <w:pPr>
              <w:jc w:val="both"/>
              <w:rPr>
                <w:rFonts w:hint="eastAsia" w:asciiTheme="minorEastAsia" w:hAnsiTheme="minorEastAsia" w:eastAsiaTheme="minorEastAsia"/>
                <w:color w:val="auto"/>
                <w:kern w:val="2"/>
                <w:sz w:val="21"/>
                <w:szCs w:val="21"/>
                <w:lang w:eastAsia="zh-CN" w:bidi="ar-SA"/>
              </w:rPr>
            </w:pPr>
            <w:r>
              <w:rPr>
                <w:rFonts w:asciiTheme="minorEastAsia" w:hAnsiTheme="minorEastAsia" w:eastAsiaTheme="minorEastAsia"/>
                <w:color w:val="auto"/>
                <w:kern w:val="2"/>
                <w:sz w:val="21"/>
                <w:szCs w:val="21"/>
                <w:lang w:eastAsia="zh-CN" w:bidi="ar-SA"/>
              </w:rPr>
              <w:t>长江干线桥区和航道整治建筑物助航标志</w:t>
            </w:r>
          </w:p>
        </w:tc>
      </w:tr>
      <w:tr w14:paraId="217542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exact"/>
          <w:jc w:val="center"/>
        </w:trPr>
        <w:tc>
          <w:tcPr>
            <w:tcW w:w="726" w:type="dxa"/>
            <w:vAlign w:val="center"/>
          </w:tcPr>
          <w:p w14:paraId="49681269">
            <w:pPr>
              <w:pStyle w:val="94"/>
              <w:numPr>
                <w:ilvl w:val="0"/>
                <w:numId w:val="7"/>
              </w:numPr>
              <w:jc w:val="center"/>
              <w:rPr>
                <w:rFonts w:hint="eastAsia" w:hAnsi="宋体"/>
                <w:color w:val="auto"/>
                <w:kern w:val="2"/>
                <w:sz w:val="21"/>
                <w:szCs w:val="21"/>
              </w:rPr>
            </w:pPr>
          </w:p>
        </w:tc>
        <w:tc>
          <w:tcPr>
            <w:tcW w:w="1202" w:type="dxa"/>
            <w:vMerge w:val="continue"/>
            <w:vAlign w:val="center"/>
          </w:tcPr>
          <w:p w14:paraId="38972E39">
            <w:pPr>
              <w:jc w:val="center"/>
              <w:rPr>
                <w:rFonts w:eastAsia="宋体"/>
                <w:color w:val="auto"/>
                <w:kern w:val="2"/>
                <w:sz w:val="21"/>
                <w:szCs w:val="21"/>
                <w:lang w:eastAsia="zh-CN" w:bidi="ar-SA"/>
              </w:rPr>
            </w:pPr>
          </w:p>
        </w:tc>
        <w:tc>
          <w:tcPr>
            <w:tcW w:w="2372" w:type="dxa"/>
            <w:vAlign w:val="center"/>
          </w:tcPr>
          <w:p w14:paraId="1AD4FFA6">
            <w:pPr>
              <w:jc w:val="both"/>
              <w:rPr>
                <w:rFonts w:eastAsia="等线"/>
                <w:color w:val="auto"/>
                <w:kern w:val="2"/>
                <w:sz w:val="21"/>
                <w:szCs w:val="21"/>
                <w:lang w:eastAsia="zh-CN" w:bidi="ar-SA"/>
              </w:rPr>
            </w:pPr>
            <w:r>
              <w:rPr>
                <w:rFonts w:eastAsia="等线"/>
                <w:color w:val="auto"/>
                <w:kern w:val="2"/>
                <w:sz w:val="21"/>
                <w:szCs w:val="21"/>
                <w:lang w:eastAsia="zh-CN" w:bidi="ar-SA"/>
              </w:rPr>
              <w:t>JTS 207-2012</w:t>
            </w:r>
          </w:p>
        </w:tc>
        <w:tc>
          <w:tcPr>
            <w:tcW w:w="4768" w:type="dxa"/>
            <w:vAlign w:val="center"/>
          </w:tcPr>
          <w:p w14:paraId="78604CF5">
            <w:pPr>
              <w:jc w:val="both"/>
              <w:rPr>
                <w:rFonts w:hint="eastAsia" w:asciiTheme="minorEastAsia" w:hAnsiTheme="minorEastAsia" w:eastAsiaTheme="minorEastAsia"/>
                <w:color w:val="auto"/>
                <w:kern w:val="2"/>
                <w:sz w:val="21"/>
                <w:szCs w:val="21"/>
                <w:lang w:eastAsia="zh-CN" w:bidi="ar-SA"/>
              </w:rPr>
            </w:pPr>
            <w:r>
              <w:rPr>
                <w:rFonts w:asciiTheme="minorEastAsia" w:hAnsiTheme="minorEastAsia" w:eastAsiaTheme="minorEastAsia"/>
                <w:color w:val="auto"/>
                <w:kern w:val="2"/>
                <w:sz w:val="21"/>
                <w:szCs w:val="21"/>
                <w:lang w:eastAsia="zh-CN" w:bidi="ar-SA"/>
              </w:rPr>
              <w:t>疏浚与吹填工程施工规范</w:t>
            </w:r>
          </w:p>
        </w:tc>
      </w:tr>
      <w:tr w14:paraId="4CE2BE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exact"/>
          <w:jc w:val="center"/>
        </w:trPr>
        <w:tc>
          <w:tcPr>
            <w:tcW w:w="726" w:type="dxa"/>
            <w:vAlign w:val="center"/>
          </w:tcPr>
          <w:p w14:paraId="2A73A7B1">
            <w:pPr>
              <w:pStyle w:val="94"/>
              <w:numPr>
                <w:ilvl w:val="0"/>
                <w:numId w:val="7"/>
              </w:numPr>
              <w:jc w:val="center"/>
              <w:rPr>
                <w:rFonts w:hint="eastAsia" w:hAnsi="宋体"/>
                <w:color w:val="auto"/>
                <w:kern w:val="2"/>
                <w:sz w:val="21"/>
                <w:szCs w:val="21"/>
              </w:rPr>
            </w:pPr>
          </w:p>
        </w:tc>
        <w:tc>
          <w:tcPr>
            <w:tcW w:w="1202" w:type="dxa"/>
            <w:vMerge w:val="continue"/>
            <w:vAlign w:val="center"/>
          </w:tcPr>
          <w:p w14:paraId="31F50945">
            <w:pPr>
              <w:jc w:val="center"/>
              <w:rPr>
                <w:rFonts w:eastAsia="宋体"/>
                <w:color w:val="auto"/>
                <w:kern w:val="2"/>
                <w:sz w:val="21"/>
                <w:szCs w:val="21"/>
                <w:lang w:eastAsia="zh-CN" w:bidi="ar-SA"/>
              </w:rPr>
            </w:pPr>
          </w:p>
        </w:tc>
        <w:tc>
          <w:tcPr>
            <w:tcW w:w="2372" w:type="dxa"/>
            <w:vAlign w:val="center"/>
          </w:tcPr>
          <w:p w14:paraId="207158FC">
            <w:pPr>
              <w:jc w:val="both"/>
              <w:rPr>
                <w:rFonts w:eastAsia="等线"/>
                <w:color w:val="auto"/>
                <w:kern w:val="2"/>
                <w:sz w:val="21"/>
                <w:szCs w:val="21"/>
                <w:lang w:eastAsia="zh-CN" w:bidi="ar-SA"/>
              </w:rPr>
            </w:pPr>
            <w:r>
              <w:rPr>
                <w:rFonts w:eastAsia="等线"/>
                <w:color w:val="auto"/>
                <w:kern w:val="2"/>
                <w:sz w:val="21"/>
                <w:szCs w:val="21"/>
                <w:lang w:eastAsia="zh-CN" w:bidi="ar-SA"/>
              </w:rPr>
              <w:t>GB 50139-2014</w:t>
            </w:r>
          </w:p>
        </w:tc>
        <w:tc>
          <w:tcPr>
            <w:tcW w:w="4768" w:type="dxa"/>
            <w:vAlign w:val="center"/>
          </w:tcPr>
          <w:p w14:paraId="376F88E0">
            <w:pPr>
              <w:jc w:val="both"/>
              <w:rPr>
                <w:rFonts w:hint="eastAsia" w:asciiTheme="minorEastAsia" w:hAnsiTheme="minorEastAsia" w:eastAsiaTheme="minorEastAsia"/>
                <w:color w:val="auto"/>
                <w:kern w:val="2"/>
                <w:sz w:val="21"/>
                <w:szCs w:val="21"/>
                <w:lang w:eastAsia="zh-CN" w:bidi="ar-SA"/>
              </w:rPr>
            </w:pPr>
            <w:r>
              <w:rPr>
                <w:rFonts w:hint="eastAsia" w:asciiTheme="minorEastAsia" w:hAnsiTheme="minorEastAsia" w:eastAsiaTheme="minorEastAsia"/>
                <w:color w:val="auto"/>
                <w:kern w:val="2"/>
                <w:sz w:val="21"/>
                <w:szCs w:val="21"/>
                <w:lang w:eastAsia="zh-CN" w:bidi="ar-SA"/>
              </w:rPr>
              <w:t>内河通航标准</w:t>
            </w:r>
          </w:p>
        </w:tc>
      </w:tr>
      <w:tr w14:paraId="74FEB5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exact"/>
          <w:jc w:val="center"/>
        </w:trPr>
        <w:tc>
          <w:tcPr>
            <w:tcW w:w="726" w:type="dxa"/>
            <w:vAlign w:val="center"/>
          </w:tcPr>
          <w:p w14:paraId="31A8DADD">
            <w:pPr>
              <w:pStyle w:val="94"/>
              <w:numPr>
                <w:ilvl w:val="0"/>
                <w:numId w:val="7"/>
              </w:numPr>
              <w:jc w:val="center"/>
              <w:rPr>
                <w:rFonts w:hint="eastAsia" w:hAnsi="宋体"/>
                <w:color w:val="auto"/>
                <w:kern w:val="2"/>
                <w:sz w:val="21"/>
                <w:szCs w:val="21"/>
              </w:rPr>
            </w:pPr>
          </w:p>
        </w:tc>
        <w:tc>
          <w:tcPr>
            <w:tcW w:w="1202" w:type="dxa"/>
            <w:vMerge w:val="continue"/>
            <w:vAlign w:val="center"/>
          </w:tcPr>
          <w:p w14:paraId="35E12CAC">
            <w:pPr>
              <w:jc w:val="center"/>
              <w:rPr>
                <w:rFonts w:eastAsia="宋体"/>
                <w:color w:val="auto"/>
                <w:kern w:val="2"/>
                <w:sz w:val="21"/>
                <w:szCs w:val="21"/>
                <w:lang w:eastAsia="zh-CN" w:bidi="ar-SA"/>
              </w:rPr>
            </w:pPr>
          </w:p>
        </w:tc>
        <w:tc>
          <w:tcPr>
            <w:tcW w:w="2372" w:type="dxa"/>
            <w:vAlign w:val="center"/>
          </w:tcPr>
          <w:p w14:paraId="1A7B9AE7">
            <w:pPr>
              <w:jc w:val="both"/>
              <w:rPr>
                <w:rFonts w:eastAsia="等线"/>
                <w:color w:val="auto"/>
                <w:kern w:val="2"/>
                <w:sz w:val="21"/>
                <w:szCs w:val="21"/>
                <w:lang w:eastAsia="zh-CN" w:bidi="ar-SA"/>
              </w:rPr>
            </w:pPr>
            <w:r>
              <w:rPr>
                <w:rFonts w:eastAsia="等线"/>
                <w:color w:val="auto"/>
                <w:kern w:val="2"/>
                <w:sz w:val="21"/>
                <w:szCs w:val="21"/>
                <w:lang w:eastAsia="zh-CN" w:bidi="ar-SA"/>
              </w:rPr>
              <w:t>GB 50707-2011</w:t>
            </w:r>
          </w:p>
        </w:tc>
        <w:tc>
          <w:tcPr>
            <w:tcW w:w="4768" w:type="dxa"/>
            <w:vAlign w:val="center"/>
          </w:tcPr>
          <w:p w14:paraId="12F25049">
            <w:pPr>
              <w:jc w:val="both"/>
              <w:rPr>
                <w:rFonts w:hint="eastAsia" w:asciiTheme="minorEastAsia" w:hAnsiTheme="minorEastAsia" w:eastAsiaTheme="minorEastAsia"/>
                <w:color w:val="auto"/>
                <w:kern w:val="2"/>
                <w:sz w:val="21"/>
                <w:szCs w:val="21"/>
                <w:lang w:eastAsia="zh-CN" w:bidi="ar-SA"/>
              </w:rPr>
            </w:pPr>
            <w:r>
              <w:rPr>
                <w:rFonts w:hint="eastAsia" w:asciiTheme="minorEastAsia" w:hAnsiTheme="minorEastAsia" w:eastAsiaTheme="minorEastAsia"/>
                <w:color w:val="auto"/>
                <w:kern w:val="2"/>
                <w:sz w:val="21"/>
                <w:szCs w:val="21"/>
                <w:lang w:eastAsia="zh-CN" w:bidi="ar-SA"/>
              </w:rPr>
              <w:t>河道整治设计规范</w:t>
            </w:r>
          </w:p>
        </w:tc>
      </w:tr>
      <w:tr w14:paraId="10F417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exact"/>
          <w:jc w:val="center"/>
        </w:trPr>
        <w:tc>
          <w:tcPr>
            <w:tcW w:w="726" w:type="dxa"/>
            <w:vAlign w:val="center"/>
          </w:tcPr>
          <w:p w14:paraId="6A772D5E">
            <w:pPr>
              <w:pStyle w:val="94"/>
              <w:numPr>
                <w:ilvl w:val="0"/>
                <w:numId w:val="7"/>
              </w:numPr>
              <w:jc w:val="center"/>
              <w:rPr>
                <w:rFonts w:hint="eastAsia" w:hAnsi="宋体"/>
                <w:color w:val="auto"/>
                <w:kern w:val="2"/>
                <w:sz w:val="21"/>
                <w:szCs w:val="21"/>
              </w:rPr>
            </w:pPr>
          </w:p>
        </w:tc>
        <w:tc>
          <w:tcPr>
            <w:tcW w:w="1202" w:type="dxa"/>
            <w:vMerge w:val="continue"/>
            <w:vAlign w:val="center"/>
          </w:tcPr>
          <w:p w14:paraId="79145785">
            <w:pPr>
              <w:jc w:val="center"/>
              <w:rPr>
                <w:rFonts w:eastAsia="宋体"/>
                <w:color w:val="auto"/>
                <w:kern w:val="2"/>
                <w:sz w:val="21"/>
                <w:szCs w:val="21"/>
                <w:lang w:eastAsia="zh-CN" w:bidi="ar-SA"/>
              </w:rPr>
            </w:pPr>
          </w:p>
        </w:tc>
        <w:tc>
          <w:tcPr>
            <w:tcW w:w="2372" w:type="dxa"/>
            <w:vAlign w:val="center"/>
          </w:tcPr>
          <w:p w14:paraId="1C6E8A7F">
            <w:pPr>
              <w:jc w:val="both"/>
              <w:rPr>
                <w:rFonts w:eastAsia="等线"/>
                <w:color w:val="auto"/>
                <w:kern w:val="2"/>
                <w:sz w:val="21"/>
                <w:szCs w:val="21"/>
                <w:lang w:eastAsia="zh-CN" w:bidi="ar-SA"/>
              </w:rPr>
            </w:pPr>
            <w:r>
              <w:rPr>
                <w:rFonts w:hint="eastAsia" w:eastAsia="宋体"/>
                <w:color w:val="auto"/>
                <w:kern w:val="2"/>
                <w:sz w:val="21"/>
                <w:szCs w:val="21"/>
                <w:lang w:eastAsia="zh-CN" w:bidi="ar-SA"/>
              </w:rPr>
              <w:t>交通部（</w:t>
            </w:r>
            <w:r>
              <w:rPr>
                <w:rFonts w:eastAsia="等线"/>
                <w:color w:val="auto"/>
                <w:kern w:val="2"/>
                <w:sz w:val="21"/>
                <w:szCs w:val="21"/>
                <w:lang w:eastAsia="zh-CN" w:bidi="ar-SA"/>
              </w:rPr>
              <w:t>2011</w:t>
            </w:r>
            <w:r>
              <w:rPr>
                <w:rFonts w:hint="eastAsia" w:eastAsia="宋体"/>
                <w:color w:val="auto"/>
                <w:kern w:val="2"/>
                <w:sz w:val="21"/>
                <w:szCs w:val="21"/>
                <w:lang w:eastAsia="zh-CN" w:bidi="ar-SA"/>
              </w:rPr>
              <w:t>年第</w:t>
            </w:r>
            <w:r>
              <w:rPr>
                <w:rFonts w:eastAsia="等线"/>
                <w:color w:val="auto"/>
                <w:kern w:val="2"/>
                <w:sz w:val="21"/>
                <w:szCs w:val="21"/>
                <w:lang w:eastAsia="zh-CN" w:bidi="ar-SA"/>
              </w:rPr>
              <w:t>12</w:t>
            </w:r>
            <w:r>
              <w:rPr>
                <w:rFonts w:hint="eastAsia" w:eastAsia="宋体"/>
                <w:color w:val="auto"/>
                <w:kern w:val="2"/>
                <w:sz w:val="21"/>
                <w:szCs w:val="21"/>
                <w:lang w:eastAsia="zh-CN" w:bidi="ar-SA"/>
              </w:rPr>
              <w:t>号文）</w:t>
            </w:r>
          </w:p>
        </w:tc>
        <w:tc>
          <w:tcPr>
            <w:tcW w:w="4768" w:type="dxa"/>
            <w:vAlign w:val="center"/>
          </w:tcPr>
          <w:p w14:paraId="57C3E34E">
            <w:pPr>
              <w:jc w:val="both"/>
              <w:rPr>
                <w:rFonts w:hint="eastAsia" w:asciiTheme="minorEastAsia" w:hAnsiTheme="minorEastAsia" w:eastAsiaTheme="minorEastAsia"/>
                <w:color w:val="auto"/>
                <w:kern w:val="2"/>
                <w:sz w:val="21"/>
                <w:szCs w:val="21"/>
                <w:lang w:eastAsia="zh-CN" w:bidi="ar-SA"/>
              </w:rPr>
            </w:pPr>
            <w:r>
              <w:rPr>
                <w:rFonts w:hint="eastAsia" w:asciiTheme="minorEastAsia" w:hAnsiTheme="minorEastAsia" w:eastAsiaTheme="minorEastAsia"/>
                <w:color w:val="auto"/>
                <w:kern w:val="2"/>
                <w:sz w:val="21"/>
                <w:szCs w:val="21"/>
                <w:lang w:eastAsia="zh-CN" w:bidi="ar-SA"/>
              </w:rPr>
              <w:t>长江口深水航道疏浚工程质量检验标准</w:t>
            </w:r>
          </w:p>
        </w:tc>
      </w:tr>
    </w:tbl>
    <w:p w14:paraId="7F44E5D5">
      <w:pPr>
        <w:spacing w:before="240" w:line="360" w:lineRule="auto"/>
        <w:jc w:val="both"/>
        <w:rPr>
          <w:rFonts w:hint="eastAsia" w:ascii="宋体" w:hAnsi="宋体" w:eastAsia="宋体"/>
          <w:color w:val="auto"/>
          <w:kern w:val="2"/>
          <w:sz w:val="21"/>
          <w:szCs w:val="21"/>
          <w:lang w:eastAsia="zh-CN" w:bidi="ar-SA"/>
        </w:rPr>
      </w:pPr>
      <w:r>
        <w:rPr>
          <w:rFonts w:ascii="ˎ̥" w:hAnsi="ˎ̥" w:eastAsia="宋体"/>
          <w:color w:val="auto"/>
          <w:sz w:val="21"/>
          <w:szCs w:val="21"/>
          <w:lang w:eastAsia="zh-CN" w:bidi="ar-SA"/>
        </w:rPr>
        <w:t> </w:t>
      </w:r>
      <w:r>
        <w:rPr>
          <w:rFonts w:hint="eastAsia" w:eastAsia="宋体"/>
          <w:color w:val="auto"/>
          <w:kern w:val="2"/>
          <w:sz w:val="21"/>
          <w:szCs w:val="21"/>
          <w:lang w:eastAsia="zh-CN" w:bidi="ar-SA"/>
        </w:rPr>
        <w:t>说明：</w:t>
      </w:r>
      <w:r>
        <w:rPr>
          <w:rFonts w:hint="eastAsia" w:ascii="宋体" w:hAnsi="宋体" w:eastAsia="宋体"/>
          <w:color w:val="auto"/>
          <w:kern w:val="2"/>
          <w:sz w:val="21"/>
          <w:szCs w:val="21"/>
          <w:lang w:eastAsia="zh-CN" w:bidi="ar-SA"/>
        </w:rPr>
        <w:t>以上所列规范若与部颁最新规范有出入的，以最新规范为准。</w:t>
      </w:r>
    </w:p>
    <w:p w14:paraId="11320714">
      <w:pPr>
        <w:spacing w:line="360" w:lineRule="auto"/>
        <w:ind w:firstLine="420" w:firstLineChars="200"/>
        <w:jc w:val="both"/>
        <w:rPr>
          <w:rFonts w:eastAsia="宋体"/>
          <w:color w:val="auto"/>
          <w:kern w:val="2"/>
          <w:sz w:val="21"/>
          <w:szCs w:val="21"/>
          <w:lang w:eastAsia="zh-CN" w:bidi="ar-SA"/>
        </w:rPr>
      </w:pPr>
      <w:r>
        <w:rPr>
          <w:rFonts w:hint="eastAsia" w:eastAsia="宋体"/>
          <w:color w:val="auto"/>
          <w:kern w:val="2"/>
          <w:sz w:val="21"/>
          <w:szCs w:val="21"/>
          <w:lang w:eastAsia="zh-CN" w:bidi="ar-SA"/>
        </w:rPr>
        <w:t>4、水利部颁发的有关水运工程的标准、规范、规程及技术指南。</w:t>
      </w:r>
    </w:p>
    <w:p w14:paraId="474656EB">
      <w:pPr>
        <w:spacing w:line="360" w:lineRule="auto"/>
        <w:ind w:firstLine="420" w:firstLineChars="200"/>
        <w:jc w:val="both"/>
        <w:rPr>
          <w:rFonts w:eastAsia="宋体"/>
          <w:color w:val="auto"/>
          <w:kern w:val="2"/>
          <w:sz w:val="21"/>
          <w:szCs w:val="21"/>
          <w:lang w:eastAsia="zh-CN" w:bidi="ar-SA"/>
        </w:rPr>
      </w:pPr>
      <w:r>
        <w:rPr>
          <w:rFonts w:hint="eastAsia" w:eastAsia="宋体"/>
          <w:color w:val="auto"/>
          <w:kern w:val="2"/>
          <w:sz w:val="21"/>
          <w:szCs w:val="21"/>
          <w:lang w:eastAsia="zh-CN" w:bidi="ar-SA"/>
        </w:rPr>
        <w:t>5、交通运输部颁布的与本工程建设有关的其它标准、规范。</w:t>
      </w:r>
      <w:bookmarkStart w:id="904" w:name="_Toc504633933"/>
    </w:p>
    <w:p w14:paraId="7081483D">
      <w:pPr>
        <w:keepNext/>
        <w:keepLines/>
        <w:spacing w:line="360" w:lineRule="auto"/>
        <w:outlineLvl w:val="1"/>
        <w:rPr>
          <w:rFonts w:ascii="Arial" w:hAnsi="Arial" w:eastAsia="宋体"/>
          <w:b/>
          <w:bCs/>
          <w:color w:val="auto"/>
          <w:kern w:val="2"/>
          <w:sz w:val="28"/>
          <w:szCs w:val="32"/>
          <w:lang w:eastAsia="zh-CN" w:bidi="ar-SA"/>
        </w:rPr>
      </w:pPr>
      <w:bookmarkStart w:id="905" w:name="_Toc17765"/>
      <w:r>
        <w:rPr>
          <w:rFonts w:hint="eastAsia" w:ascii="Arial" w:hAnsi="Arial" w:eastAsia="宋体"/>
          <w:b/>
          <w:bCs/>
          <w:color w:val="auto"/>
          <w:kern w:val="2"/>
          <w:sz w:val="28"/>
          <w:szCs w:val="32"/>
          <w:lang w:eastAsia="zh-CN" w:bidi="ar-SA"/>
        </w:rPr>
        <w:t>三、成果文件要求</w:t>
      </w:r>
      <w:bookmarkEnd w:id="904"/>
      <w:bookmarkEnd w:id="905"/>
    </w:p>
    <w:p w14:paraId="2ABD4851">
      <w:pPr>
        <w:keepNext/>
        <w:keepLines/>
        <w:spacing w:line="360" w:lineRule="auto"/>
        <w:jc w:val="both"/>
        <w:outlineLvl w:val="2"/>
        <w:rPr>
          <w:rFonts w:eastAsia="宋体"/>
          <w:b/>
          <w:bCs/>
          <w:color w:val="auto"/>
          <w:kern w:val="2"/>
          <w:szCs w:val="32"/>
          <w:lang w:eastAsia="zh-CN" w:bidi="ar-SA"/>
        </w:rPr>
      </w:pPr>
      <w:bookmarkStart w:id="906" w:name="_Toc18316"/>
      <w:r>
        <w:rPr>
          <w:rFonts w:hint="eastAsia" w:eastAsia="宋体"/>
          <w:b/>
          <w:bCs/>
          <w:color w:val="auto"/>
          <w:kern w:val="2"/>
          <w:szCs w:val="32"/>
          <w:lang w:eastAsia="zh-CN" w:bidi="ar-SA"/>
        </w:rPr>
        <w:t>1、成果文件的组成</w:t>
      </w:r>
      <w:bookmarkEnd w:id="906"/>
    </w:p>
    <w:p w14:paraId="3A8C2484">
      <w:pPr>
        <w:spacing w:line="360" w:lineRule="auto"/>
        <w:ind w:firstLine="420" w:firstLineChars="200"/>
        <w:jc w:val="both"/>
        <w:rPr>
          <w:rFonts w:eastAsia="宋体"/>
          <w:color w:val="auto"/>
          <w:kern w:val="2"/>
          <w:sz w:val="21"/>
          <w:szCs w:val="21"/>
          <w:lang w:eastAsia="zh-CN" w:bidi="ar-SA"/>
        </w:rPr>
      </w:pPr>
      <w:r>
        <w:rPr>
          <w:rFonts w:hint="eastAsia" w:eastAsia="宋体"/>
          <w:color w:val="auto"/>
          <w:kern w:val="2"/>
          <w:sz w:val="21"/>
          <w:szCs w:val="21"/>
          <w:lang w:eastAsia="zh-CN" w:bidi="ar-SA"/>
        </w:rPr>
        <w:t>包括但不限于以下文件：</w:t>
      </w:r>
    </w:p>
    <w:p w14:paraId="2D61B4AB">
      <w:pPr>
        <w:spacing w:line="360" w:lineRule="auto"/>
        <w:ind w:firstLine="420" w:firstLineChars="200"/>
        <w:jc w:val="both"/>
        <w:rPr>
          <w:rFonts w:eastAsia="宋体"/>
          <w:color w:val="auto"/>
          <w:kern w:val="2"/>
          <w:sz w:val="21"/>
          <w:szCs w:val="21"/>
          <w:lang w:eastAsia="zh-CN" w:bidi="ar-SA"/>
        </w:rPr>
      </w:pPr>
      <w:r>
        <w:rPr>
          <w:rFonts w:hint="eastAsia" w:eastAsia="宋体"/>
          <w:color w:val="auto"/>
          <w:kern w:val="2"/>
          <w:sz w:val="21"/>
          <w:szCs w:val="21"/>
          <w:lang w:eastAsia="zh-CN" w:bidi="ar-SA"/>
        </w:rPr>
        <w:t>⑴ 《监理规划》和《监理实施细则》；</w:t>
      </w:r>
    </w:p>
    <w:p w14:paraId="185CE05C">
      <w:pPr>
        <w:spacing w:line="360" w:lineRule="auto"/>
        <w:ind w:firstLine="420" w:firstLineChars="200"/>
        <w:jc w:val="both"/>
        <w:rPr>
          <w:rFonts w:eastAsia="宋体"/>
          <w:color w:val="auto"/>
          <w:kern w:val="2"/>
          <w:sz w:val="21"/>
          <w:szCs w:val="21"/>
          <w:lang w:eastAsia="zh-CN" w:bidi="ar-SA"/>
        </w:rPr>
      </w:pPr>
      <w:r>
        <w:rPr>
          <w:rFonts w:hint="eastAsia" w:eastAsia="宋体"/>
          <w:color w:val="auto"/>
          <w:kern w:val="2"/>
          <w:sz w:val="21"/>
          <w:szCs w:val="21"/>
          <w:lang w:eastAsia="zh-CN" w:bidi="ar-SA"/>
        </w:rPr>
        <w:t>⑵ 监理月报</w:t>
      </w:r>
    </w:p>
    <w:p w14:paraId="3E17F3E7">
      <w:pPr>
        <w:spacing w:line="360" w:lineRule="auto"/>
        <w:ind w:firstLine="420" w:firstLineChars="200"/>
        <w:jc w:val="both"/>
        <w:rPr>
          <w:rFonts w:eastAsia="宋体"/>
          <w:color w:val="auto"/>
          <w:kern w:val="2"/>
          <w:sz w:val="21"/>
          <w:szCs w:val="21"/>
          <w:lang w:eastAsia="zh-CN" w:bidi="ar-SA"/>
        </w:rPr>
      </w:pPr>
      <w:r>
        <w:rPr>
          <w:rFonts w:hint="eastAsia" w:eastAsia="宋体"/>
          <w:color w:val="auto"/>
          <w:kern w:val="2"/>
          <w:sz w:val="21"/>
          <w:szCs w:val="21"/>
          <w:lang w:eastAsia="zh-CN" w:bidi="ar-SA"/>
        </w:rPr>
        <w:t>⑶ 会议纪要、监理业务联系（通知）单；</w:t>
      </w:r>
    </w:p>
    <w:p w14:paraId="37F4AD86">
      <w:pPr>
        <w:spacing w:line="360" w:lineRule="auto"/>
        <w:ind w:firstLine="420" w:firstLineChars="200"/>
        <w:jc w:val="both"/>
        <w:rPr>
          <w:rFonts w:eastAsia="宋体"/>
          <w:color w:val="auto"/>
          <w:kern w:val="2"/>
          <w:sz w:val="21"/>
          <w:szCs w:val="21"/>
          <w:lang w:eastAsia="zh-CN" w:bidi="ar-SA"/>
        </w:rPr>
      </w:pPr>
      <w:r>
        <w:rPr>
          <w:rFonts w:hint="eastAsia" w:eastAsia="宋体"/>
          <w:color w:val="auto"/>
          <w:kern w:val="2"/>
          <w:sz w:val="21"/>
          <w:szCs w:val="21"/>
          <w:lang w:eastAsia="zh-CN" w:bidi="ar-SA"/>
        </w:rPr>
        <w:t>⑷ 日常记录资料；</w:t>
      </w:r>
    </w:p>
    <w:p w14:paraId="40B1C7E5">
      <w:pPr>
        <w:spacing w:line="360" w:lineRule="auto"/>
        <w:ind w:firstLine="420" w:firstLineChars="200"/>
        <w:jc w:val="both"/>
        <w:rPr>
          <w:rFonts w:eastAsia="宋体"/>
          <w:color w:val="auto"/>
          <w:kern w:val="2"/>
          <w:sz w:val="21"/>
          <w:szCs w:val="21"/>
          <w:lang w:eastAsia="zh-CN" w:bidi="ar-SA"/>
        </w:rPr>
      </w:pPr>
      <w:r>
        <w:rPr>
          <w:rFonts w:hint="eastAsia" w:eastAsia="宋体"/>
          <w:color w:val="auto"/>
          <w:kern w:val="2"/>
          <w:sz w:val="21"/>
          <w:szCs w:val="21"/>
          <w:lang w:eastAsia="zh-CN" w:bidi="ar-SA"/>
        </w:rPr>
        <w:t>应包括下列主要内容：</w:t>
      </w:r>
    </w:p>
    <w:p w14:paraId="7F4E6A57">
      <w:pPr>
        <w:spacing w:line="360" w:lineRule="auto"/>
        <w:ind w:firstLine="420" w:firstLineChars="200"/>
        <w:jc w:val="both"/>
        <w:rPr>
          <w:rFonts w:eastAsia="宋体"/>
          <w:color w:val="auto"/>
          <w:kern w:val="2"/>
          <w:sz w:val="21"/>
          <w:szCs w:val="21"/>
          <w:lang w:eastAsia="zh-CN" w:bidi="ar-SA"/>
        </w:rPr>
      </w:pPr>
      <w:r>
        <w:rPr>
          <w:rFonts w:hint="eastAsia" w:eastAsia="宋体"/>
          <w:color w:val="auto"/>
          <w:kern w:val="2"/>
          <w:sz w:val="21"/>
          <w:szCs w:val="21"/>
          <w:lang w:eastAsia="zh-CN" w:bidi="ar-SA"/>
        </w:rPr>
        <w:t>a、各分项工程批准开工、质量检验和材料试验结果记录；</w:t>
      </w:r>
    </w:p>
    <w:p w14:paraId="7E5276C0">
      <w:pPr>
        <w:spacing w:line="360" w:lineRule="auto"/>
        <w:ind w:firstLine="420" w:firstLineChars="200"/>
        <w:jc w:val="both"/>
        <w:rPr>
          <w:rFonts w:eastAsia="宋体"/>
          <w:color w:val="auto"/>
          <w:kern w:val="2"/>
          <w:sz w:val="21"/>
          <w:szCs w:val="21"/>
          <w:lang w:eastAsia="zh-CN" w:bidi="ar-SA"/>
        </w:rPr>
      </w:pPr>
      <w:r>
        <w:rPr>
          <w:rFonts w:hint="eastAsia" w:eastAsia="宋体"/>
          <w:color w:val="auto"/>
          <w:kern w:val="2"/>
          <w:sz w:val="21"/>
          <w:szCs w:val="21"/>
          <w:lang w:eastAsia="zh-CN" w:bidi="ar-SA"/>
        </w:rPr>
        <w:t>b、重要部位或隐蔽工程的检验记录、照片、录像等；</w:t>
      </w:r>
    </w:p>
    <w:p w14:paraId="3CA29A5D">
      <w:pPr>
        <w:spacing w:line="360" w:lineRule="auto"/>
        <w:ind w:firstLine="420" w:firstLineChars="200"/>
        <w:jc w:val="both"/>
        <w:rPr>
          <w:rFonts w:eastAsia="宋体"/>
          <w:color w:val="auto"/>
          <w:kern w:val="2"/>
          <w:sz w:val="21"/>
          <w:szCs w:val="21"/>
          <w:lang w:eastAsia="zh-CN" w:bidi="ar-SA"/>
        </w:rPr>
      </w:pPr>
      <w:r>
        <w:rPr>
          <w:rFonts w:hint="eastAsia" w:eastAsia="宋体"/>
          <w:color w:val="auto"/>
          <w:kern w:val="2"/>
          <w:sz w:val="21"/>
          <w:szCs w:val="21"/>
          <w:lang w:eastAsia="zh-CN" w:bidi="ar-SA"/>
        </w:rPr>
        <w:t>c、监理业务联系（通知）单；</w:t>
      </w:r>
    </w:p>
    <w:p w14:paraId="4508A9F1">
      <w:pPr>
        <w:spacing w:line="360" w:lineRule="auto"/>
        <w:ind w:firstLine="420" w:firstLineChars="200"/>
        <w:jc w:val="both"/>
        <w:rPr>
          <w:rFonts w:eastAsia="宋体"/>
          <w:color w:val="auto"/>
          <w:kern w:val="2"/>
          <w:sz w:val="21"/>
          <w:szCs w:val="21"/>
          <w:lang w:eastAsia="zh-CN" w:bidi="ar-SA"/>
        </w:rPr>
      </w:pPr>
      <w:r>
        <w:rPr>
          <w:rFonts w:hint="eastAsia" w:eastAsia="宋体"/>
          <w:color w:val="auto"/>
          <w:kern w:val="2"/>
          <w:sz w:val="21"/>
          <w:szCs w:val="21"/>
          <w:lang w:eastAsia="zh-CN" w:bidi="ar-SA"/>
        </w:rPr>
        <w:t>d、监理日记；</w:t>
      </w:r>
    </w:p>
    <w:p w14:paraId="786C5951">
      <w:pPr>
        <w:spacing w:line="360" w:lineRule="auto"/>
        <w:ind w:firstLine="420" w:firstLineChars="200"/>
        <w:jc w:val="both"/>
        <w:rPr>
          <w:rFonts w:eastAsia="宋体"/>
          <w:color w:val="auto"/>
          <w:kern w:val="2"/>
          <w:sz w:val="21"/>
          <w:szCs w:val="21"/>
          <w:lang w:eastAsia="zh-CN" w:bidi="ar-SA"/>
        </w:rPr>
      </w:pPr>
      <w:r>
        <w:rPr>
          <w:rFonts w:hint="eastAsia" w:eastAsia="宋体"/>
          <w:color w:val="auto"/>
          <w:kern w:val="2"/>
          <w:sz w:val="21"/>
          <w:szCs w:val="21"/>
          <w:lang w:eastAsia="zh-CN" w:bidi="ar-SA"/>
        </w:rPr>
        <w:t>e、旁站监理记录；</w:t>
      </w:r>
    </w:p>
    <w:p w14:paraId="6FAB5F4D">
      <w:pPr>
        <w:spacing w:line="360" w:lineRule="auto"/>
        <w:ind w:firstLine="420" w:firstLineChars="200"/>
        <w:jc w:val="both"/>
        <w:rPr>
          <w:rFonts w:eastAsia="宋体"/>
          <w:color w:val="auto"/>
          <w:kern w:val="2"/>
          <w:sz w:val="21"/>
          <w:szCs w:val="21"/>
          <w:lang w:eastAsia="zh-CN" w:bidi="ar-SA"/>
        </w:rPr>
      </w:pPr>
      <w:r>
        <w:rPr>
          <w:rFonts w:hint="eastAsia" w:eastAsia="宋体"/>
          <w:color w:val="auto"/>
          <w:kern w:val="2"/>
          <w:sz w:val="21"/>
          <w:szCs w:val="21"/>
          <w:lang w:eastAsia="zh-CN" w:bidi="ar-SA"/>
        </w:rPr>
        <w:t>f、平行试验资料；</w:t>
      </w:r>
    </w:p>
    <w:p w14:paraId="1C73F5F3">
      <w:pPr>
        <w:spacing w:line="360" w:lineRule="auto"/>
        <w:ind w:firstLine="420" w:firstLineChars="200"/>
        <w:jc w:val="both"/>
        <w:rPr>
          <w:rFonts w:eastAsia="宋体"/>
          <w:color w:val="auto"/>
          <w:kern w:val="2"/>
          <w:sz w:val="21"/>
          <w:szCs w:val="21"/>
          <w:lang w:eastAsia="zh-CN" w:bidi="ar-SA"/>
        </w:rPr>
      </w:pPr>
      <w:r>
        <w:rPr>
          <w:rFonts w:hint="eastAsia" w:eastAsia="宋体"/>
          <w:color w:val="auto"/>
          <w:kern w:val="2"/>
          <w:sz w:val="21"/>
          <w:szCs w:val="21"/>
          <w:lang w:eastAsia="zh-CN" w:bidi="ar-SA"/>
        </w:rPr>
        <w:t>g、工地会议纪要、监理业务联系（通知）单等。</w:t>
      </w:r>
    </w:p>
    <w:p w14:paraId="27AF3130">
      <w:pPr>
        <w:spacing w:line="360" w:lineRule="auto"/>
        <w:ind w:firstLine="420" w:firstLineChars="200"/>
        <w:jc w:val="both"/>
        <w:rPr>
          <w:rFonts w:eastAsia="宋体"/>
          <w:color w:val="auto"/>
          <w:kern w:val="2"/>
          <w:sz w:val="21"/>
          <w:szCs w:val="21"/>
          <w:lang w:eastAsia="zh-CN" w:bidi="ar-SA"/>
        </w:rPr>
      </w:pPr>
      <w:r>
        <w:rPr>
          <w:rFonts w:hint="eastAsia" w:eastAsia="宋体"/>
          <w:color w:val="auto"/>
          <w:kern w:val="2"/>
          <w:sz w:val="21"/>
          <w:szCs w:val="21"/>
          <w:lang w:eastAsia="zh-CN" w:bidi="ar-SA"/>
        </w:rPr>
        <w:t>⑸ 监理专题报告；</w:t>
      </w:r>
    </w:p>
    <w:p w14:paraId="06FEC3FA">
      <w:pPr>
        <w:spacing w:line="360" w:lineRule="auto"/>
        <w:ind w:firstLine="420" w:firstLineChars="200"/>
        <w:jc w:val="both"/>
        <w:rPr>
          <w:rFonts w:eastAsia="宋体"/>
          <w:color w:val="auto"/>
          <w:kern w:val="2"/>
          <w:sz w:val="21"/>
          <w:szCs w:val="21"/>
          <w:lang w:eastAsia="zh-CN" w:bidi="ar-SA"/>
        </w:rPr>
      </w:pPr>
      <w:r>
        <w:rPr>
          <w:rFonts w:hint="eastAsia" w:eastAsia="宋体"/>
          <w:color w:val="auto"/>
          <w:kern w:val="2"/>
          <w:sz w:val="21"/>
          <w:szCs w:val="21"/>
          <w:lang w:eastAsia="zh-CN" w:bidi="ar-SA"/>
        </w:rPr>
        <w:t>⑹ 监理月报；</w:t>
      </w:r>
    </w:p>
    <w:p w14:paraId="76B0F082">
      <w:pPr>
        <w:spacing w:line="360" w:lineRule="auto"/>
        <w:ind w:firstLine="420" w:firstLineChars="200"/>
        <w:jc w:val="both"/>
        <w:rPr>
          <w:rFonts w:eastAsia="宋体"/>
          <w:color w:val="auto"/>
          <w:kern w:val="2"/>
          <w:sz w:val="21"/>
          <w:szCs w:val="21"/>
          <w:lang w:eastAsia="zh-CN" w:bidi="ar-SA"/>
        </w:rPr>
      </w:pPr>
      <w:r>
        <w:rPr>
          <w:rFonts w:hint="eastAsia" w:eastAsia="宋体"/>
          <w:color w:val="auto"/>
          <w:kern w:val="2"/>
          <w:sz w:val="21"/>
          <w:szCs w:val="21"/>
          <w:lang w:eastAsia="zh-CN" w:bidi="ar-SA"/>
        </w:rPr>
        <w:t>⑺ 工程质量、安全、进度、投资评价建议；</w:t>
      </w:r>
    </w:p>
    <w:p w14:paraId="7D07AF3F">
      <w:pPr>
        <w:spacing w:line="360" w:lineRule="auto"/>
        <w:ind w:firstLine="420" w:firstLineChars="200"/>
        <w:jc w:val="both"/>
        <w:rPr>
          <w:rFonts w:eastAsia="宋体"/>
          <w:color w:val="auto"/>
          <w:kern w:val="2"/>
          <w:sz w:val="21"/>
          <w:szCs w:val="21"/>
          <w:lang w:eastAsia="zh-CN" w:bidi="ar-SA"/>
        </w:rPr>
      </w:pPr>
      <w:r>
        <w:rPr>
          <w:rFonts w:hint="eastAsia" w:ascii="宋体" w:hAnsi="宋体" w:eastAsia="宋体" w:cs="宋体"/>
          <w:color w:val="auto"/>
          <w:kern w:val="2"/>
          <w:sz w:val="21"/>
          <w:szCs w:val="21"/>
          <w:lang w:eastAsia="zh-CN" w:bidi="ar-SA"/>
        </w:rPr>
        <w:t xml:space="preserve">⑻ </w:t>
      </w:r>
      <w:r>
        <w:rPr>
          <w:rFonts w:hint="eastAsia" w:eastAsia="宋体"/>
          <w:color w:val="auto"/>
          <w:kern w:val="2"/>
          <w:sz w:val="21"/>
          <w:szCs w:val="21"/>
          <w:lang w:eastAsia="zh-CN" w:bidi="ar-SA"/>
        </w:rPr>
        <w:t>监理工作总结报告等；</w:t>
      </w:r>
    </w:p>
    <w:p w14:paraId="2ADB0630">
      <w:pPr>
        <w:spacing w:line="360" w:lineRule="auto"/>
        <w:ind w:firstLine="420" w:firstLineChars="200"/>
        <w:jc w:val="both"/>
        <w:rPr>
          <w:rFonts w:eastAsia="宋体"/>
          <w:color w:val="auto"/>
          <w:kern w:val="2"/>
          <w:sz w:val="21"/>
          <w:szCs w:val="21"/>
          <w:lang w:eastAsia="zh-CN" w:bidi="ar-SA"/>
        </w:rPr>
      </w:pPr>
      <w:r>
        <w:rPr>
          <w:rFonts w:hint="eastAsia" w:ascii="宋体" w:hAnsi="宋体" w:eastAsia="宋体"/>
          <w:color w:val="auto"/>
          <w:kern w:val="2"/>
          <w:sz w:val="21"/>
          <w:szCs w:val="21"/>
          <w:lang w:eastAsia="zh-CN" w:bidi="ar-SA"/>
        </w:rPr>
        <w:t>⑼</w:t>
      </w:r>
      <w:r>
        <w:rPr>
          <w:rFonts w:hint="eastAsia" w:eastAsia="宋体"/>
          <w:color w:val="auto"/>
          <w:kern w:val="2"/>
          <w:sz w:val="21"/>
          <w:szCs w:val="21"/>
          <w:lang w:eastAsia="zh-CN" w:bidi="ar-SA"/>
        </w:rPr>
        <w:t xml:space="preserve"> 工程交工验收资料及“交工验收证书”或“中间验收证书”等。</w:t>
      </w:r>
    </w:p>
    <w:p w14:paraId="2F89347C">
      <w:pPr>
        <w:keepNext/>
        <w:keepLines/>
        <w:spacing w:line="360" w:lineRule="auto"/>
        <w:jc w:val="both"/>
        <w:outlineLvl w:val="2"/>
        <w:rPr>
          <w:rFonts w:eastAsia="宋体"/>
          <w:b/>
          <w:bCs/>
          <w:color w:val="auto"/>
          <w:kern w:val="2"/>
          <w:szCs w:val="32"/>
          <w:lang w:eastAsia="zh-CN" w:bidi="ar-SA"/>
        </w:rPr>
      </w:pPr>
      <w:bookmarkStart w:id="907" w:name="_Toc85"/>
      <w:r>
        <w:rPr>
          <w:rFonts w:hint="eastAsia" w:eastAsia="宋体"/>
          <w:b/>
          <w:bCs/>
          <w:color w:val="auto"/>
          <w:kern w:val="2"/>
          <w:szCs w:val="32"/>
          <w:lang w:eastAsia="zh-CN" w:bidi="ar-SA"/>
        </w:rPr>
        <w:t>2、成果文件的深度</w:t>
      </w:r>
      <w:bookmarkEnd w:id="907"/>
    </w:p>
    <w:p w14:paraId="3DAF32BE">
      <w:pPr>
        <w:spacing w:line="360" w:lineRule="auto"/>
        <w:ind w:firstLine="420" w:firstLineChars="200"/>
        <w:jc w:val="both"/>
        <w:rPr>
          <w:rFonts w:eastAsia="宋体"/>
          <w:color w:val="auto"/>
          <w:kern w:val="2"/>
          <w:sz w:val="21"/>
          <w:szCs w:val="16"/>
          <w:lang w:eastAsia="zh-CN" w:bidi="ar-SA"/>
        </w:rPr>
      </w:pPr>
      <w:r>
        <w:rPr>
          <w:rFonts w:hint="eastAsia" w:eastAsia="宋体"/>
          <w:color w:val="auto"/>
          <w:kern w:val="2"/>
          <w:sz w:val="21"/>
          <w:szCs w:val="16"/>
          <w:lang w:eastAsia="zh-CN" w:bidi="ar-SA"/>
        </w:rPr>
        <w:t>符合施工监理规范规定和满足施工监理工作需求。</w:t>
      </w:r>
    </w:p>
    <w:p w14:paraId="053A779F">
      <w:pPr>
        <w:keepNext/>
        <w:keepLines/>
        <w:spacing w:line="360" w:lineRule="auto"/>
        <w:jc w:val="both"/>
        <w:outlineLvl w:val="2"/>
        <w:rPr>
          <w:rFonts w:eastAsia="宋体"/>
          <w:b/>
          <w:bCs/>
          <w:color w:val="auto"/>
          <w:kern w:val="2"/>
          <w:szCs w:val="32"/>
          <w:lang w:eastAsia="zh-CN" w:bidi="ar-SA"/>
        </w:rPr>
      </w:pPr>
      <w:bookmarkStart w:id="908" w:name="_Toc1515"/>
      <w:r>
        <w:rPr>
          <w:rFonts w:hint="eastAsia" w:eastAsia="宋体"/>
          <w:b/>
          <w:bCs/>
          <w:color w:val="auto"/>
          <w:kern w:val="2"/>
          <w:szCs w:val="32"/>
          <w:lang w:eastAsia="zh-CN" w:bidi="ar-SA"/>
        </w:rPr>
        <w:t>3、成果文件的格式要求</w:t>
      </w:r>
      <w:bookmarkEnd w:id="908"/>
    </w:p>
    <w:p w14:paraId="2F0BC503">
      <w:pPr>
        <w:spacing w:line="360" w:lineRule="auto"/>
        <w:ind w:firstLine="420" w:firstLineChars="200"/>
        <w:jc w:val="both"/>
        <w:rPr>
          <w:rFonts w:eastAsia="宋体"/>
          <w:color w:val="auto"/>
          <w:kern w:val="2"/>
          <w:szCs w:val="20"/>
          <w:lang w:eastAsia="zh-CN" w:bidi="ar-SA"/>
        </w:rPr>
      </w:pPr>
      <w:r>
        <w:rPr>
          <w:rFonts w:hint="eastAsia" w:eastAsia="宋体"/>
          <w:color w:val="auto"/>
          <w:kern w:val="2"/>
          <w:sz w:val="21"/>
          <w:szCs w:val="16"/>
          <w:lang w:eastAsia="zh-CN" w:bidi="ar-SA"/>
        </w:rPr>
        <w:t>应符合《水运建设项目文件材料立卷归档管理办法》的规定，并满足档案验收的要求</w:t>
      </w:r>
      <w:r>
        <w:rPr>
          <w:rFonts w:hint="eastAsia" w:eastAsia="宋体"/>
          <w:color w:val="auto"/>
          <w:kern w:val="2"/>
          <w:szCs w:val="20"/>
          <w:lang w:eastAsia="zh-CN" w:bidi="ar-SA"/>
        </w:rPr>
        <w:t>。</w:t>
      </w:r>
    </w:p>
    <w:p w14:paraId="7191CB0B">
      <w:pPr>
        <w:keepNext/>
        <w:keepLines/>
        <w:spacing w:line="360" w:lineRule="auto"/>
        <w:jc w:val="both"/>
        <w:outlineLvl w:val="2"/>
        <w:rPr>
          <w:rFonts w:eastAsia="宋体"/>
          <w:b/>
          <w:bCs/>
          <w:color w:val="auto"/>
          <w:kern w:val="2"/>
          <w:szCs w:val="32"/>
          <w:lang w:eastAsia="zh-CN" w:bidi="ar-SA"/>
        </w:rPr>
      </w:pPr>
      <w:bookmarkStart w:id="909" w:name="_Toc23622"/>
      <w:r>
        <w:rPr>
          <w:rFonts w:hint="eastAsia" w:eastAsia="宋体"/>
          <w:b/>
          <w:bCs/>
          <w:color w:val="auto"/>
          <w:kern w:val="2"/>
          <w:szCs w:val="32"/>
          <w:lang w:eastAsia="zh-CN" w:bidi="ar-SA"/>
        </w:rPr>
        <w:t>4、成果文件的份数要求</w:t>
      </w:r>
      <w:bookmarkEnd w:id="909"/>
    </w:p>
    <w:p w14:paraId="012765BA">
      <w:pPr>
        <w:spacing w:line="360" w:lineRule="auto"/>
        <w:ind w:firstLine="420" w:firstLineChars="200"/>
        <w:jc w:val="both"/>
        <w:rPr>
          <w:rFonts w:eastAsia="宋体"/>
          <w:color w:val="auto"/>
          <w:kern w:val="2"/>
          <w:sz w:val="21"/>
          <w:szCs w:val="16"/>
          <w:lang w:eastAsia="zh-CN" w:bidi="ar-SA"/>
        </w:rPr>
      </w:pPr>
      <w:r>
        <w:rPr>
          <w:rFonts w:hint="eastAsia" w:eastAsia="宋体"/>
          <w:color w:val="auto"/>
          <w:kern w:val="2"/>
          <w:sz w:val="21"/>
          <w:szCs w:val="16"/>
          <w:lang w:eastAsia="zh-CN" w:bidi="ar-SA"/>
        </w:rPr>
        <w:t>一式三份。</w:t>
      </w:r>
    </w:p>
    <w:p w14:paraId="5F764671">
      <w:pPr>
        <w:keepNext/>
        <w:keepLines/>
        <w:spacing w:line="360" w:lineRule="auto"/>
        <w:jc w:val="both"/>
        <w:outlineLvl w:val="2"/>
        <w:rPr>
          <w:rFonts w:eastAsia="宋体"/>
          <w:b/>
          <w:bCs/>
          <w:color w:val="auto"/>
          <w:kern w:val="2"/>
          <w:szCs w:val="32"/>
          <w:lang w:eastAsia="zh-CN" w:bidi="ar-SA"/>
        </w:rPr>
      </w:pPr>
      <w:bookmarkStart w:id="910" w:name="_Toc32527"/>
      <w:r>
        <w:rPr>
          <w:rFonts w:hint="eastAsia" w:eastAsia="宋体"/>
          <w:b/>
          <w:bCs/>
          <w:color w:val="auto"/>
          <w:kern w:val="2"/>
          <w:szCs w:val="32"/>
          <w:lang w:eastAsia="zh-CN" w:bidi="ar-SA"/>
        </w:rPr>
        <w:t>5、成果文件的载体要求</w:t>
      </w:r>
      <w:bookmarkEnd w:id="910"/>
    </w:p>
    <w:p w14:paraId="57794DE5">
      <w:pPr>
        <w:spacing w:line="360" w:lineRule="auto"/>
        <w:ind w:firstLine="420" w:firstLineChars="200"/>
        <w:jc w:val="both"/>
        <w:rPr>
          <w:rFonts w:eastAsia="宋体"/>
          <w:color w:val="auto"/>
          <w:kern w:val="2"/>
          <w:sz w:val="21"/>
          <w:szCs w:val="16"/>
          <w:lang w:eastAsia="zh-CN" w:bidi="ar-SA"/>
        </w:rPr>
      </w:pPr>
      <w:r>
        <w:rPr>
          <w:rFonts w:hint="eastAsia" w:eastAsia="宋体"/>
          <w:color w:val="auto"/>
          <w:kern w:val="2"/>
          <w:sz w:val="21"/>
          <w:szCs w:val="16"/>
          <w:lang w:eastAsia="zh-CN" w:bidi="ar-SA"/>
        </w:rPr>
        <w:t>⑴ 纸质版的要求；</w:t>
      </w:r>
    </w:p>
    <w:p w14:paraId="63AE1E42">
      <w:pPr>
        <w:spacing w:line="360" w:lineRule="auto"/>
        <w:ind w:firstLine="420" w:firstLineChars="200"/>
        <w:jc w:val="both"/>
        <w:rPr>
          <w:rFonts w:eastAsia="宋体"/>
          <w:color w:val="auto"/>
          <w:kern w:val="2"/>
          <w:sz w:val="21"/>
          <w:szCs w:val="16"/>
          <w:lang w:eastAsia="zh-CN" w:bidi="ar-SA"/>
        </w:rPr>
      </w:pPr>
      <w:r>
        <w:rPr>
          <w:rFonts w:hint="eastAsia" w:eastAsia="宋体"/>
          <w:color w:val="auto"/>
          <w:kern w:val="2"/>
          <w:sz w:val="21"/>
          <w:szCs w:val="16"/>
          <w:lang w:eastAsia="zh-CN" w:bidi="ar-SA"/>
        </w:rPr>
        <w:t>纸质文件应编制目录，用A4纸幅胶装，一式肆份。</w:t>
      </w:r>
    </w:p>
    <w:p w14:paraId="29CBC28A">
      <w:pPr>
        <w:spacing w:line="360" w:lineRule="auto"/>
        <w:ind w:firstLine="420" w:firstLineChars="200"/>
        <w:jc w:val="both"/>
        <w:rPr>
          <w:rFonts w:eastAsia="宋体"/>
          <w:color w:val="auto"/>
          <w:kern w:val="2"/>
          <w:sz w:val="21"/>
          <w:szCs w:val="16"/>
          <w:lang w:eastAsia="zh-CN" w:bidi="ar-SA"/>
        </w:rPr>
      </w:pPr>
      <w:r>
        <w:rPr>
          <w:rFonts w:hint="eastAsia" w:eastAsia="宋体"/>
          <w:color w:val="auto"/>
          <w:kern w:val="2"/>
          <w:sz w:val="21"/>
          <w:szCs w:val="16"/>
          <w:lang w:eastAsia="zh-CN" w:bidi="ar-SA"/>
        </w:rPr>
        <w:t>⑵ 电子版的要求；</w:t>
      </w:r>
    </w:p>
    <w:p w14:paraId="08F2E594">
      <w:pPr>
        <w:spacing w:line="360" w:lineRule="auto"/>
        <w:ind w:firstLine="420" w:firstLineChars="200"/>
        <w:jc w:val="both"/>
        <w:rPr>
          <w:rFonts w:eastAsia="宋体"/>
          <w:color w:val="auto"/>
          <w:kern w:val="2"/>
          <w:sz w:val="21"/>
          <w:szCs w:val="16"/>
          <w:lang w:eastAsia="zh-CN" w:bidi="ar-SA"/>
        </w:rPr>
      </w:pPr>
      <w:r>
        <w:rPr>
          <w:rFonts w:eastAsia="宋体"/>
          <w:color w:val="auto"/>
          <w:kern w:val="2"/>
          <w:sz w:val="21"/>
          <w:szCs w:val="16"/>
          <w:lang w:eastAsia="zh-CN" w:bidi="ar-SA"/>
        </w:rPr>
        <w:t>电子文件</w:t>
      </w:r>
      <w:r>
        <w:rPr>
          <w:rFonts w:hint="eastAsia" w:eastAsia="宋体"/>
          <w:color w:val="auto"/>
          <w:kern w:val="2"/>
          <w:sz w:val="21"/>
          <w:szCs w:val="16"/>
          <w:lang w:eastAsia="zh-CN" w:bidi="ar-SA"/>
        </w:rPr>
        <w:t>应为纸质版文件的彩色扫描件，以</w:t>
      </w:r>
      <w:r>
        <w:rPr>
          <w:rFonts w:eastAsia="宋体"/>
          <w:color w:val="auto"/>
          <w:kern w:val="2"/>
          <w:sz w:val="21"/>
          <w:szCs w:val="16"/>
          <w:lang w:eastAsia="zh-CN" w:bidi="ar-SA"/>
        </w:rPr>
        <w:t>PDF</w:t>
      </w:r>
      <w:r>
        <w:rPr>
          <w:rFonts w:hint="eastAsia" w:eastAsia="宋体"/>
          <w:color w:val="auto"/>
          <w:kern w:val="2"/>
          <w:sz w:val="21"/>
          <w:szCs w:val="16"/>
          <w:lang w:eastAsia="zh-CN" w:bidi="ar-SA"/>
        </w:rPr>
        <w:t>格式文件提交，</w:t>
      </w:r>
      <w:r>
        <w:rPr>
          <w:rFonts w:eastAsia="宋体"/>
          <w:color w:val="auto"/>
          <w:kern w:val="2"/>
          <w:sz w:val="21"/>
          <w:szCs w:val="16"/>
          <w:lang w:eastAsia="zh-CN" w:bidi="ar-SA"/>
        </w:rPr>
        <w:t>使用光盘和U盘分别贮存。</w:t>
      </w:r>
    </w:p>
    <w:p w14:paraId="695E1024">
      <w:pPr>
        <w:keepNext/>
        <w:keepLines/>
        <w:spacing w:line="360" w:lineRule="auto"/>
        <w:jc w:val="both"/>
        <w:outlineLvl w:val="2"/>
        <w:rPr>
          <w:rFonts w:eastAsia="宋体"/>
          <w:b/>
          <w:bCs/>
          <w:color w:val="auto"/>
          <w:kern w:val="2"/>
          <w:szCs w:val="32"/>
          <w:lang w:eastAsia="zh-CN" w:bidi="ar-SA"/>
        </w:rPr>
      </w:pPr>
      <w:bookmarkStart w:id="911" w:name="_Toc21401"/>
      <w:r>
        <w:rPr>
          <w:rFonts w:hint="eastAsia" w:eastAsia="宋体"/>
          <w:b/>
          <w:bCs/>
          <w:color w:val="auto"/>
          <w:kern w:val="2"/>
          <w:szCs w:val="32"/>
          <w:lang w:eastAsia="zh-CN" w:bidi="ar-SA"/>
        </w:rPr>
        <w:t>6、成果文件的其他要求</w:t>
      </w:r>
      <w:bookmarkEnd w:id="911"/>
    </w:p>
    <w:p w14:paraId="589E29D1">
      <w:pPr>
        <w:spacing w:line="360" w:lineRule="auto"/>
        <w:ind w:firstLine="420" w:firstLineChars="200"/>
        <w:jc w:val="both"/>
        <w:rPr>
          <w:rFonts w:eastAsia="宋体"/>
          <w:color w:val="auto"/>
          <w:kern w:val="2"/>
          <w:sz w:val="21"/>
          <w:szCs w:val="16"/>
          <w:lang w:eastAsia="zh-CN" w:bidi="ar-SA"/>
        </w:rPr>
      </w:pPr>
      <w:r>
        <w:rPr>
          <w:rFonts w:hint="eastAsia" w:eastAsia="宋体"/>
          <w:color w:val="auto"/>
          <w:kern w:val="2"/>
          <w:sz w:val="21"/>
          <w:szCs w:val="16"/>
          <w:lang w:eastAsia="zh-CN" w:bidi="ar-SA"/>
        </w:rPr>
        <w:t>无。</w:t>
      </w:r>
    </w:p>
    <w:p w14:paraId="46B7109D">
      <w:pPr>
        <w:keepNext/>
        <w:keepLines/>
        <w:spacing w:line="360" w:lineRule="auto"/>
        <w:outlineLvl w:val="1"/>
        <w:rPr>
          <w:rFonts w:ascii="Arial" w:hAnsi="Arial" w:eastAsia="宋体"/>
          <w:b/>
          <w:bCs/>
          <w:color w:val="auto"/>
          <w:kern w:val="2"/>
          <w:sz w:val="28"/>
          <w:szCs w:val="32"/>
          <w:lang w:eastAsia="zh-CN" w:bidi="ar-SA"/>
        </w:rPr>
      </w:pPr>
      <w:bookmarkStart w:id="912" w:name="_Toc504633934"/>
      <w:bookmarkStart w:id="913" w:name="_Toc21500"/>
      <w:r>
        <w:rPr>
          <w:rFonts w:hint="eastAsia" w:ascii="Arial" w:hAnsi="Arial" w:eastAsia="宋体"/>
          <w:b/>
          <w:bCs/>
          <w:color w:val="auto"/>
          <w:kern w:val="2"/>
          <w:sz w:val="28"/>
          <w:szCs w:val="32"/>
          <w:lang w:eastAsia="zh-CN" w:bidi="ar-SA"/>
        </w:rPr>
        <w:t>四、委托人提供的资料</w:t>
      </w:r>
      <w:bookmarkEnd w:id="912"/>
      <w:bookmarkEnd w:id="913"/>
    </w:p>
    <w:p w14:paraId="78054121">
      <w:pPr>
        <w:spacing w:line="360" w:lineRule="auto"/>
        <w:ind w:firstLine="420" w:firstLineChars="200"/>
        <w:jc w:val="both"/>
        <w:rPr>
          <w:rFonts w:eastAsia="宋体"/>
          <w:color w:val="auto"/>
          <w:kern w:val="2"/>
          <w:sz w:val="21"/>
          <w:szCs w:val="16"/>
          <w:lang w:eastAsia="zh-CN" w:bidi="ar-SA"/>
        </w:rPr>
      </w:pPr>
      <w:r>
        <w:rPr>
          <w:rFonts w:eastAsia="宋体"/>
          <w:color w:val="auto"/>
          <w:kern w:val="2"/>
          <w:sz w:val="21"/>
          <w:szCs w:val="16"/>
          <w:lang w:eastAsia="zh-CN" w:bidi="ar-SA"/>
        </w:rPr>
        <w:t>1</w:t>
      </w:r>
      <w:r>
        <w:rPr>
          <w:rFonts w:hint="eastAsia" w:eastAsia="宋体"/>
          <w:color w:val="auto"/>
          <w:kern w:val="2"/>
          <w:sz w:val="21"/>
          <w:szCs w:val="16"/>
          <w:lang w:eastAsia="zh-CN" w:bidi="ar-SA"/>
        </w:rPr>
        <w:t>、</w:t>
      </w:r>
      <w:r>
        <w:rPr>
          <w:rFonts w:eastAsia="宋体"/>
          <w:color w:val="auto"/>
          <w:kern w:val="2"/>
          <w:sz w:val="21"/>
          <w:szCs w:val="16"/>
          <w:lang w:eastAsia="zh-CN" w:bidi="ar-SA"/>
        </w:rPr>
        <w:t>施工场地及毗邻区域内的供水、排水、供电、供气、供热、通信、广播电视等地下管线资料、气象和水文观测资料，相邻建筑物和构筑物、地下工程的有关资料以及其他与建设工程有关的原始资料</w:t>
      </w:r>
      <w:r>
        <w:rPr>
          <w:rFonts w:hint="eastAsia" w:eastAsia="宋体"/>
          <w:color w:val="auto"/>
          <w:kern w:val="2"/>
          <w:sz w:val="21"/>
          <w:szCs w:val="16"/>
          <w:lang w:eastAsia="zh-CN" w:bidi="ar-SA"/>
        </w:rPr>
        <w:t>；</w:t>
      </w:r>
    </w:p>
    <w:p w14:paraId="7CA096FB">
      <w:pPr>
        <w:spacing w:line="360" w:lineRule="auto"/>
        <w:ind w:firstLine="420" w:firstLineChars="200"/>
        <w:jc w:val="both"/>
        <w:rPr>
          <w:rFonts w:eastAsia="宋体"/>
          <w:color w:val="auto"/>
          <w:kern w:val="2"/>
          <w:sz w:val="21"/>
          <w:szCs w:val="16"/>
          <w:lang w:eastAsia="zh-CN" w:bidi="ar-SA"/>
        </w:rPr>
      </w:pPr>
      <w:r>
        <w:rPr>
          <w:rFonts w:eastAsia="宋体"/>
          <w:color w:val="auto"/>
          <w:kern w:val="2"/>
          <w:sz w:val="21"/>
          <w:szCs w:val="16"/>
          <w:lang w:eastAsia="zh-CN" w:bidi="ar-SA"/>
        </w:rPr>
        <w:t>2</w:t>
      </w:r>
      <w:r>
        <w:rPr>
          <w:rFonts w:hint="eastAsia" w:eastAsia="宋体"/>
          <w:color w:val="auto"/>
          <w:kern w:val="2"/>
          <w:sz w:val="21"/>
          <w:szCs w:val="16"/>
          <w:lang w:eastAsia="zh-CN" w:bidi="ar-SA"/>
        </w:rPr>
        <w:t>、</w:t>
      </w:r>
      <w:r>
        <w:rPr>
          <w:rFonts w:eastAsia="宋体"/>
          <w:color w:val="auto"/>
          <w:kern w:val="2"/>
          <w:sz w:val="21"/>
          <w:szCs w:val="16"/>
          <w:lang w:eastAsia="zh-CN" w:bidi="ar-SA"/>
        </w:rPr>
        <w:t>定位放线的基准点、基准线和基准标高</w:t>
      </w:r>
      <w:r>
        <w:rPr>
          <w:rFonts w:hint="eastAsia" w:eastAsia="宋体"/>
          <w:color w:val="auto"/>
          <w:kern w:val="2"/>
          <w:sz w:val="21"/>
          <w:szCs w:val="16"/>
          <w:lang w:eastAsia="zh-CN" w:bidi="ar-SA"/>
        </w:rPr>
        <w:t>；</w:t>
      </w:r>
    </w:p>
    <w:p w14:paraId="37CD0F19">
      <w:pPr>
        <w:spacing w:line="360" w:lineRule="auto"/>
        <w:ind w:firstLine="420" w:firstLineChars="200"/>
        <w:jc w:val="both"/>
        <w:rPr>
          <w:rFonts w:eastAsia="宋体"/>
          <w:color w:val="auto"/>
          <w:kern w:val="2"/>
          <w:sz w:val="21"/>
          <w:szCs w:val="16"/>
          <w:lang w:eastAsia="zh-CN" w:bidi="ar-SA"/>
        </w:rPr>
      </w:pPr>
      <w:r>
        <w:rPr>
          <w:rFonts w:eastAsia="宋体"/>
          <w:color w:val="auto"/>
          <w:kern w:val="2"/>
          <w:sz w:val="21"/>
          <w:szCs w:val="16"/>
          <w:lang w:eastAsia="zh-CN" w:bidi="ar-SA"/>
        </w:rPr>
        <w:t>3</w:t>
      </w:r>
      <w:r>
        <w:rPr>
          <w:rFonts w:hint="eastAsia" w:eastAsia="宋体"/>
          <w:color w:val="auto"/>
          <w:kern w:val="2"/>
          <w:sz w:val="21"/>
          <w:szCs w:val="16"/>
          <w:lang w:eastAsia="zh-CN" w:bidi="ar-SA"/>
        </w:rPr>
        <w:t>、</w:t>
      </w:r>
      <w:r>
        <w:rPr>
          <w:rFonts w:eastAsia="宋体"/>
          <w:color w:val="auto"/>
          <w:kern w:val="2"/>
          <w:sz w:val="21"/>
          <w:szCs w:val="16"/>
          <w:lang w:eastAsia="zh-CN" w:bidi="ar-SA"/>
        </w:rPr>
        <w:t>委托人取得的有关审批、核准和备案材料</w:t>
      </w:r>
      <w:r>
        <w:rPr>
          <w:rFonts w:hint="eastAsia" w:eastAsia="宋体"/>
          <w:color w:val="auto"/>
          <w:kern w:val="2"/>
          <w:sz w:val="21"/>
          <w:szCs w:val="16"/>
          <w:lang w:eastAsia="zh-CN" w:bidi="ar-SA"/>
        </w:rPr>
        <w:t>；</w:t>
      </w:r>
    </w:p>
    <w:p w14:paraId="50C90BEC">
      <w:pPr>
        <w:spacing w:line="360" w:lineRule="auto"/>
        <w:ind w:firstLine="420" w:firstLineChars="200"/>
        <w:jc w:val="both"/>
        <w:rPr>
          <w:rFonts w:eastAsia="宋体"/>
          <w:color w:val="auto"/>
          <w:kern w:val="2"/>
          <w:sz w:val="21"/>
          <w:szCs w:val="16"/>
          <w:lang w:eastAsia="zh-CN" w:bidi="ar-SA"/>
        </w:rPr>
      </w:pPr>
      <w:r>
        <w:rPr>
          <w:rFonts w:eastAsia="宋体"/>
          <w:color w:val="auto"/>
          <w:kern w:val="2"/>
          <w:sz w:val="21"/>
          <w:szCs w:val="16"/>
          <w:lang w:eastAsia="zh-CN" w:bidi="ar-SA"/>
        </w:rPr>
        <w:t>4</w:t>
      </w:r>
      <w:r>
        <w:rPr>
          <w:rFonts w:hint="eastAsia" w:eastAsia="宋体"/>
          <w:color w:val="auto"/>
          <w:kern w:val="2"/>
          <w:sz w:val="21"/>
          <w:szCs w:val="16"/>
          <w:lang w:eastAsia="zh-CN" w:bidi="ar-SA"/>
        </w:rPr>
        <w:t>、</w:t>
      </w:r>
      <w:r>
        <w:rPr>
          <w:rFonts w:eastAsia="宋体"/>
          <w:color w:val="auto"/>
          <w:kern w:val="2"/>
          <w:sz w:val="21"/>
          <w:szCs w:val="16"/>
          <w:lang w:eastAsia="zh-CN" w:bidi="ar-SA"/>
        </w:rPr>
        <w:t>勘察文件、设计文件等资料</w:t>
      </w:r>
      <w:r>
        <w:rPr>
          <w:rFonts w:hint="eastAsia" w:eastAsia="宋体"/>
          <w:color w:val="auto"/>
          <w:kern w:val="2"/>
          <w:sz w:val="21"/>
          <w:szCs w:val="16"/>
          <w:lang w:eastAsia="zh-CN" w:bidi="ar-SA"/>
        </w:rPr>
        <w:t>；</w:t>
      </w:r>
    </w:p>
    <w:p w14:paraId="4BDB2E68">
      <w:pPr>
        <w:spacing w:line="360" w:lineRule="auto"/>
        <w:ind w:firstLine="420" w:firstLineChars="200"/>
        <w:jc w:val="both"/>
        <w:rPr>
          <w:rFonts w:eastAsia="宋体"/>
          <w:color w:val="auto"/>
          <w:kern w:val="2"/>
          <w:sz w:val="21"/>
          <w:szCs w:val="16"/>
          <w:lang w:eastAsia="zh-CN" w:bidi="ar-SA"/>
        </w:rPr>
      </w:pPr>
      <w:r>
        <w:rPr>
          <w:rFonts w:eastAsia="宋体"/>
          <w:color w:val="auto"/>
          <w:kern w:val="2"/>
          <w:sz w:val="21"/>
          <w:szCs w:val="16"/>
          <w:lang w:eastAsia="zh-CN" w:bidi="ar-SA"/>
        </w:rPr>
        <w:t>5</w:t>
      </w:r>
      <w:r>
        <w:rPr>
          <w:rFonts w:hint="eastAsia" w:eastAsia="宋体"/>
          <w:color w:val="auto"/>
          <w:kern w:val="2"/>
          <w:sz w:val="21"/>
          <w:szCs w:val="16"/>
          <w:lang w:eastAsia="zh-CN" w:bidi="ar-SA"/>
        </w:rPr>
        <w:t>、本</w:t>
      </w:r>
      <w:r>
        <w:rPr>
          <w:rFonts w:eastAsia="宋体"/>
          <w:color w:val="auto"/>
          <w:kern w:val="2"/>
          <w:sz w:val="21"/>
          <w:szCs w:val="16"/>
          <w:lang w:eastAsia="zh-CN" w:bidi="ar-SA"/>
        </w:rPr>
        <w:t>工程</w:t>
      </w:r>
      <w:r>
        <w:rPr>
          <w:rFonts w:hint="eastAsia" w:eastAsia="宋体"/>
          <w:color w:val="auto"/>
          <w:kern w:val="2"/>
          <w:sz w:val="21"/>
          <w:szCs w:val="16"/>
          <w:lang w:eastAsia="zh-CN" w:bidi="ar-SA"/>
        </w:rPr>
        <w:t>的</w:t>
      </w:r>
      <w:r>
        <w:rPr>
          <w:rFonts w:eastAsia="宋体"/>
          <w:color w:val="auto"/>
          <w:kern w:val="2"/>
          <w:sz w:val="21"/>
          <w:szCs w:val="16"/>
          <w:lang w:eastAsia="zh-CN" w:bidi="ar-SA"/>
        </w:rPr>
        <w:t>承包合同及其他相关合同</w:t>
      </w:r>
      <w:r>
        <w:rPr>
          <w:rFonts w:hint="eastAsia" w:eastAsia="宋体"/>
          <w:color w:val="auto"/>
          <w:kern w:val="2"/>
          <w:sz w:val="21"/>
          <w:szCs w:val="16"/>
          <w:lang w:eastAsia="zh-CN" w:bidi="ar-SA"/>
        </w:rPr>
        <w:t>、</w:t>
      </w:r>
      <w:r>
        <w:rPr>
          <w:rFonts w:ascii="宋体" w:hAnsi="宋体" w:eastAsia="宋体"/>
          <w:color w:val="auto"/>
          <w:kern w:val="2"/>
          <w:sz w:val="21"/>
          <w:szCs w:val="21"/>
          <w:lang w:eastAsia="zh-CN" w:bidi="ar-SA"/>
        </w:rPr>
        <w:t>已标价的工程数量清单及其说明</w:t>
      </w:r>
      <w:r>
        <w:rPr>
          <w:rFonts w:hint="eastAsia" w:eastAsia="宋体"/>
          <w:color w:val="auto"/>
          <w:kern w:val="2"/>
          <w:sz w:val="21"/>
          <w:szCs w:val="16"/>
          <w:lang w:eastAsia="zh-CN" w:bidi="ar-SA"/>
        </w:rPr>
        <w:t>；</w:t>
      </w:r>
    </w:p>
    <w:p w14:paraId="3290252C">
      <w:pPr>
        <w:spacing w:line="360" w:lineRule="auto"/>
        <w:ind w:firstLine="420" w:firstLineChars="200"/>
        <w:jc w:val="both"/>
        <w:rPr>
          <w:rFonts w:eastAsia="宋体"/>
          <w:color w:val="auto"/>
          <w:kern w:val="2"/>
          <w:sz w:val="21"/>
          <w:szCs w:val="16"/>
          <w:lang w:eastAsia="zh-CN" w:bidi="ar-SA"/>
        </w:rPr>
      </w:pPr>
      <w:r>
        <w:rPr>
          <w:rFonts w:hint="eastAsia" w:eastAsia="宋体"/>
          <w:color w:val="auto"/>
          <w:kern w:val="2"/>
          <w:sz w:val="21"/>
          <w:szCs w:val="16"/>
          <w:lang w:eastAsia="zh-CN" w:bidi="ar-SA"/>
        </w:rPr>
        <w:t>6、</w:t>
      </w:r>
      <w:r>
        <w:rPr>
          <w:rFonts w:ascii="宋体" w:hAnsi="宋体" w:eastAsia="宋体"/>
          <w:color w:val="auto"/>
          <w:kern w:val="2"/>
          <w:sz w:val="21"/>
          <w:szCs w:val="21"/>
          <w:lang w:eastAsia="zh-CN" w:bidi="ar-SA"/>
        </w:rPr>
        <w:t>本工程的施工</w:t>
      </w:r>
      <w:r>
        <w:rPr>
          <w:rFonts w:hint="eastAsia" w:ascii="宋体" w:hAnsi="宋体" w:eastAsia="宋体"/>
          <w:color w:val="auto"/>
          <w:kern w:val="2"/>
          <w:sz w:val="21"/>
          <w:szCs w:val="21"/>
          <w:lang w:eastAsia="zh-CN" w:bidi="ar-SA"/>
        </w:rPr>
        <w:t>及设备采购</w:t>
      </w:r>
      <w:r>
        <w:rPr>
          <w:rFonts w:ascii="宋体" w:hAnsi="宋体" w:eastAsia="宋体"/>
          <w:color w:val="auto"/>
          <w:kern w:val="2"/>
          <w:sz w:val="21"/>
          <w:szCs w:val="21"/>
          <w:lang w:eastAsia="zh-CN" w:bidi="ar-SA"/>
        </w:rPr>
        <w:t>招标文件，承包人的投标文件</w:t>
      </w:r>
      <w:r>
        <w:rPr>
          <w:rFonts w:hint="eastAsia" w:ascii="宋体" w:hAnsi="宋体" w:eastAsia="宋体"/>
          <w:color w:val="auto"/>
          <w:kern w:val="2"/>
          <w:sz w:val="21"/>
          <w:szCs w:val="21"/>
          <w:lang w:eastAsia="zh-CN" w:bidi="ar-SA"/>
        </w:rPr>
        <w:t>；</w:t>
      </w:r>
    </w:p>
    <w:p w14:paraId="5EEED735">
      <w:pPr>
        <w:spacing w:line="360" w:lineRule="auto"/>
        <w:ind w:firstLine="420" w:firstLineChars="200"/>
        <w:jc w:val="both"/>
        <w:rPr>
          <w:rFonts w:eastAsia="宋体"/>
          <w:color w:val="auto"/>
          <w:kern w:val="2"/>
          <w:sz w:val="21"/>
          <w:szCs w:val="16"/>
          <w:lang w:eastAsia="zh-CN" w:bidi="ar-SA"/>
        </w:rPr>
      </w:pPr>
      <w:r>
        <w:rPr>
          <w:rFonts w:eastAsia="宋体"/>
          <w:color w:val="auto"/>
          <w:kern w:val="2"/>
          <w:sz w:val="21"/>
          <w:szCs w:val="16"/>
          <w:lang w:eastAsia="zh-CN" w:bidi="ar-SA"/>
        </w:rPr>
        <w:t>7</w:t>
      </w:r>
      <w:r>
        <w:rPr>
          <w:rFonts w:hint="eastAsia" w:eastAsia="宋体"/>
          <w:color w:val="auto"/>
          <w:kern w:val="2"/>
          <w:sz w:val="21"/>
          <w:szCs w:val="16"/>
          <w:lang w:eastAsia="zh-CN" w:bidi="ar-SA"/>
        </w:rPr>
        <w:t>、监理工作需要的</w:t>
      </w:r>
      <w:r>
        <w:rPr>
          <w:rFonts w:eastAsia="宋体"/>
          <w:color w:val="auto"/>
          <w:kern w:val="2"/>
          <w:sz w:val="21"/>
          <w:szCs w:val="16"/>
          <w:lang w:eastAsia="zh-CN" w:bidi="ar-SA"/>
        </w:rPr>
        <w:t>其他资料</w:t>
      </w:r>
      <w:r>
        <w:rPr>
          <w:rFonts w:hint="eastAsia" w:eastAsia="宋体"/>
          <w:color w:val="auto"/>
          <w:kern w:val="2"/>
          <w:sz w:val="21"/>
          <w:szCs w:val="16"/>
          <w:lang w:eastAsia="zh-CN" w:bidi="ar-SA"/>
        </w:rPr>
        <w:t>。</w:t>
      </w:r>
    </w:p>
    <w:p w14:paraId="0BC2FE60">
      <w:pPr>
        <w:keepNext/>
        <w:keepLines/>
        <w:spacing w:line="360" w:lineRule="auto"/>
        <w:outlineLvl w:val="1"/>
        <w:rPr>
          <w:rFonts w:ascii="Arial" w:hAnsi="Arial" w:eastAsia="宋体"/>
          <w:b/>
          <w:bCs/>
          <w:color w:val="auto"/>
          <w:kern w:val="2"/>
          <w:sz w:val="28"/>
          <w:szCs w:val="32"/>
          <w:lang w:eastAsia="zh-CN" w:bidi="ar-SA"/>
        </w:rPr>
      </w:pPr>
      <w:bookmarkStart w:id="914" w:name="_Toc504633935"/>
      <w:bookmarkStart w:id="915" w:name="_Toc31428"/>
      <w:bookmarkStart w:id="916" w:name="_Hlk45108094"/>
      <w:r>
        <w:rPr>
          <w:rFonts w:hint="eastAsia" w:ascii="Arial" w:hAnsi="Arial" w:eastAsia="宋体"/>
          <w:b/>
          <w:bCs/>
          <w:color w:val="auto"/>
          <w:kern w:val="2"/>
          <w:sz w:val="28"/>
          <w:szCs w:val="32"/>
          <w:lang w:eastAsia="zh-CN" w:bidi="ar-SA"/>
        </w:rPr>
        <w:t>五、委托人提供的便利条件</w:t>
      </w:r>
      <w:bookmarkEnd w:id="914"/>
      <w:bookmarkEnd w:id="915"/>
    </w:p>
    <w:p w14:paraId="52A54E7D">
      <w:pPr>
        <w:spacing w:line="360" w:lineRule="auto"/>
        <w:ind w:firstLine="420" w:firstLineChars="200"/>
        <w:jc w:val="both"/>
        <w:rPr>
          <w:rFonts w:eastAsia="宋体"/>
          <w:color w:val="auto"/>
          <w:kern w:val="2"/>
          <w:sz w:val="21"/>
          <w:szCs w:val="16"/>
          <w:lang w:eastAsia="zh-CN" w:bidi="ar-SA"/>
        </w:rPr>
      </w:pPr>
      <w:r>
        <w:rPr>
          <w:rFonts w:hint="eastAsia" w:eastAsia="宋体"/>
          <w:color w:val="auto"/>
          <w:kern w:val="2"/>
          <w:sz w:val="21"/>
          <w:szCs w:val="16"/>
          <w:lang w:eastAsia="zh-CN" w:bidi="ar-SA"/>
        </w:rPr>
        <w:t>无。</w:t>
      </w:r>
    </w:p>
    <w:bookmarkEnd w:id="916"/>
    <w:p w14:paraId="2AC0F24B">
      <w:pPr>
        <w:keepNext/>
        <w:keepLines/>
        <w:spacing w:line="360" w:lineRule="auto"/>
        <w:outlineLvl w:val="1"/>
        <w:rPr>
          <w:rFonts w:hint="eastAsia" w:ascii="宋体" w:hAnsi="宋体" w:eastAsia="宋体"/>
          <w:b/>
          <w:bCs/>
          <w:color w:val="auto"/>
          <w:kern w:val="2"/>
          <w:sz w:val="28"/>
          <w:szCs w:val="32"/>
          <w:lang w:eastAsia="zh-CN" w:bidi="ar-SA"/>
        </w:rPr>
      </w:pPr>
      <w:bookmarkStart w:id="917" w:name="_Toc26824"/>
      <w:bookmarkStart w:id="918" w:name="_Toc504633936"/>
      <w:r>
        <w:rPr>
          <w:rFonts w:hint="eastAsia" w:ascii="Arial" w:hAnsi="Arial" w:eastAsia="宋体"/>
          <w:b/>
          <w:bCs/>
          <w:color w:val="auto"/>
          <w:kern w:val="2"/>
          <w:sz w:val="28"/>
          <w:szCs w:val="32"/>
          <w:lang w:eastAsia="zh-CN" w:bidi="ar-SA"/>
        </w:rPr>
        <w:t>六、监理人需要自备的工作条件</w:t>
      </w:r>
      <w:bookmarkEnd w:id="917"/>
      <w:bookmarkEnd w:id="918"/>
      <w:r>
        <w:rPr>
          <w:rFonts w:ascii="Arial" w:hAnsi="Arial" w:eastAsia="宋体"/>
          <w:b/>
          <w:bCs/>
          <w:color w:val="auto"/>
          <w:kern w:val="2"/>
          <w:sz w:val="28"/>
          <w:szCs w:val="32"/>
          <w:lang w:eastAsia="zh-CN" w:bidi="ar-SA"/>
        </w:rPr>
        <w:tab/>
      </w:r>
    </w:p>
    <w:p w14:paraId="471BFBC4">
      <w:pPr>
        <w:spacing w:line="360" w:lineRule="auto"/>
        <w:ind w:firstLine="420" w:firstLineChars="200"/>
        <w:jc w:val="both"/>
        <w:rPr>
          <w:rFonts w:hint="eastAsia" w:eastAsia="宋体"/>
          <w:color w:val="auto"/>
          <w:kern w:val="2"/>
          <w:sz w:val="21"/>
          <w:szCs w:val="16"/>
          <w:lang w:eastAsia="zh-CN" w:bidi="ar-SA"/>
        </w:rPr>
      </w:pPr>
      <w:r>
        <w:rPr>
          <w:rFonts w:eastAsia="宋体"/>
          <w:color w:val="auto"/>
          <w:kern w:val="2"/>
          <w:sz w:val="21"/>
          <w:szCs w:val="16"/>
          <w:lang w:eastAsia="zh-CN" w:bidi="ar-SA"/>
        </w:rPr>
        <w:t>满足本项目要求。</w:t>
      </w:r>
    </w:p>
    <w:p w14:paraId="179663D9">
      <w:pPr>
        <w:keepNext/>
        <w:keepLines/>
        <w:spacing w:line="360" w:lineRule="auto"/>
        <w:outlineLvl w:val="1"/>
        <w:rPr>
          <w:rFonts w:ascii="Arial" w:hAnsi="Arial" w:eastAsia="宋体"/>
          <w:b/>
          <w:bCs/>
          <w:color w:val="auto"/>
          <w:kern w:val="2"/>
          <w:sz w:val="28"/>
          <w:szCs w:val="32"/>
          <w:lang w:eastAsia="zh-CN" w:bidi="ar-SA"/>
        </w:rPr>
      </w:pPr>
      <w:bookmarkStart w:id="919" w:name="_Toc10514"/>
      <w:bookmarkStart w:id="920" w:name="_Toc504633937"/>
      <w:r>
        <w:rPr>
          <w:rFonts w:hint="eastAsia" w:ascii="Arial" w:hAnsi="Arial" w:eastAsia="宋体"/>
          <w:b/>
          <w:bCs/>
          <w:color w:val="auto"/>
          <w:kern w:val="2"/>
          <w:sz w:val="28"/>
          <w:szCs w:val="32"/>
          <w:lang w:eastAsia="zh-CN" w:bidi="ar-SA"/>
        </w:rPr>
        <w:t>七、委托人的其他要求</w:t>
      </w:r>
      <w:bookmarkEnd w:id="919"/>
      <w:bookmarkEnd w:id="920"/>
    </w:p>
    <w:p w14:paraId="21BEF8CC">
      <w:pPr>
        <w:spacing w:line="360" w:lineRule="auto"/>
        <w:ind w:firstLine="420" w:firstLineChars="200"/>
        <w:jc w:val="both"/>
        <w:rPr>
          <w:rFonts w:eastAsia="宋体"/>
          <w:color w:val="auto"/>
          <w:kern w:val="2"/>
          <w:sz w:val="21"/>
          <w:szCs w:val="16"/>
          <w:lang w:eastAsia="zh-CN" w:bidi="ar-SA"/>
        </w:rPr>
        <w:sectPr>
          <w:footnotePr>
            <w:numFmt w:val="decimalEnclosedCircleChinese"/>
            <w:numRestart w:val="eachPage"/>
          </w:footnotePr>
          <w:pgSz w:w="11906" w:h="16838"/>
          <w:pgMar w:top="1418" w:right="1588" w:bottom="1418" w:left="1588" w:header="680" w:footer="992" w:gutter="0"/>
          <w:cols w:space="720" w:num="1"/>
          <w:docGrid w:linePitch="326" w:charSpace="0"/>
        </w:sectPr>
      </w:pPr>
      <w:r>
        <w:rPr>
          <w:rFonts w:hint="eastAsia" w:eastAsia="宋体"/>
          <w:color w:val="auto"/>
          <w:kern w:val="2"/>
          <w:sz w:val="21"/>
          <w:szCs w:val="16"/>
          <w:lang w:eastAsia="zh-CN" w:bidi="ar-SA"/>
        </w:rPr>
        <w:t>无。</w:t>
      </w:r>
    </w:p>
    <w:p w14:paraId="1D8A32A3">
      <w:pPr>
        <w:spacing w:line="360" w:lineRule="auto"/>
        <w:ind w:firstLine="420" w:firstLineChars="200"/>
        <w:jc w:val="both"/>
        <w:rPr>
          <w:rFonts w:eastAsia="宋体"/>
          <w:color w:val="auto"/>
          <w:kern w:val="2"/>
          <w:sz w:val="21"/>
          <w:szCs w:val="16"/>
          <w:lang w:eastAsia="zh-CN" w:bidi="ar-SA"/>
        </w:rPr>
      </w:pPr>
    </w:p>
    <w:p w14:paraId="59C55089">
      <w:pPr>
        <w:widowControl/>
        <w:rPr>
          <w:rFonts w:eastAsia="宋体" w:cs="宋体"/>
          <w:color w:val="auto"/>
          <w:lang w:eastAsia="zh-CN" w:bidi="ar-SA"/>
        </w:rPr>
      </w:pPr>
      <w:r>
        <w:rPr>
          <w:rFonts w:eastAsia="宋体" w:cs="宋体"/>
          <w:color w:val="auto"/>
          <w:lang w:eastAsia="zh-CN" w:bidi="ar-SA"/>
        </w:rPr>
        <w:br w:type="page"/>
      </w:r>
    </w:p>
    <w:p w14:paraId="02DD8D47">
      <w:pPr>
        <w:widowControl/>
        <w:spacing w:before="240" w:beforeLines="100" w:after="240" w:afterLines="100" w:line="360" w:lineRule="auto"/>
        <w:jc w:val="center"/>
        <w:outlineLvl w:val="0"/>
        <w:rPr>
          <w:rFonts w:hint="eastAsia" w:ascii="宋体" w:hAnsi="宋体" w:eastAsia="宋体"/>
          <w:b/>
          <w:color w:val="auto"/>
          <w:spacing w:val="-11"/>
          <w:sz w:val="44"/>
          <w:szCs w:val="44"/>
          <w:lang w:eastAsia="zh-CN" w:bidi="ar-SA"/>
        </w:rPr>
        <w:sectPr>
          <w:footnotePr>
            <w:numFmt w:val="decimalEnclosedCircleChinese"/>
            <w:numRestart w:val="eachPage"/>
          </w:footnotePr>
          <w:pgSz w:w="11906" w:h="16838"/>
          <w:pgMar w:top="1418" w:right="1588" w:bottom="1418" w:left="1588" w:header="680" w:footer="992" w:gutter="0"/>
          <w:cols w:space="720" w:num="1"/>
          <w:docGrid w:linePitch="326" w:charSpace="0"/>
        </w:sectPr>
      </w:pPr>
    </w:p>
    <w:p w14:paraId="42642252">
      <w:pPr>
        <w:widowControl/>
        <w:spacing w:before="240" w:beforeLines="100" w:after="240" w:afterLines="100" w:line="360" w:lineRule="auto"/>
        <w:jc w:val="center"/>
        <w:outlineLvl w:val="0"/>
        <w:rPr>
          <w:rFonts w:eastAsia="宋体" w:cs="宋体"/>
          <w:color w:val="auto"/>
          <w:lang w:eastAsia="zh-CN" w:bidi="ar-SA"/>
        </w:rPr>
      </w:pPr>
      <w:bookmarkStart w:id="921" w:name="_Toc29919"/>
      <w:r>
        <w:rPr>
          <w:rFonts w:ascii="宋体" w:hAnsi="宋体" w:eastAsia="宋体"/>
          <w:b/>
          <w:color w:val="auto"/>
          <w:spacing w:val="-11"/>
          <w:sz w:val="44"/>
          <w:szCs w:val="44"/>
          <w:lang w:eastAsia="zh-CN" w:bidi="ar-SA"/>
        </w:rPr>
        <w:t>第</w:t>
      </w:r>
      <w:r>
        <w:rPr>
          <w:rFonts w:hint="eastAsia" w:ascii="宋体" w:hAnsi="宋体" w:eastAsia="宋体"/>
          <w:b/>
          <w:color w:val="auto"/>
          <w:spacing w:val="-11"/>
          <w:sz w:val="44"/>
          <w:szCs w:val="44"/>
          <w:lang w:eastAsia="zh-CN" w:bidi="ar-SA"/>
        </w:rPr>
        <w:t>六</w:t>
      </w:r>
      <w:r>
        <w:rPr>
          <w:rFonts w:ascii="宋体" w:hAnsi="宋体" w:eastAsia="宋体"/>
          <w:b/>
          <w:color w:val="auto"/>
          <w:spacing w:val="-11"/>
          <w:sz w:val="44"/>
          <w:szCs w:val="44"/>
          <w:lang w:eastAsia="zh-CN" w:bidi="ar-SA"/>
        </w:rPr>
        <w:t>章  投标文件格式</w:t>
      </w:r>
      <w:bookmarkEnd w:id="921"/>
    </w:p>
    <w:p w14:paraId="5321FA65">
      <w:pPr>
        <w:spacing w:line="360" w:lineRule="auto"/>
        <w:jc w:val="both"/>
        <w:rPr>
          <w:rFonts w:eastAsia="宋体" w:cs="宋体"/>
          <w:color w:val="auto"/>
          <w:lang w:eastAsia="zh-CN" w:bidi="ar-SA"/>
        </w:rPr>
        <w:sectPr>
          <w:headerReference r:id="rId37" w:type="default"/>
          <w:footerReference r:id="rId39" w:type="default"/>
          <w:headerReference r:id="rId38" w:type="even"/>
          <w:footerReference r:id="rId40" w:type="even"/>
          <w:footnotePr>
            <w:numFmt w:val="decimalEnclosedCircleChinese"/>
            <w:numRestart w:val="eachPage"/>
          </w:footnotePr>
          <w:pgSz w:w="11906" w:h="16838"/>
          <w:pgMar w:top="1418" w:right="1588" w:bottom="1418" w:left="1588" w:header="680" w:footer="992" w:gutter="0"/>
          <w:cols w:space="720" w:num="1"/>
          <w:vAlign w:val="center"/>
          <w:docGrid w:linePitch="326" w:charSpace="0"/>
        </w:sectPr>
      </w:pPr>
    </w:p>
    <w:p w14:paraId="73D3C68C">
      <w:pPr>
        <w:spacing w:line="360" w:lineRule="auto"/>
        <w:ind w:firstLine="880" w:firstLineChars="200"/>
        <w:jc w:val="center"/>
        <w:rPr>
          <w:rFonts w:hint="eastAsia" w:ascii="黑体" w:hAnsi="黑体" w:eastAsia="黑体" w:cs="宋体"/>
          <w:color w:val="auto"/>
          <w:sz w:val="44"/>
          <w:szCs w:val="44"/>
          <w:u w:color="000000"/>
          <w:lang w:eastAsia="zh-CN" w:bidi="ar-SA"/>
        </w:rPr>
        <w:sectPr>
          <w:headerReference r:id="rId41" w:type="even"/>
          <w:footerReference r:id="rId42" w:type="even"/>
          <w:footnotePr>
            <w:numFmt w:val="decimalEnclosedCircleChinese"/>
            <w:numRestart w:val="eachPage"/>
          </w:footnotePr>
          <w:pgSz w:w="11906" w:h="16838"/>
          <w:pgMar w:top="1418" w:right="1588" w:bottom="1418" w:left="1588" w:header="680" w:footer="992" w:gutter="0"/>
          <w:cols w:space="720" w:num="1"/>
          <w:vAlign w:val="center"/>
          <w:docGrid w:linePitch="326" w:charSpace="0"/>
        </w:sectPr>
      </w:pPr>
    </w:p>
    <w:p w14:paraId="23C4F1DF">
      <w:pPr>
        <w:spacing w:before="120" w:beforeLines="50" w:line="360" w:lineRule="auto"/>
        <w:jc w:val="center"/>
        <w:rPr>
          <w:rFonts w:hint="eastAsia" w:ascii="黑体" w:hAnsi="黑体" w:eastAsia="黑体" w:cs="宋体"/>
          <w:color w:val="auto"/>
          <w:sz w:val="36"/>
          <w:szCs w:val="36"/>
          <w:u w:color="000000"/>
          <w:lang w:eastAsia="zh-CN" w:bidi="ar-SA"/>
        </w:rPr>
      </w:pPr>
      <w:bookmarkStart w:id="922" w:name="_Hlk46918312"/>
      <w:r>
        <w:rPr>
          <w:rFonts w:hint="eastAsia" w:ascii="黑体" w:hAnsi="黑体" w:eastAsia="黑体" w:cs="宋体"/>
          <w:color w:val="auto"/>
          <w:sz w:val="36"/>
          <w:szCs w:val="36"/>
          <w:u w:color="000000"/>
          <w:lang w:eastAsia="zh-CN" w:bidi="ar-SA"/>
        </w:rPr>
        <w:t>新余市港口水运基础设施建设项目-袁河航道提升工程新余段库区工程第二标段监理招标</w:t>
      </w:r>
    </w:p>
    <w:p w14:paraId="557FAC03">
      <w:pPr>
        <w:spacing w:line="360" w:lineRule="auto"/>
        <w:jc w:val="both"/>
        <w:rPr>
          <w:rFonts w:eastAsia="宋体" w:cs="宋体"/>
          <w:b/>
          <w:color w:val="auto"/>
          <w:lang w:eastAsia="zh-CN" w:bidi="ar-SA"/>
        </w:rPr>
      </w:pPr>
    </w:p>
    <w:p w14:paraId="1DF6CB2E">
      <w:pPr>
        <w:spacing w:line="360" w:lineRule="auto"/>
        <w:jc w:val="both"/>
        <w:rPr>
          <w:rFonts w:eastAsia="宋体" w:cs="宋体"/>
          <w:color w:val="auto"/>
          <w:lang w:eastAsia="zh-CN" w:bidi="ar-SA"/>
        </w:rPr>
      </w:pPr>
    </w:p>
    <w:p w14:paraId="1FDD6041">
      <w:pPr>
        <w:spacing w:line="360" w:lineRule="auto"/>
        <w:jc w:val="both"/>
        <w:rPr>
          <w:rFonts w:eastAsia="宋体" w:cs="宋体"/>
          <w:color w:val="auto"/>
          <w:lang w:eastAsia="zh-CN" w:bidi="ar-SA"/>
        </w:rPr>
      </w:pPr>
    </w:p>
    <w:p w14:paraId="0AC26E77">
      <w:pPr>
        <w:spacing w:line="360" w:lineRule="auto"/>
        <w:jc w:val="both"/>
        <w:rPr>
          <w:rFonts w:eastAsia="宋体" w:cs="宋体"/>
          <w:color w:val="auto"/>
          <w:lang w:eastAsia="zh-CN" w:bidi="ar-SA"/>
        </w:rPr>
      </w:pPr>
    </w:p>
    <w:p w14:paraId="60147E54">
      <w:pPr>
        <w:spacing w:line="360" w:lineRule="auto"/>
        <w:jc w:val="both"/>
        <w:rPr>
          <w:rFonts w:eastAsia="宋体" w:cs="宋体"/>
          <w:color w:val="auto"/>
          <w:lang w:eastAsia="zh-CN" w:bidi="ar-SA"/>
        </w:rPr>
      </w:pPr>
    </w:p>
    <w:p w14:paraId="0D3F5813">
      <w:pPr>
        <w:spacing w:line="360" w:lineRule="auto"/>
        <w:jc w:val="both"/>
        <w:rPr>
          <w:rFonts w:eastAsia="宋体" w:cs="宋体"/>
          <w:color w:val="auto"/>
          <w:lang w:eastAsia="zh-CN" w:bidi="ar-SA"/>
        </w:rPr>
      </w:pPr>
    </w:p>
    <w:p w14:paraId="52229888">
      <w:pPr>
        <w:spacing w:line="360" w:lineRule="auto"/>
        <w:jc w:val="both"/>
        <w:rPr>
          <w:rFonts w:eastAsia="宋体" w:cs="宋体"/>
          <w:color w:val="auto"/>
          <w:lang w:eastAsia="zh-CN" w:bidi="ar-SA"/>
        </w:rPr>
      </w:pPr>
    </w:p>
    <w:p w14:paraId="14428C20">
      <w:pPr>
        <w:wordWrap w:val="0"/>
        <w:jc w:val="center"/>
        <w:rPr>
          <w:rFonts w:eastAsia="宋体" w:cs="宋体"/>
          <w:b/>
          <w:color w:val="auto"/>
          <w:sz w:val="96"/>
          <w:szCs w:val="44"/>
          <w:lang w:eastAsia="zh-CN" w:bidi="ar-SA"/>
        </w:rPr>
      </w:pPr>
      <w:r>
        <w:rPr>
          <w:rFonts w:eastAsia="宋体" w:cs="宋体"/>
          <w:b/>
          <w:color w:val="auto"/>
          <w:sz w:val="96"/>
          <w:szCs w:val="44"/>
          <w:lang w:eastAsia="zh-CN" w:bidi="ar-SA"/>
        </w:rPr>
        <w:t>投标文件</w:t>
      </w:r>
    </w:p>
    <w:p w14:paraId="58065E9F">
      <w:pPr>
        <w:snapToGrid w:val="0"/>
        <w:spacing w:before="240" w:beforeLines="100" w:after="240" w:afterLines="100"/>
        <w:jc w:val="center"/>
        <w:outlineLvl w:val="1"/>
        <w:rPr>
          <w:rFonts w:hint="eastAsia" w:ascii="宋体" w:hAnsi="宋体" w:eastAsia="宋体" w:cs="宋体"/>
          <w:b/>
          <w:color w:val="auto"/>
          <w:spacing w:val="-10"/>
          <w:sz w:val="40"/>
          <w:szCs w:val="32"/>
          <w:lang w:eastAsia="zh-CN" w:bidi="ar-SA"/>
        </w:rPr>
      </w:pPr>
      <w:bookmarkStart w:id="923" w:name="_Toc26101715"/>
      <w:bookmarkStart w:id="924" w:name="_Toc10345"/>
      <w:r>
        <w:rPr>
          <w:rFonts w:ascii="宋体" w:hAnsi="宋体" w:eastAsia="宋体" w:cs="宋体"/>
          <w:b/>
          <w:color w:val="auto"/>
          <w:spacing w:val="-10"/>
          <w:sz w:val="40"/>
          <w:szCs w:val="32"/>
          <w:lang w:eastAsia="zh-CN" w:bidi="ar-SA"/>
        </w:rPr>
        <w:t>（商务及技术文件</w:t>
      </w:r>
      <w:r>
        <w:rPr>
          <w:rFonts w:hint="eastAsia" w:ascii="宋体" w:hAnsi="宋体" w:eastAsia="宋体" w:cs="宋体"/>
          <w:b/>
          <w:color w:val="auto"/>
          <w:spacing w:val="-10"/>
          <w:sz w:val="40"/>
          <w:szCs w:val="32"/>
          <w:lang w:eastAsia="zh-CN" w:bidi="ar-SA"/>
        </w:rPr>
        <w:t>）</w:t>
      </w:r>
      <w:bookmarkEnd w:id="923"/>
      <w:bookmarkEnd w:id="924"/>
    </w:p>
    <w:p w14:paraId="0768E00B">
      <w:pPr>
        <w:spacing w:line="360" w:lineRule="auto"/>
        <w:ind w:firstLine="3213" w:firstLineChars="1000"/>
        <w:jc w:val="both"/>
        <w:rPr>
          <w:rFonts w:eastAsia="宋体" w:cs="宋体"/>
          <w:color w:val="auto"/>
          <w:lang w:eastAsia="zh-CN" w:bidi="ar-SA"/>
        </w:rPr>
      </w:pPr>
      <w:r>
        <w:rPr>
          <w:rFonts w:ascii="黑体" w:hAnsi="宋体" w:eastAsia="黑体"/>
          <w:b/>
          <w:color w:val="auto"/>
          <w:sz w:val="32"/>
          <w:szCs w:val="32"/>
          <w:u w:val="single"/>
          <w:lang w:eastAsia="zh-CN"/>
        </w:rPr>
        <w:t xml:space="preserve">        </w:t>
      </w:r>
      <w:r>
        <w:rPr>
          <w:rFonts w:hint="eastAsia" w:ascii="黑体" w:hAnsi="宋体" w:eastAsia="黑体"/>
          <w:b/>
          <w:color w:val="auto"/>
          <w:sz w:val="32"/>
          <w:szCs w:val="32"/>
          <w:u w:val="single"/>
          <w:lang w:eastAsia="zh-CN"/>
        </w:rPr>
        <w:t xml:space="preserve"> </w:t>
      </w:r>
      <w:r>
        <w:rPr>
          <w:rFonts w:hint="eastAsia" w:ascii="黑体" w:hAnsi="宋体" w:eastAsia="黑体"/>
          <w:b/>
          <w:color w:val="auto"/>
          <w:sz w:val="32"/>
          <w:szCs w:val="32"/>
          <w:lang w:eastAsia="zh-CN"/>
        </w:rPr>
        <w:t>标段</w:t>
      </w:r>
    </w:p>
    <w:p w14:paraId="5D67B726">
      <w:pPr>
        <w:spacing w:line="360" w:lineRule="auto"/>
        <w:jc w:val="both"/>
        <w:rPr>
          <w:rFonts w:eastAsia="宋体" w:cs="宋体"/>
          <w:color w:val="auto"/>
          <w:lang w:eastAsia="zh-CN" w:bidi="ar-SA"/>
        </w:rPr>
      </w:pPr>
    </w:p>
    <w:p w14:paraId="6EEA0CA3">
      <w:pPr>
        <w:spacing w:line="360" w:lineRule="auto"/>
        <w:jc w:val="both"/>
        <w:rPr>
          <w:rFonts w:eastAsia="宋体" w:cs="宋体"/>
          <w:color w:val="auto"/>
          <w:lang w:eastAsia="zh-CN" w:bidi="ar-SA"/>
        </w:rPr>
      </w:pPr>
    </w:p>
    <w:p w14:paraId="23F3AF45">
      <w:pPr>
        <w:spacing w:line="360" w:lineRule="auto"/>
        <w:jc w:val="both"/>
        <w:rPr>
          <w:rFonts w:eastAsia="宋体" w:cs="宋体"/>
          <w:color w:val="auto"/>
          <w:lang w:eastAsia="zh-CN" w:bidi="ar-SA"/>
        </w:rPr>
      </w:pPr>
    </w:p>
    <w:p w14:paraId="5697ACD4">
      <w:pPr>
        <w:spacing w:line="360" w:lineRule="auto"/>
        <w:jc w:val="both"/>
        <w:rPr>
          <w:rFonts w:eastAsia="宋体" w:cs="宋体"/>
          <w:color w:val="auto"/>
          <w:lang w:eastAsia="zh-CN" w:bidi="ar-SA"/>
        </w:rPr>
      </w:pPr>
    </w:p>
    <w:p w14:paraId="13CE14CA">
      <w:pPr>
        <w:spacing w:line="360" w:lineRule="auto"/>
        <w:jc w:val="both"/>
        <w:rPr>
          <w:rFonts w:eastAsia="宋体" w:cs="宋体"/>
          <w:color w:val="auto"/>
          <w:lang w:eastAsia="zh-CN" w:bidi="ar-SA"/>
        </w:rPr>
      </w:pPr>
    </w:p>
    <w:p w14:paraId="64003FB4">
      <w:pPr>
        <w:spacing w:line="360" w:lineRule="auto"/>
        <w:jc w:val="both"/>
        <w:rPr>
          <w:rFonts w:eastAsia="宋体" w:cs="宋体"/>
          <w:color w:val="auto"/>
          <w:lang w:eastAsia="zh-CN" w:bidi="ar-SA"/>
        </w:rPr>
      </w:pPr>
    </w:p>
    <w:p w14:paraId="7898D0AD">
      <w:pPr>
        <w:spacing w:line="360" w:lineRule="auto"/>
        <w:jc w:val="both"/>
        <w:rPr>
          <w:rFonts w:eastAsia="宋体" w:cs="宋体"/>
          <w:color w:val="auto"/>
          <w:lang w:eastAsia="zh-CN" w:bidi="ar-SA"/>
        </w:rPr>
      </w:pPr>
    </w:p>
    <w:p w14:paraId="198A7975">
      <w:pPr>
        <w:spacing w:line="360" w:lineRule="auto"/>
        <w:jc w:val="both"/>
        <w:rPr>
          <w:rFonts w:eastAsia="宋体" w:cs="宋体"/>
          <w:color w:val="auto"/>
          <w:lang w:eastAsia="zh-CN" w:bidi="ar-SA"/>
        </w:rPr>
      </w:pPr>
    </w:p>
    <w:p w14:paraId="706233AD">
      <w:pPr>
        <w:spacing w:line="360" w:lineRule="auto"/>
        <w:jc w:val="center"/>
        <w:rPr>
          <w:rFonts w:eastAsia="宋体" w:cs="宋体"/>
          <w:color w:val="auto"/>
          <w:sz w:val="28"/>
          <w:szCs w:val="28"/>
          <w:lang w:eastAsia="zh-CN" w:bidi="ar-SA"/>
        </w:rPr>
      </w:pPr>
      <w:r>
        <w:rPr>
          <w:rFonts w:eastAsia="宋体" w:cs="宋体"/>
          <w:color w:val="auto"/>
          <w:w w:val="103"/>
          <w:sz w:val="28"/>
          <w:szCs w:val="28"/>
          <w:lang w:eastAsia="zh-CN" w:bidi="ar-SA"/>
        </w:rPr>
        <w:t>投标人</w:t>
      </w:r>
      <w:r>
        <w:rPr>
          <w:rFonts w:hint="eastAsia" w:ascii="宋体" w:hAnsi="宋体" w:eastAsia="宋体" w:cs="宋体"/>
          <w:color w:val="auto"/>
          <w:w w:val="103"/>
          <w:sz w:val="28"/>
          <w:szCs w:val="28"/>
          <w:lang w:eastAsia="zh-CN" w:bidi="ar-SA"/>
        </w:rPr>
        <w:t>:</w:t>
      </w:r>
      <w:r>
        <w:rPr>
          <w:rFonts w:hint="eastAsia" w:eastAsia="宋体" w:cs="宋体"/>
          <w:color w:val="auto"/>
          <w:sz w:val="28"/>
          <w:szCs w:val="28"/>
          <w:u w:val="single" w:color="000000"/>
          <w:lang w:eastAsia="zh-CN" w:bidi="ar-SA"/>
        </w:rPr>
        <w:t xml:space="preserve">            </w:t>
      </w:r>
      <w:r>
        <w:rPr>
          <w:rFonts w:eastAsia="宋体" w:cs="宋体"/>
          <w:color w:val="auto"/>
          <w:sz w:val="28"/>
          <w:szCs w:val="28"/>
          <w:u w:val="single" w:color="000000"/>
          <w:lang w:eastAsia="zh-CN" w:bidi="ar-SA"/>
        </w:rPr>
        <w:tab/>
      </w:r>
      <w:r>
        <w:rPr>
          <w:rFonts w:eastAsia="宋体" w:cs="宋体"/>
          <w:color w:val="auto"/>
          <w:sz w:val="28"/>
          <w:szCs w:val="28"/>
          <w:lang w:eastAsia="zh-CN" w:bidi="ar-SA"/>
        </w:rPr>
        <w:t>（盖</w:t>
      </w:r>
      <w:r>
        <w:rPr>
          <w:rFonts w:hint="eastAsia" w:eastAsia="宋体" w:cs="宋体"/>
          <w:color w:val="auto"/>
          <w:sz w:val="28"/>
          <w:szCs w:val="28"/>
          <w:lang w:eastAsia="zh-CN" w:bidi="ar-SA"/>
        </w:rPr>
        <w:t>投标人</w:t>
      </w:r>
      <w:r>
        <w:rPr>
          <w:rFonts w:eastAsia="宋体" w:cs="宋体"/>
          <w:color w:val="auto"/>
          <w:sz w:val="28"/>
          <w:szCs w:val="28"/>
          <w:lang w:eastAsia="zh-CN" w:bidi="ar-SA"/>
        </w:rPr>
        <w:t>单位</w:t>
      </w:r>
      <w:r>
        <w:rPr>
          <w:rFonts w:hint="eastAsia" w:eastAsia="宋体" w:cs="宋体"/>
          <w:color w:val="auto"/>
          <w:sz w:val="28"/>
          <w:szCs w:val="28"/>
          <w:lang w:eastAsia="zh-CN" w:bidi="ar-SA"/>
        </w:rPr>
        <w:t>电子公</w:t>
      </w:r>
      <w:r>
        <w:rPr>
          <w:rFonts w:eastAsia="宋体" w:cs="宋体"/>
          <w:color w:val="auto"/>
          <w:sz w:val="28"/>
          <w:szCs w:val="28"/>
          <w:lang w:eastAsia="zh-CN" w:bidi="ar-SA"/>
        </w:rPr>
        <w:t>章</w:t>
      </w:r>
      <w:r>
        <w:rPr>
          <w:rFonts w:hint="eastAsia" w:eastAsia="宋体" w:cs="宋体"/>
          <w:color w:val="auto"/>
          <w:sz w:val="28"/>
          <w:szCs w:val="28"/>
          <w:lang w:eastAsia="zh-CN" w:bidi="ar-SA"/>
        </w:rPr>
        <w:t>）</w:t>
      </w:r>
    </w:p>
    <w:p w14:paraId="02655A34">
      <w:pPr>
        <w:spacing w:line="360" w:lineRule="auto"/>
        <w:jc w:val="center"/>
        <w:rPr>
          <w:rFonts w:eastAsia="宋体" w:cs="宋体"/>
          <w:color w:val="auto"/>
          <w:sz w:val="29"/>
          <w:szCs w:val="29"/>
          <w:lang w:eastAsia="zh-CN" w:bidi="ar-SA"/>
        </w:rPr>
      </w:pPr>
      <w:r>
        <w:rPr>
          <w:rFonts w:hint="eastAsia" w:eastAsia="宋体" w:cs="宋体"/>
          <w:color w:val="auto"/>
          <w:sz w:val="28"/>
          <w:szCs w:val="28"/>
          <w:u w:val="single" w:color="000000"/>
          <w:lang w:eastAsia="zh-CN" w:bidi="ar-SA"/>
        </w:rPr>
        <w:t xml:space="preserve">            </w:t>
      </w:r>
      <w:r>
        <w:rPr>
          <w:rFonts w:eastAsia="宋体" w:cs="宋体"/>
          <w:color w:val="auto"/>
          <w:w w:val="105"/>
          <w:lang w:eastAsia="zh-CN" w:bidi="ar-SA"/>
        </w:rPr>
        <w:t>年</w:t>
      </w:r>
      <w:r>
        <w:rPr>
          <w:rFonts w:hint="eastAsia" w:eastAsia="宋体" w:cs="宋体"/>
          <w:color w:val="auto"/>
          <w:sz w:val="28"/>
          <w:szCs w:val="28"/>
          <w:u w:val="single" w:color="000000"/>
          <w:lang w:eastAsia="zh-CN" w:bidi="ar-SA"/>
        </w:rPr>
        <w:t xml:space="preserve">         </w:t>
      </w:r>
      <w:r>
        <w:rPr>
          <w:rFonts w:eastAsia="宋体" w:cs="宋体"/>
          <w:color w:val="auto"/>
          <w:spacing w:val="-32"/>
          <w:w w:val="105"/>
          <w:lang w:eastAsia="zh-CN" w:bidi="ar-SA"/>
        </w:rPr>
        <w:t>月</w:t>
      </w:r>
      <w:r>
        <w:rPr>
          <w:rFonts w:hint="eastAsia" w:eastAsia="宋体" w:cs="宋体"/>
          <w:color w:val="auto"/>
          <w:sz w:val="28"/>
          <w:szCs w:val="28"/>
          <w:u w:val="single" w:color="000000"/>
          <w:lang w:eastAsia="zh-CN" w:bidi="ar-SA"/>
        </w:rPr>
        <w:t xml:space="preserve">         </w:t>
      </w:r>
      <w:r>
        <w:rPr>
          <w:rFonts w:eastAsia="宋体" w:cs="宋体"/>
          <w:color w:val="auto"/>
          <w:w w:val="105"/>
          <w:sz w:val="29"/>
          <w:szCs w:val="29"/>
          <w:lang w:eastAsia="zh-CN" w:bidi="ar-SA"/>
        </w:rPr>
        <w:t>日</w:t>
      </w:r>
    </w:p>
    <w:p w14:paraId="0542352A">
      <w:pPr>
        <w:widowControl/>
        <w:rPr>
          <w:rFonts w:hint="eastAsia" w:ascii="宋体" w:hAnsi="宋体" w:eastAsia="宋体" w:cs="宋体"/>
          <w:b/>
          <w:color w:val="auto"/>
          <w:spacing w:val="-10"/>
          <w:sz w:val="32"/>
          <w:szCs w:val="32"/>
          <w:lang w:eastAsia="zh-CN" w:bidi="ar-SA"/>
        </w:rPr>
      </w:pPr>
      <w:r>
        <w:rPr>
          <w:rFonts w:eastAsia="宋体" w:cs="宋体"/>
          <w:color w:val="auto"/>
          <w:lang w:eastAsia="zh-CN" w:bidi="ar-SA"/>
        </w:rPr>
        <w:br w:type="page"/>
      </w:r>
    </w:p>
    <w:p w14:paraId="57FE4F8B">
      <w:pPr>
        <w:wordWrap w:val="0"/>
        <w:spacing w:line="360" w:lineRule="auto"/>
        <w:ind w:firstLine="480" w:firstLineChars="200"/>
        <w:jc w:val="both"/>
        <w:rPr>
          <w:rFonts w:eastAsia="宋体" w:cs="宋体"/>
          <w:color w:val="auto"/>
          <w:lang w:eastAsia="zh-CN" w:bidi="ar-SA"/>
        </w:rPr>
      </w:pPr>
    </w:p>
    <w:p w14:paraId="523E7CAC">
      <w:pPr>
        <w:wordWrap w:val="0"/>
        <w:spacing w:line="360" w:lineRule="auto"/>
        <w:ind w:firstLine="643" w:firstLineChars="200"/>
        <w:jc w:val="center"/>
        <w:rPr>
          <w:rFonts w:eastAsia="宋体" w:cs="宋体"/>
          <w:b/>
          <w:color w:val="auto"/>
          <w:sz w:val="32"/>
          <w:szCs w:val="32"/>
          <w:lang w:eastAsia="zh-CN" w:bidi="ar-SA"/>
        </w:rPr>
      </w:pPr>
      <w:r>
        <w:rPr>
          <w:rFonts w:eastAsia="宋体" w:cs="宋体"/>
          <w:b/>
          <w:color w:val="auto"/>
          <w:sz w:val="32"/>
          <w:szCs w:val="32"/>
          <w:lang w:eastAsia="zh-CN" w:bidi="ar-SA"/>
        </w:rPr>
        <w:t>目</w:t>
      </w:r>
      <w:r>
        <w:rPr>
          <w:rFonts w:hint="eastAsia" w:eastAsia="宋体" w:cs="宋体"/>
          <w:b/>
          <w:color w:val="auto"/>
          <w:sz w:val="32"/>
          <w:szCs w:val="32"/>
          <w:lang w:eastAsia="zh-CN" w:bidi="ar-SA"/>
        </w:rPr>
        <w:t xml:space="preserve">    </w:t>
      </w:r>
      <w:r>
        <w:rPr>
          <w:rFonts w:eastAsia="宋体" w:cs="宋体"/>
          <w:b/>
          <w:color w:val="auto"/>
          <w:sz w:val="32"/>
          <w:szCs w:val="32"/>
          <w:lang w:eastAsia="zh-CN" w:bidi="ar-SA"/>
        </w:rPr>
        <w:t>录</w:t>
      </w:r>
    </w:p>
    <w:p w14:paraId="4241C6B3">
      <w:pPr>
        <w:spacing w:line="360" w:lineRule="auto"/>
        <w:jc w:val="both"/>
        <w:rPr>
          <w:rFonts w:hint="eastAsia" w:ascii="宋体" w:hAnsi="宋体" w:eastAsia="宋体" w:cs="宋体"/>
          <w:color w:val="auto"/>
          <w:lang w:eastAsia="zh-CN" w:bidi="ar-SA"/>
        </w:rPr>
      </w:pPr>
    </w:p>
    <w:p w14:paraId="7070904D">
      <w:pPr>
        <w:spacing w:line="360" w:lineRule="auto"/>
        <w:ind w:firstLine="720" w:firstLineChars="300"/>
        <w:rPr>
          <w:rFonts w:ascii="宋体" w:hAnsi="宋体"/>
          <w:color w:val="auto"/>
          <w:szCs w:val="20"/>
          <w:lang w:eastAsia="zh-CN"/>
        </w:rPr>
      </w:pPr>
      <w:r>
        <w:rPr>
          <w:rFonts w:hint="eastAsia" w:ascii="宋体" w:hAnsi="宋体"/>
          <w:color w:val="auto"/>
          <w:szCs w:val="20"/>
          <w:lang w:eastAsia="zh-CN"/>
        </w:rPr>
        <w:t>一、投标函及投标函附录</w:t>
      </w:r>
    </w:p>
    <w:p w14:paraId="295CBA8F">
      <w:pPr>
        <w:spacing w:line="360" w:lineRule="auto"/>
        <w:ind w:firstLine="720" w:firstLineChars="300"/>
        <w:rPr>
          <w:rFonts w:ascii="宋体" w:hAnsi="宋体"/>
          <w:color w:val="auto"/>
          <w:szCs w:val="20"/>
          <w:lang w:eastAsia="zh-CN"/>
        </w:rPr>
      </w:pPr>
      <w:r>
        <w:rPr>
          <w:rFonts w:hint="eastAsia" w:ascii="宋体" w:hAnsi="宋体"/>
          <w:color w:val="auto"/>
          <w:szCs w:val="20"/>
          <w:lang w:eastAsia="zh-CN"/>
        </w:rPr>
        <w:t>二、法定代表人身份证明（适用于无委托代理人的情况）</w:t>
      </w:r>
    </w:p>
    <w:p w14:paraId="656DB8AB">
      <w:pPr>
        <w:spacing w:line="360" w:lineRule="auto"/>
        <w:ind w:firstLine="720" w:firstLineChars="300"/>
        <w:rPr>
          <w:rFonts w:ascii="宋体" w:hAnsi="宋体"/>
          <w:color w:val="auto"/>
          <w:szCs w:val="20"/>
          <w:lang w:eastAsia="zh-CN"/>
        </w:rPr>
      </w:pPr>
      <w:r>
        <w:rPr>
          <w:rFonts w:hint="eastAsia" w:ascii="宋体" w:hAnsi="宋体"/>
          <w:color w:val="auto"/>
          <w:szCs w:val="20"/>
          <w:lang w:eastAsia="zh-CN"/>
        </w:rPr>
        <w:t>二、授权委托书（适用于有委托代理人的情况）</w:t>
      </w:r>
    </w:p>
    <w:p w14:paraId="3D526538">
      <w:pPr>
        <w:spacing w:line="360" w:lineRule="auto"/>
        <w:ind w:firstLine="720" w:firstLineChars="300"/>
        <w:rPr>
          <w:rFonts w:ascii="宋体" w:hAnsi="宋体"/>
          <w:color w:val="auto"/>
          <w:szCs w:val="20"/>
          <w:lang w:eastAsia="zh-CN"/>
        </w:rPr>
      </w:pPr>
      <w:r>
        <w:rPr>
          <w:rFonts w:hint="eastAsia" w:ascii="宋体" w:hAnsi="宋体" w:eastAsia="宋体" w:cs="宋体"/>
          <w:color w:val="auto"/>
          <w:szCs w:val="20"/>
          <w:lang w:eastAsia="zh-CN"/>
        </w:rPr>
        <w:t>三</w:t>
      </w:r>
      <w:r>
        <w:rPr>
          <w:rFonts w:hint="eastAsia" w:ascii="宋体" w:hAnsi="宋体"/>
          <w:color w:val="auto"/>
          <w:szCs w:val="20"/>
          <w:lang w:eastAsia="zh-CN"/>
        </w:rPr>
        <w:t>、投标保证金</w:t>
      </w:r>
    </w:p>
    <w:p w14:paraId="1D01DACE">
      <w:pPr>
        <w:spacing w:line="360" w:lineRule="auto"/>
        <w:ind w:firstLine="720" w:firstLineChars="300"/>
        <w:rPr>
          <w:rFonts w:ascii="宋体" w:hAnsi="宋体"/>
          <w:color w:val="auto"/>
          <w:szCs w:val="20"/>
          <w:lang w:eastAsia="zh-CN"/>
        </w:rPr>
      </w:pPr>
      <w:r>
        <w:rPr>
          <w:rFonts w:hint="eastAsia" w:ascii="宋体" w:hAnsi="宋体" w:eastAsia="宋体" w:cs="宋体"/>
          <w:color w:val="auto"/>
          <w:szCs w:val="20"/>
          <w:lang w:eastAsia="zh-CN"/>
        </w:rPr>
        <w:t>四</w:t>
      </w:r>
      <w:r>
        <w:rPr>
          <w:rFonts w:hint="eastAsia" w:ascii="宋体" w:hAnsi="宋体"/>
          <w:color w:val="auto"/>
          <w:szCs w:val="20"/>
          <w:lang w:eastAsia="zh-CN"/>
        </w:rPr>
        <w:t>、资格审查资料</w:t>
      </w:r>
    </w:p>
    <w:p w14:paraId="6B33D2EC">
      <w:pPr>
        <w:spacing w:line="360" w:lineRule="auto"/>
        <w:ind w:firstLine="720" w:firstLineChars="300"/>
        <w:rPr>
          <w:rFonts w:ascii="宋体" w:hAnsi="宋体"/>
          <w:color w:val="auto"/>
          <w:szCs w:val="20"/>
          <w:lang w:eastAsia="zh-CN"/>
        </w:rPr>
      </w:pPr>
      <w:r>
        <w:rPr>
          <w:rFonts w:hint="eastAsia" w:ascii="宋体" w:hAnsi="宋体" w:eastAsia="宋体" w:cs="宋体"/>
          <w:color w:val="auto"/>
          <w:szCs w:val="20"/>
          <w:lang w:eastAsia="zh-CN"/>
        </w:rPr>
        <w:t>五</w:t>
      </w:r>
      <w:r>
        <w:rPr>
          <w:rFonts w:hint="eastAsia" w:ascii="宋体" w:hAnsi="宋体"/>
          <w:color w:val="auto"/>
          <w:szCs w:val="20"/>
          <w:lang w:eastAsia="zh-CN"/>
        </w:rPr>
        <w:t>、监理大纲</w:t>
      </w:r>
    </w:p>
    <w:p w14:paraId="3E2F8984">
      <w:pPr>
        <w:spacing w:line="360" w:lineRule="auto"/>
        <w:ind w:firstLine="720" w:firstLineChars="300"/>
        <w:rPr>
          <w:rFonts w:ascii="宋体" w:hAnsi="宋体"/>
          <w:color w:val="auto"/>
          <w:szCs w:val="20"/>
          <w:lang w:eastAsia="zh-CN"/>
        </w:rPr>
      </w:pPr>
      <w:r>
        <w:rPr>
          <w:rFonts w:hint="eastAsia" w:ascii="宋体" w:hAnsi="宋体" w:eastAsia="宋体" w:cs="宋体"/>
          <w:color w:val="auto"/>
          <w:szCs w:val="20"/>
          <w:lang w:eastAsia="zh-CN"/>
        </w:rPr>
        <w:t>六</w:t>
      </w:r>
      <w:r>
        <w:rPr>
          <w:rFonts w:hint="eastAsia" w:ascii="宋体" w:hAnsi="宋体"/>
          <w:color w:val="auto"/>
          <w:szCs w:val="20"/>
          <w:lang w:eastAsia="zh-CN"/>
        </w:rPr>
        <w:t>、其他资料</w:t>
      </w:r>
    </w:p>
    <w:p w14:paraId="40BB6871">
      <w:pPr>
        <w:spacing w:line="360" w:lineRule="auto"/>
        <w:ind w:firstLine="480" w:firstLineChars="200"/>
        <w:jc w:val="both"/>
        <w:rPr>
          <w:rFonts w:eastAsia="宋体" w:cs="宋体"/>
          <w:color w:val="auto"/>
          <w:lang w:eastAsia="zh-CN" w:bidi="ar-SA"/>
        </w:rPr>
      </w:pPr>
    </w:p>
    <w:p w14:paraId="70A28892">
      <w:pPr>
        <w:widowControl/>
        <w:rPr>
          <w:rFonts w:eastAsia="宋体" w:cs="宋体"/>
          <w:color w:val="auto"/>
          <w:lang w:eastAsia="zh-CN" w:bidi="ar-SA"/>
        </w:rPr>
      </w:pPr>
      <w:r>
        <w:rPr>
          <w:rFonts w:eastAsia="宋体" w:cs="宋体"/>
          <w:color w:val="auto"/>
          <w:lang w:eastAsia="zh-CN" w:bidi="ar-SA"/>
        </w:rPr>
        <w:br w:type="page"/>
      </w:r>
    </w:p>
    <w:p w14:paraId="265E3ADB">
      <w:pPr>
        <w:pStyle w:val="6"/>
        <w:rPr>
          <w:color w:val="auto"/>
          <w:lang w:eastAsia="zh-CN"/>
        </w:rPr>
      </w:pPr>
      <w:bookmarkStart w:id="925" w:name="_Toc21035"/>
      <w:bookmarkStart w:id="926" w:name="_Toc504633940"/>
      <w:r>
        <w:rPr>
          <w:rFonts w:hint="eastAsia"/>
          <w:color w:val="auto"/>
          <w:lang w:eastAsia="zh-CN"/>
        </w:rPr>
        <w:t>一、投标函及投标附录</w:t>
      </w:r>
      <w:bookmarkEnd w:id="925"/>
      <w:bookmarkEnd w:id="926"/>
    </w:p>
    <w:p w14:paraId="0804BA1B">
      <w:pPr>
        <w:pStyle w:val="7"/>
        <w:jc w:val="center"/>
        <w:rPr>
          <w:rFonts w:ascii="宋体" w:cs="宋体"/>
          <w:color w:val="auto"/>
          <w:lang w:val="zh-CN" w:eastAsia="zh-CN"/>
        </w:rPr>
      </w:pPr>
      <w:bookmarkStart w:id="927" w:name="_Toc11321"/>
      <w:r>
        <w:rPr>
          <w:rFonts w:hint="eastAsia" w:ascii="宋体" w:hAnsi="宋体" w:eastAsia="宋体" w:cs="宋体"/>
          <w:color w:val="auto"/>
          <w:lang w:eastAsia="zh-CN"/>
        </w:rPr>
        <w:t>（一）投标函</w:t>
      </w:r>
      <w:bookmarkEnd w:id="927"/>
    </w:p>
    <w:p w14:paraId="3864496B">
      <w:pPr>
        <w:spacing w:line="360" w:lineRule="auto"/>
        <w:rPr>
          <w:rFonts w:ascii="宋体" w:cs="宋体"/>
          <w:b/>
          <w:bCs/>
          <w:color w:val="auto"/>
          <w:lang w:val="zh-CN" w:eastAsia="zh-CN"/>
        </w:rPr>
      </w:pPr>
      <w:r>
        <w:rPr>
          <w:rFonts w:hint="eastAsia" w:ascii="宋体" w:hAnsi="宋体" w:eastAsia="宋体" w:cs="宋体"/>
          <w:b/>
          <w:bCs/>
          <w:color w:val="auto"/>
          <w:lang w:val="zh-CN" w:eastAsia="zh-CN"/>
        </w:rPr>
        <w:t>新余市投资控股集团有限公司：</w:t>
      </w:r>
    </w:p>
    <w:p w14:paraId="7A615CC4">
      <w:pPr>
        <w:spacing w:line="360" w:lineRule="auto"/>
        <w:ind w:firstLine="480" w:firstLineChars="200"/>
        <w:rPr>
          <w:rFonts w:hint="eastAsia" w:asciiTheme="minorEastAsia" w:hAnsiTheme="minorEastAsia" w:eastAsiaTheme="minorEastAsia"/>
          <w:color w:val="auto"/>
          <w:szCs w:val="21"/>
          <w:lang w:eastAsia="zh-CN"/>
        </w:rPr>
      </w:pPr>
      <w:r>
        <w:rPr>
          <w:rFonts w:asciiTheme="minorEastAsia" w:hAnsiTheme="minorEastAsia" w:eastAsiaTheme="minorEastAsia"/>
          <w:color w:val="auto"/>
          <w:szCs w:val="21"/>
          <w:lang w:eastAsia="zh-CN"/>
        </w:rPr>
        <w:t>1</w:t>
      </w:r>
      <w:r>
        <w:rPr>
          <w:rFonts w:hint="eastAsia" w:asciiTheme="minorEastAsia" w:hAnsiTheme="minorEastAsia" w:eastAsiaTheme="minorEastAsia"/>
          <w:color w:val="auto"/>
          <w:szCs w:val="21"/>
          <w:lang w:eastAsia="zh-CN"/>
        </w:rPr>
        <w:t>、我方仔细研究了新余市港口水运基础设施建设项目-袁河航道提升工程新余段库区工程第二标段监理项目招标文件的全部内容（含补遗书第</w:t>
      </w:r>
      <w:r>
        <w:rPr>
          <w:rFonts w:asciiTheme="minorEastAsia" w:hAnsiTheme="minorEastAsia" w:eastAsiaTheme="minorEastAsia"/>
          <w:color w:val="auto"/>
          <w:szCs w:val="21"/>
          <w:u w:val="single"/>
          <w:lang w:eastAsia="zh-CN"/>
        </w:rPr>
        <w:t xml:space="preserve">    </w:t>
      </w:r>
      <w:r>
        <w:rPr>
          <w:rFonts w:hint="eastAsia" w:asciiTheme="minorEastAsia" w:hAnsiTheme="minorEastAsia" w:eastAsiaTheme="minorEastAsia"/>
          <w:color w:val="auto"/>
          <w:szCs w:val="21"/>
          <w:lang w:eastAsia="zh-CN"/>
        </w:rPr>
        <w:t>号至第</w:t>
      </w:r>
      <w:r>
        <w:rPr>
          <w:rFonts w:asciiTheme="minorEastAsia" w:hAnsiTheme="minorEastAsia" w:eastAsiaTheme="minorEastAsia"/>
          <w:color w:val="auto"/>
          <w:szCs w:val="21"/>
          <w:u w:val="single"/>
          <w:lang w:eastAsia="zh-CN"/>
        </w:rPr>
        <w:t xml:space="preserve">    </w:t>
      </w:r>
      <w:r>
        <w:rPr>
          <w:rFonts w:hint="eastAsia" w:asciiTheme="minorEastAsia" w:hAnsiTheme="minorEastAsia" w:eastAsiaTheme="minorEastAsia"/>
          <w:color w:val="auto"/>
          <w:szCs w:val="21"/>
          <w:lang w:eastAsia="zh-CN"/>
        </w:rPr>
        <w:t>号）后，愿意以第二信封（报价文件）中的投标总报价（或根据招标文件规定修正核实后确定的另一金额），按合同约定完成</w:t>
      </w:r>
      <w:r>
        <w:rPr>
          <w:rFonts w:hint="eastAsia" w:asciiTheme="minorEastAsia" w:hAnsiTheme="minorEastAsia" w:eastAsiaTheme="minorEastAsia"/>
          <w:color w:val="auto"/>
          <w:szCs w:val="21"/>
          <w:u w:val="single"/>
          <w:lang w:eastAsia="zh-CN"/>
        </w:rPr>
        <w:t xml:space="preserve"> </w:t>
      </w:r>
      <w:r>
        <w:rPr>
          <w:rFonts w:asciiTheme="minorEastAsia" w:hAnsiTheme="minorEastAsia" w:eastAsiaTheme="minorEastAsia"/>
          <w:color w:val="auto"/>
          <w:szCs w:val="21"/>
          <w:u w:val="single"/>
          <w:lang w:eastAsia="zh-CN"/>
        </w:rPr>
        <w:t xml:space="preserve">  </w:t>
      </w:r>
      <w:r>
        <w:rPr>
          <w:rFonts w:hint="eastAsia" w:asciiTheme="minorEastAsia" w:hAnsiTheme="minorEastAsia" w:eastAsiaTheme="minorEastAsia"/>
          <w:color w:val="auto"/>
          <w:szCs w:val="21"/>
          <w:lang w:eastAsia="zh-CN"/>
        </w:rPr>
        <w:t>标段监理工作。</w:t>
      </w:r>
    </w:p>
    <w:p w14:paraId="0430D5AD">
      <w:pPr>
        <w:spacing w:line="360" w:lineRule="auto"/>
        <w:ind w:firstLine="480" w:firstLineChars="200"/>
        <w:rPr>
          <w:rFonts w:ascii="宋体" w:hAnsi="宋体"/>
          <w:color w:val="auto"/>
          <w:lang w:eastAsia="zh-CN"/>
        </w:rPr>
      </w:pPr>
      <w:r>
        <w:rPr>
          <w:rFonts w:hint="eastAsia" w:ascii="宋体" w:hAnsi="宋体"/>
          <w:color w:val="auto"/>
          <w:lang w:eastAsia="zh-CN"/>
        </w:rPr>
        <w:t>监理服务期限</w:t>
      </w:r>
      <w:r>
        <w:rPr>
          <w:rFonts w:ascii="宋体" w:hAnsi="宋体"/>
          <w:color w:val="auto"/>
          <w:lang w:eastAsia="zh-CN"/>
        </w:rPr>
        <w:t>：</w:t>
      </w:r>
      <w:r>
        <w:rPr>
          <w:rFonts w:ascii="宋体" w:hAnsi="宋体"/>
          <w:color w:val="auto"/>
          <w:u w:val="single"/>
          <w:lang w:eastAsia="zh-CN"/>
        </w:rPr>
        <w:t xml:space="preserve">       </w:t>
      </w:r>
      <w:r>
        <w:rPr>
          <w:rFonts w:hint="eastAsia" w:ascii="宋体" w:hAnsi="宋体"/>
          <w:color w:val="auto"/>
          <w:lang w:eastAsia="zh-CN"/>
        </w:rPr>
        <w:t>个月</w:t>
      </w:r>
      <w:r>
        <w:rPr>
          <w:rFonts w:ascii="宋体" w:hAnsi="宋体"/>
          <w:color w:val="auto"/>
          <w:lang w:eastAsia="zh-CN"/>
        </w:rPr>
        <w:t>，</w:t>
      </w:r>
    </w:p>
    <w:p w14:paraId="6081F4BC">
      <w:pPr>
        <w:spacing w:line="360" w:lineRule="auto"/>
        <w:ind w:firstLine="480" w:firstLineChars="200"/>
        <w:rPr>
          <w:rFonts w:ascii="宋体" w:hAnsi="宋体"/>
          <w:color w:val="auto"/>
          <w:lang w:eastAsia="zh-CN"/>
        </w:rPr>
      </w:pPr>
      <w:r>
        <w:rPr>
          <w:rFonts w:hint="eastAsia" w:ascii="宋体" w:hAnsi="宋体" w:eastAsia="宋体" w:cs="宋体"/>
          <w:color w:val="auto"/>
          <w:lang w:eastAsia="zh-CN"/>
        </w:rPr>
        <w:t xml:space="preserve">总监理工程师 </w:t>
      </w:r>
      <w:r>
        <w:rPr>
          <w:rFonts w:ascii="宋体" w:hAnsi="宋体" w:eastAsia="宋体" w:cs="宋体"/>
          <w:color w:val="auto"/>
          <w:u w:val="single"/>
          <w:lang w:eastAsia="zh-CN"/>
        </w:rPr>
        <w:t xml:space="preserve">         </w:t>
      </w:r>
      <w:r>
        <w:rPr>
          <w:rFonts w:ascii="宋体" w:hAnsi="宋体"/>
          <w:color w:val="auto"/>
          <w:lang w:eastAsia="zh-CN"/>
        </w:rPr>
        <w:t>。</w:t>
      </w:r>
    </w:p>
    <w:p w14:paraId="7496B48C">
      <w:pPr>
        <w:spacing w:line="360" w:lineRule="auto"/>
        <w:ind w:firstLine="480" w:firstLineChars="200"/>
        <w:rPr>
          <w:rFonts w:hint="eastAsia" w:asciiTheme="minorEastAsia" w:hAnsiTheme="minorEastAsia" w:eastAsiaTheme="minorEastAsia"/>
          <w:color w:val="auto"/>
          <w:szCs w:val="21"/>
          <w:lang w:eastAsia="zh-CN"/>
        </w:rPr>
      </w:pPr>
      <w:r>
        <w:rPr>
          <w:rFonts w:hint="eastAsia" w:asciiTheme="minorEastAsia" w:hAnsiTheme="minorEastAsia" w:eastAsiaTheme="minorEastAsia"/>
          <w:color w:val="auto"/>
          <w:lang w:eastAsia="zh-CN"/>
        </w:rPr>
        <w:t>2、</w:t>
      </w:r>
      <w:r>
        <w:rPr>
          <w:rFonts w:asciiTheme="minorEastAsia" w:hAnsiTheme="minorEastAsia" w:eastAsiaTheme="minorEastAsia"/>
          <w:color w:val="auto"/>
          <w:szCs w:val="21"/>
          <w:lang w:eastAsia="zh-CN"/>
        </w:rPr>
        <w:t>我方的投标文件包括下列内容：</w:t>
      </w:r>
    </w:p>
    <w:p w14:paraId="54996069">
      <w:pPr>
        <w:spacing w:line="360" w:lineRule="auto"/>
        <w:ind w:firstLine="405"/>
        <w:rPr>
          <w:rFonts w:hint="eastAsia" w:asciiTheme="minorEastAsia" w:hAnsiTheme="minorEastAsia" w:eastAsiaTheme="minorEastAsia"/>
          <w:color w:val="auto"/>
          <w:szCs w:val="21"/>
          <w:lang w:eastAsia="zh-CN"/>
        </w:rPr>
      </w:pPr>
      <w:r>
        <w:rPr>
          <w:rFonts w:asciiTheme="minorEastAsia" w:hAnsiTheme="minorEastAsia" w:eastAsiaTheme="minorEastAsia"/>
          <w:color w:val="auto"/>
          <w:szCs w:val="21"/>
          <w:lang w:eastAsia="zh-CN"/>
        </w:rPr>
        <w:t>（1）投标函</w:t>
      </w:r>
      <w:r>
        <w:rPr>
          <w:rFonts w:asciiTheme="minorEastAsia" w:hAnsiTheme="minorEastAsia" w:eastAsiaTheme="minorEastAsia"/>
          <w:color w:val="auto"/>
          <w:szCs w:val="22"/>
          <w:lang w:eastAsia="zh-CN"/>
        </w:rPr>
        <w:t>及投标函附录</w:t>
      </w:r>
      <w:r>
        <w:rPr>
          <w:rFonts w:asciiTheme="minorEastAsia" w:hAnsiTheme="minorEastAsia" w:eastAsiaTheme="minorEastAsia"/>
          <w:color w:val="auto"/>
          <w:szCs w:val="21"/>
          <w:lang w:eastAsia="zh-CN"/>
        </w:rPr>
        <w:t>；</w:t>
      </w:r>
    </w:p>
    <w:p w14:paraId="1B14783C">
      <w:pPr>
        <w:spacing w:line="360" w:lineRule="auto"/>
        <w:ind w:firstLine="405"/>
        <w:rPr>
          <w:rFonts w:hint="eastAsia" w:asciiTheme="minorEastAsia" w:hAnsiTheme="minorEastAsia" w:eastAsiaTheme="minorEastAsia"/>
          <w:color w:val="auto"/>
          <w:szCs w:val="21"/>
          <w:lang w:eastAsia="zh-CN"/>
        </w:rPr>
      </w:pPr>
      <w:r>
        <w:rPr>
          <w:rFonts w:asciiTheme="minorEastAsia" w:hAnsiTheme="minorEastAsia" w:eastAsiaTheme="minorEastAsia"/>
          <w:color w:val="auto"/>
          <w:szCs w:val="21"/>
          <w:lang w:eastAsia="zh-CN"/>
        </w:rPr>
        <w:t>（2）法定代表人身份证明或授权委托书；</w:t>
      </w:r>
    </w:p>
    <w:p w14:paraId="7B555256">
      <w:pPr>
        <w:spacing w:line="360" w:lineRule="auto"/>
        <w:ind w:firstLine="405"/>
        <w:rPr>
          <w:rFonts w:hint="eastAsia" w:asciiTheme="minorEastAsia" w:hAnsiTheme="minorEastAsia" w:eastAsiaTheme="minorEastAsia"/>
          <w:color w:val="auto"/>
          <w:szCs w:val="21"/>
          <w:lang w:eastAsia="zh-CN"/>
        </w:rPr>
      </w:pPr>
      <w:r>
        <w:rPr>
          <w:rFonts w:asciiTheme="minorEastAsia" w:hAnsiTheme="minorEastAsia" w:eastAsiaTheme="minorEastAsia"/>
          <w:color w:val="auto"/>
          <w:szCs w:val="21"/>
          <w:lang w:eastAsia="zh-CN"/>
        </w:rPr>
        <w:t>（</w:t>
      </w:r>
      <w:r>
        <w:rPr>
          <w:rFonts w:hint="eastAsia" w:asciiTheme="minorEastAsia" w:hAnsiTheme="minorEastAsia" w:eastAsiaTheme="minorEastAsia"/>
          <w:color w:val="auto"/>
          <w:szCs w:val="21"/>
          <w:lang w:eastAsia="zh-CN"/>
        </w:rPr>
        <w:t>3</w:t>
      </w:r>
      <w:r>
        <w:rPr>
          <w:rFonts w:asciiTheme="minorEastAsia" w:hAnsiTheme="minorEastAsia" w:eastAsiaTheme="minorEastAsia"/>
          <w:color w:val="auto"/>
          <w:szCs w:val="21"/>
          <w:lang w:eastAsia="zh-CN"/>
        </w:rPr>
        <w:t>）投标保证金；</w:t>
      </w:r>
    </w:p>
    <w:p w14:paraId="1344A475">
      <w:pPr>
        <w:spacing w:line="360" w:lineRule="auto"/>
        <w:ind w:firstLine="405"/>
        <w:rPr>
          <w:rFonts w:hint="eastAsia" w:asciiTheme="minorEastAsia" w:hAnsiTheme="minorEastAsia" w:eastAsiaTheme="minorEastAsia"/>
          <w:color w:val="auto"/>
          <w:szCs w:val="21"/>
          <w:lang w:eastAsia="zh-CN"/>
        </w:rPr>
      </w:pPr>
      <w:r>
        <w:rPr>
          <w:rFonts w:asciiTheme="minorEastAsia" w:hAnsiTheme="minorEastAsia" w:eastAsiaTheme="minorEastAsia"/>
          <w:color w:val="auto"/>
          <w:szCs w:val="21"/>
          <w:lang w:eastAsia="zh-CN"/>
        </w:rPr>
        <w:t>（4）监理报酬清单；</w:t>
      </w:r>
    </w:p>
    <w:p w14:paraId="4B65CFAE">
      <w:pPr>
        <w:spacing w:line="360" w:lineRule="auto"/>
        <w:ind w:firstLine="405"/>
        <w:rPr>
          <w:rFonts w:hint="eastAsia" w:asciiTheme="minorEastAsia" w:hAnsiTheme="minorEastAsia" w:eastAsiaTheme="minorEastAsia"/>
          <w:color w:val="auto"/>
          <w:szCs w:val="21"/>
          <w:lang w:eastAsia="zh-CN"/>
        </w:rPr>
      </w:pPr>
      <w:r>
        <w:rPr>
          <w:rFonts w:asciiTheme="minorEastAsia" w:hAnsiTheme="minorEastAsia" w:eastAsiaTheme="minorEastAsia"/>
          <w:color w:val="auto"/>
          <w:szCs w:val="21"/>
          <w:lang w:eastAsia="zh-CN"/>
        </w:rPr>
        <w:t>（5）资格审查资料；</w:t>
      </w:r>
    </w:p>
    <w:p w14:paraId="1BDD2260">
      <w:pPr>
        <w:spacing w:line="360" w:lineRule="auto"/>
        <w:ind w:firstLine="405"/>
        <w:rPr>
          <w:rFonts w:hint="eastAsia" w:asciiTheme="minorEastAsia" w:hAnsiTheme="minorEastAsia" w:eastAsiaTheme="minorEastAsia"/>
          <w:color w:val="auto"/>
          <w:szCs w:val="21"/>
          <w:lang w:eastAsia="zh-CN"/>
        </w:rPr>
      </w:pPr>
      <w:r>
        <w:rPr>
          <w:rFonts w:asciiTheme="minorEastAsia" w:hAnsiTheme="minorEastAsia" w:eastAsiaTheme="minorEastAsia"/>
          <w:color w:val="auto"/>
          <w:szCs w:val="21"/>
          <w:lang w:eastAsia="zh-CN"/>
        </w:rPr>
        <w:t>（6）监理大纲；</w:t>
      </w:r>
    </w:p>
    <w:p w14:paraId="0D7C8064">
      <w:pPr>
        <w:spacing w:line="360" w:lineRule="auto"/>
        <w:ind w:firstLine="405"/>
        <w:rPr>
          <w:rFonts w:hint="eastAsia" w:asciiTheme="minorEastAsia" w:hAnsiTheme="minorEastAsia" w:eastAsiaTheme="minorEastAsia"/>
          <w:color w:val="auto"/>
          <w:szCs w:val="21"/>
          <w:lang w:eastAsia="zh-CN"/>
        </w:rPr>
      </w:pPr>
      <w:r>
        <w:rPr>
          <w:rFonts w:asciiTheme="minorEastAsia" w:hAnsiTheme="minorEastAsia" w:eastAsiaTheme="minorEastAsia"/>
          <w:color w:val="auto"/>
          <w:szCs w:val="21"/>
          <w:lang w:eastAsia="zh-CN"/>
        </w:rPr>
        <w:t>（7）</w:t>
      </w:r>
      <w:r>
        <w:rPr>
          <w:rFonts w:hint="eastAsia" w:asciiTheme="minorEastAsia" w:hAnsiTheme="minorEastAsia" w:eastAsiaTheme="minorEastAsia"/>
          <w:color w:val="auto"/>
          <w:szCs w:val="21"/>
          <w:lang w:eastAsia="zh-CN"/>
        </w:rPr>
        <w:t>其他资料。</w:t>
      </w:r>
    </w:p>
    <w:p w14:paraId="7C5622B0">
      <w:pPr>
        <w:spacing w:line="360" w:lineRule="auto"/>
        <w:ind w:firstLine="480" w:firstLineChars="200"/>
        <w:rPr>
          <w:rFonts w:hint="eastAsia" w:asciiTheme="minorEastAsia" w:hAnsiTheme="minorEastAsia" w:eastAsiaTheme="minorEastAsia"/>
          <w:color w:val="auto"/>
          <w:szCs w:val="21"/>
          <w:lang w:eastAsia="zh-CN"/>
        </w:rPr>
      </w:pPr>
      <w:r>
        <w:rPr>
          <w:rFonts w:asciiTheme="minorEastAsia" w:hAnsiTheme="minorEastAsia" w:eastAsiaTheme="minorEastAsia"/>
          <w:color w:val="auto"/>
          <w:szCs w:val="21"/>
          <w:lang w:eastAsia="zh-CN"/>
        </w:rPr>
        <w:t>投标文件的上述组成部分如存在内容不一致的，以投标函为准。</w:t>
      </w:r>
    </w:p>
    <w:p w14:paraId="0F7DBA25">
      <w:pPr>
        <w:spacing w:line="360" w:lineRule="auto"/>
        <w:ind w:firstLine="480" w:firstLineChars="200"/>
        <w:rPr>
          <w:rFonts w:hint="eastAsia" w:asciiTheme="minorEastAsia" w:hAnsiTheme="minorEastAsia" w:eastAsiaTheme="minorEastAsia"/>
          <w:color w:val="auto"/>
          <w:szCs w:val="21"/>
          <w:lang w:eastAsia="zh-CN"/>
        </w:rPr>
      </w:pPr>
      <w:r>
        <w:rPr>
          <w:rFonts w:asciiTheme="minorEastAsia" w:hAnsiTheme="minorEastAsia" w:eastAsiaTheme="minorEastAsia"/>
          <w:color w:val="auto"/>
          <w:szCs w:val="21"/>
          <w:lang w:eastAsia="zh-CN"/>
        </w:rPr>
        <w:t>3</w:t>
      </w:r>
      <w:r>
        <w:rPr>
          <w:rFonts w:hint="eastAsia" w:asciiTheme="minorEastAsia" w:hAnsiTheme="minorEastAsia" w:eastAsiaTheme="minorEastAsia"/>
          <w:color w:val="auto"/>
          <w:szCs w:val="21"/>
          <w:lang w:eastAsia="zh-CN"/>
        </w:rPr>
        <w:t>、</w:t>
      </w:r>
      <w:r>
        <w:rPr>
          <w:rFonts w:asciiTheme="minorEastAsia" w:hAnsiTheme="minorEastAsia" w:eastAsiaTheme="minorEastAsia"/>
          <w:color w:val="auto"/>
          <w:szCs w:val="21"/>
          <w:lang w:eastAsia="zh-CN"/>
        </w:rPr>
        <w:t>我方承诺在招标文件规定的投标有效期内不撤销投标文件。</w:t>
      </w:r>
    </w:p>
    <w:p w14:paraId="655AC8D3">
      <w:pPr>
        <w:spacing w:line="360" w:lineRule="auto"/>
        <w:ind w:firstLine="480" w:firstLineChars="200"/>
        <w:rPr>
          <w:rFonts w:hint="eastAsia" w:asciiTheme="minorEastAsia" w:hAnsiTheme="minorEastAsia" w:eastAsiaTheme="minorEastAsia"/>
          <w:color w:val="auto"/>
          <w:szCs w:val="21"/>
          <w:lang w:eastAsia="zh-CN"/>
        </w:rPr>
      </w:pPr>
      <w:r>
        <w:rPr>
          <w:rFonts w:asciiTheme="minorEastAsia" w:hAnsiTheme="minorEastAsia" w:eastAsiaTheme="minorEastAsia"/>
          <w:color w:val="auto"/>
          <w:szCs w:val="21"/>
          <w:lang w:eastAsia="zh-CN"/>
        </w:rPr>
        <w:t>4</w:t>
      </w:r>
      <w:r>
        <w:rPr>
          <w:rFonts w:hint="eastAsia" w:asciiTheme="minorEastAsia" w:hAnsiTheme="minorEastAsia" w:eastAsiaTheme="minorEastAsia"/>
          <w:color w:val="auto"/>
          <w:szCs w:val="21"/>
          <w:lang w:eastAsia="zh-CN"/>
        </w:rPr>
        <w:t>、</w:t>
      </w:r>
      <w:r>
        <w:rPr>
          <w:rFonts w:asciiTheme="minorEastAsia" w:hAnsiTheme="minorEastAsia" w:eastAsiaTheme="minorEastAsia"/>
          <w:color w:val="auto"/>
          <w:szCs w:val="21"/>
          <w:lang w:eastAsia="zh-CN"/>
        </w:rPr>
        <w:t>如我方中标，我方承诺：</w:t>
      </w:r>
    </w:p>
    <w:p w14:paraId="66D72702">
      <w:pPr>
        <w:spacing w:line="360" w:lineRule="auto"/>
        <w:ind w:firstLine="480" w:firstLineChars="200"/>
        <w:rPr>
          <w:rFonts w:hint="eastAsia" w:asciiTheme="minorEastAsia" w:hAnsiTheme="minorEastAsia" w:eastAsiaTheme="minorEastAsia"/>
          <w:color w:val="auto"/>
          <w:szCs w:val="21"/>
          <w:lang w:eastAsia="zh-CN"/>
        </w:rPr>
      </w:pPr>
      <w:r>
        <w:rPr>
          <w:rFonts w:asciiTheme="minorEastAsia" w:hAnsiTheme="minorEastAsia" w:eastAsiaTheme="minorEastAsia"/>
          <w:color w:val="auto"/>
          <w:szCs w:val="21"/>
          <w:lang w:eastAsia="zh-CN"/>
        </w:rPr>
        <w:t>（1）在收到中标通知书后，在中标通知书规定的期限内与你方签订合同；</w:t>
      </w:r>
    </w:p>
    <w:p w14:paraId="67006831">
      <w:pPr>
        <w:spacing w:line="360" w:lineRule="auto"/>
        <w:ind w:firstLine="480" w:firstLineChars="200"/>
        <w:rPr>
          <w:rFonts w:hint="eastAsia" w:asciiTheme="minorEastAsia" w:hAnsiTheme="minorEastAsia" w:eastAsiaTheme="minorEastAsia"/>
          <w:color w:val="auto"/>
          <w:szCs w:val="21"/>
          <w:lang w:eastAsia="zh-CN"/>
        </w:rPr>
      </w:pPr>
      <w:r>
        <w:rPr>
          <w:rFonts w:asciiTheme="minorEastAsia" w:hAnsiTheme="minorEastAsia" w:eastAsiaTheme="minorEastAsia"/>
          <w:color w:val="auto"/>
          <w:szCs w:val="21"/>
          <w:lang w:eastAsia="zh-CN"/>
        </w:rPr>
        <w:t>（2）在签订合同时不向你方提出附加条件；</w:t>
      </w:r>
    </w:p>
    <w:p w14:paraId="15AA124B">
      <w:pPr>
        <w:spacing w:line="360" w:lineRule="auto"/>
        <w:ind w:firstLine="480" w:firstLineChars="200"/>
        <w:rPr>
          <w:rFonts w:hint="eastAsia" w:asciiTheme="minorEastAsia" w:hAnsiTheme="minorEastAsia" w:eastAsiaTheme="minorEastAsia"/>
          <w:color w:val="auto"/>
          <w:szCs w:val="21"/>
          <w:lang w:eastAsia="zh-CN"/>
        </w:rPr>
      </w:pPr>
      <w:r>
        <w:rPr>
          <w:rFonts w:asciiTheme="minorEastAsia" w:hAnsiTheme="minorEastAsia" w:eastAsiaTheme="minorEastAsia"/>
          <w:color w:val="auto"/>
          <w:szCs w:val="21"/>
          <w:lang w:eastAsia="zh-CN"/>
        </w:rPr>
        <w:t>（3）按照招标文件要求提交履约保证金；</w:t>
      </w:r>
      <w:bookmarkStart w:id="928" w:name="_Toc369531694"/>
      <w:bookmarkStart w:id="929" w:name="_Toc1187"/>
      <w:bookmarkStart w:id="930" w:name="_Toc352691658"/>
    </w:p>
    <w:p w14:paraId="388C8FB4">
      <w:pPr>
        <w:spacing w:line="360" w:lineRule="auto"/>
        <w:ind w:firstLine="480" w:firstLineChars="200"/>
        <w:rPr>
          <w:rFonts w:hint="eastAsia" w:asciiTheme="minorEastAsia" w:hAnsiTheme="minorEastAsia" w:eastAsiaTheme="minorEastAsia"/>
          <w:color w:val="auto"/>
          <w:szCs w:val="21"/>
          <w:lang w:eastAsia="zh-CN"/>
        </w:rPr>
      </w:pPr>
      <w:r>
        <w:rPr>
          <w:rFonts w:asciiTheme="minorEastAsia" w:hAnsiTheme="minorEastAsia" w:eastAsiaTheme="minorEastAsia"/>
          <w:color w:val="auto"/>
          <w:szCs w:val="21"/>
          <w:lang w:eastAsia="zh-CN"/>
        </w:rPr>
        <w:t>（4）在合</w:t>
      </w:r>
      <w:bookmarkEnd w:id="928"/>
      <w:bookmarkEnd w:id="929"/>
      <w:bookmarkEnd w:id="930"/>
      <w:r>
        <w:rPr>
          <w:rFonts w:asciiTheme="minorEastAsia" w:hAnsiTheme="minorEastAsia" w:eastAsiaTheme="minorEastAsia"/>
          <w:color w:val="auto"/>
          <w:szCs w:val="21"/>
          <w:lang w:eastAsia="zh-CN"/>
        </w:rPr>
        <w:t>同约定的期限内完成合同规定的全部义务。</w:t>
      </w:r>
    </w:p>
    <w:p w14:paraId="0371B8AC">
      <w:pPr>
        <w:spacing w:line="360" w:lineRule="auto"/>
        <w:ind w:firstLine="480" w:firstLineChars="200"/>
        <w:rPr>
          <w:rFonts w:ascii="宋体" w:hAnsi="宋体" w:cs="宋体"/>
          <w:color w:val="auto"/>
          <w:lang w:val="zh-CN" w:eastAsia="zh-CN"/>
        </w:rPr>
      </w:pPr>
      <w:r>
        <w:rPr>
          <w:rFonts w:ascii="宋体" w:hAnsi="宋体"/>
          <w:color w:val="auto"/>
          <w:szCs w:val="21"/>
          <w:lang w:eastAsia="zh-CN"/>
        </w:rPr>
        <w:t>5</w:t>
      </w:r>
      <w:r>
        <w:rPr>
          <w:rFonts w:hint="eastAsia" w:ascii="宋体" w:hAnsi="宋体"/>
          <w:color w:val="auto"/>
          <w:szCs w:val="21"/>
          <w:lang w:eastAsia="zh-CN"/>
        </w:rPr>
        <w:t>、</w:t>
      </w:r>
      <w:r>
        <w:rPr>
          <w:rFonts w:ascii="宋体" w:hAnsi="宋体"/>
          <w:color w:val="auto"/>
          <w:szCs w:val="21"/>
          <w:lang w:eastAsia="zh-CN"/>
        </w:rPr>
        <w:t>我方在此声明，所递交的投标文件及有关资料内容完整、真实和准确，且不存在第二章”投标人须知”第1.4.3项规定的任何一种情形。</w:t>
      </w:r>
    </w:p>
    <w:p w14:paraId="3CC64E84">
      <w:pPr>
        <w:spacing w:line="360" w:lineRule="auto"/>
        <w:ind w:firstLine="480" w:firstLineChars="200"/>
        <w:rPr>
          <w:rFonts w:ascii="宋体" w:hAnsi="宋体"/>
          <w:color w:val="auto"/>
          <w:szCs w:val="21"/>
          <w:lang w:eastAsia="zh-CN"/>
        </w:rPr>
      </w:pPr>
      <w:r>
        <w:rPr>
          <w:rFonts w:ascii="宋体" w:hAnsi="宋体"/>
          <w:color w:val="auto"/>
          <w:szCs w:val="21"/>
          <w:lang w:eastAsia="zh-CN"/>
        </w:rPr>
        <w:t>6</w:t>
      </w:r>
      <w:r>
        <w:rPr>
          <w:rFonts w:hint="eastAsia" w:ascii="宋体" w:hAnsi="宋体"/>
          <w:color w:val="auto"/>
          <w:szCs w:val="21"/>
          <w:lang w:eastAsia="zh-CN"/>
        </w:rPr>
        <w:t xml:space="preserve">、 </w:t>
      </w:r>
      <w:r>
        <w:rPr>
          <w:rFonts w:hint="eastAsia" w:ascii="宋体" w:hAnsi="宋体"/>
          <w:color w:val="auto"/>
          <w:szCs w:val="21"/>
          <w:u w:val="single"/>
          <w:lang w:eastAsia="zh-CN"/>
        </w:rPr>
        <w:t xml:space="preserve">                                        </w:t>
      </w:r>
      <w:r>
        <w:rPr>
          <w:rFonts w:hint="eastAsia" w:ascii="宋体" w:hAnsi="宋体"/>
          <w:color w:val="auto"/>
          <w:szCs w:val="21"/>
          <w:lang w:eastAsia="zh-CN"/>
        </w:rPr>
        <w:t>（其他补充说明）。</w:t>
      </w:r>
    </w:p>
    <w:p w14:paraId="1EBEE1FE">
      <w:pPr>
        <w:tabs>
          <w:tab w:val="left" w:pos="2977"/>
          <w:tab w:val="left" w:pos="3261"/>
        </w:tabs>
        <w:spacing w:line="360" w:lineRule="auto"/>
        <w:rPr>
          <w:rFonts w:ascii="宋体" w:hAnsi="宋体"/>
          <w:color w:val="auto"/>
          <w:szCs w:val="21"/>
          <w:lang w:eastAsia="zh-CN"/>
        </w:rPr>
      </w:pPr>
    </w:p>
    <w:p w14:paraId="1BF07E0E">
      <w:pPr>
        <w:tabs>
          <w:tab w:val="left" w:pos="2977"/>
          <w:tab w:val="left" w:pos="3261"/>
        </w:tabs>
        <w:spacing w:line="360" w:lineRule="auto"/>
        <w:rPr>
          <w:rFonts w:ascii="宋体" w:hAnsi="宋体"/>
          <w:color w:val="auto"/>
          <w:szCs w:val="21"/>
          <w:lang w:eastAsia="zh-CN"/>
        </w:rPr>
      </w:pPr>
    </w:p>
    <w:p w14:paraId="74209C13">
      <w:pPr>
        <w:tabs>
          <w:tab w:val="left" w:pos="2977"/>
          <w:tab w:val="left" w:pos="3261"/>
        </w:tabs>
        <w:spacing w:line="360" w:lineRule="auto"/>
        <w:rPr>
          <w:rFonts w:ascii="宋体" w:hAnsi="宋体"/>
          <w:color w:val="auto"/>
          <w:szCs w:val="21"/>
          <w:lang w:eastAsia="zh-CN"/>
        </w:rPr>
      </w:pPr>
    </w:p>
    <w:p w14:paraId="22107F90">
      <w:pPr>
        <w:spacing w:line="360" w:lineRule="auto"/>
        <w:ind w:firstLine="2976" w:firstLineChars="1240"/>
        <w:rPr>
          <w:rFonts w:ascii="宋体" w:hAnsi="宋体"/>
          <w:color w:val="auto"/>
          <w:lang w:eastAsia="zh-CN"/>
        </w:rPr>
      </w:pPr>
      <w:bookmarkStart w:id="931" w:name="_Hlk44603503"/>
      <w:r>
        <w:rPr>
          <w:rFonts w:ascii="宋体" w:hAnsi="宋体"/>
          <w:color w:val="auto"/>
          <w:lang w:eastAsia="zh-CN"/>
        </w:rPr>
        <w:t>投 标 人：</w:t>
      </w:r>
      <w:r>
        <w:rPr>
          <w:rFonts w:ascii="宋体" w:hAnsi="宋体"/>
          <w:color w:val="auto"/>
          <w:u w:val="single"/>
          <w:lang w:eastAsia="zh-CN"/>
        </w:rPr>
        <w:t xml:space="preserve">   </w:t>
      </w:r>
      <w:r>
        <w:rPr>
          <w:rFonts w:hint="eastAsia" w:ascii="宋体" w:hAnsi="宋体"/>
          <w:color w:val="auto"/>
          <w:u w:val="single"/>
          <w:lang w:eastAsia="zh-CN"/>
        </w:rPr>
        <w:t>（加盖投标人单位电子公章）</w:t>
      </w:r>
      <w:r>
        <w:rPr>
          <w:rFonts w:ascii="宋体" w:hAnsi="宋体"/>
          <w:color w:val="auto"/>
          <w:u w:val="single"/>
          <w:lang w:eastAsia="zh-CN"/>
        </w:rPr>
        <w:t xml:space="preserve">     </w:t>
      </w:r>
    </w:p>
    <w:p w14:paraId="6DFA781F">
      <w:pPr>
        <w:topLinePunct/>
        <w:spacing w:line="360" w:lineRule="auto"/>
        <w:ind w:left="334" w:firstLine="2604" w:firstLineChars="1085"/>
        <w:rPr>
          <w:color w:val="auto"/>
          <w:lang w:eastAsia="zh-CN"/>
        </w:rPr>
      </w:pPr>
      <w:r>
        <w:rPr>
          <w:rFonts w:ascii="宋体" w:hAnsi="宋体"/>
          <w:color w:val="auto"/>
          <w:lang w:eastAsia="zh-CN"/>
        </w:rPr>
        <w:t>法定代表人：</w:t>
      </w:r>
      <w:r>
        <w:rPr>
          <w:rFonts w:ascii="宋体" w:hAnsi="宋体"/>
          <w:color w:val="auto"/>
          <w:u w:val="single"/>
          <w:lang w:eastAsia="zh-CN"/>
        </w:rPr>
        <w:t xml:space="preserve"> </w:t>
      </w:r>
      <w:r>
        <w:rPr>
          <w:rFonts w:hint="eastAsia" w:ascii="宋体" w:hAnsi="宋体"/>
          <w:color w:val="auto"/>
          <w:u w:val="single"/>
          <w:lang w:eastAsia="zh-CN"/>
        </w:rPr>
        <w:t xml:space="preserve">（加盖法定代表人电子签名） </w:t>
      </w:r>
      <w:r>
        <w:rPr>
          <w:rFonts w:ascii="宋体" w:hAnsi="宋体"/>
          <w:color w:val="auto"/>
          <w:u w:val="single"/>
          <w:lang w:eastAsia="zh-CN"/>
        </w:rPr>
        <w:t xml:space="preserve">     </w:t>
      </w:r>
    </w:p>
    <w:bookmarkEnd w:id="931"/>
    <w:p w14:paraId="3CDF4209">
      <w:pPr>
        <w:topLinePunct/>
        <w:spacing w:line="360" w:lineRule="auto"/>
        <w:ind w:firstLine="2940" w:firstLineChars="1225"/>
        <w:rPr>
          <w:color w:val="auto"/>
          <w:lang w:eastAsia="zh-CN"/>
        </w:rPr>
      </w:pPr>
      <w:r>
        <w:rPr>
          <w:color w:val="auto"/>
          <w:lang w:eastAsia="zh-CN"/>
        </w:rPr>
        <w:t>地址：</w:t>
      </w:r>
      <w:r>
        <w:rPr>
          <w:color w:val="auto"/>
          <w:u w:val="single"/>
          <w:lang w:eastAsia="zh-CN"/>
        </w:rPr>
        <w:t xml:space="preserve">                                      </w:t>
      </w:r>
    </w:p>
    <w:p w14:paraId="5BF52803">
      <w:pPr>
        <w:topLinePunct/>
        <w:spacing w:line="360" w:lineRule="auto"/>
        <w:ind w:firstLine="2940" w:firstLineChars="1225"/>
        <w:rPr>
          <w:color w:val="auto"/>
          <w:u w:val="single"/>
          <w:lang w:eastAsia="zh-CN"/>
        </w:rPr>
      </w:pPr>
      <w:r>
        <w:rPr>
          <w:color w:val="auto"/>
          <w:lang w:eastAsia="zh-CN"/>
        </w:rPr>
        <w:t>网址：</w:t>
      </w:r>
      <w:r>
        <w:rPr>
          <w:color w:val="auto"/>
          <w:u w:val="single"/>
          <w:lang w:eastAsia="zh-CN"/>
        </w:rPr>
        <w:t xml:space="preserve">                                     </w:t>
      </w:r>
    </w:p>
    <w:p w14:paraId="670CE5A3">
      <w:pPr>
        <w:topLinePunct/>
        <w:spacing w:line="360" w:lineRule="auto"/>
        <w:ind w:firstLine="2940" w:firstLineChars="1225"/>
        <w:rPr>
          <w:color w:val="auto"/>
          <w:lang w:eastAsia="zh-CN"/>
        </w:rPr>
      </w:pPr>
      <w:r>
        <w:rPr>
          <w:color w:val="auto"/>
          <w:lang w:eastAsia="zh-CN"/>
        </w:rPr>
        <w:t>电话：</w:t>
      </w:r>
      <w:r>
        <w:rPr>
          <w:color w:val="auto"/>
          <w:u w:val="single"/>
          <w:lang w:eastAsia="zh-CN"/>
        </w:rPr>
        <w:t xml:space="preserve">                                      </w:t>
      </w:r>
    </w:p>
    <w:p w14:paraId="74D2834A">
      <w:pPr>
        <w:topLinePunct/>
        <w:spacing w:line="360" w:lineRule="auto"/>
        <w:ind w:firstLine="2940" w:firstLineChars="1225"/>
        <w:rPr>
          <w:color w:val="auto"/>
          <w:u w:val="single"/>
          <w:lang w:eastAsia="zh-CN"/>
        </w:rPr>
      </w:pPr>
      <w:r>
        <w:rPr>
          <w:color w:val="auto"/>
          <w:lang w:eastAsia="zh-CN"/>
        </w:rPr>
        <w:t>传真：</w:t>
      </w:r>
      <w:r>
        <w:rPr>
          <w:color w:val="auto"/>
          <w:u w:val="single"/>
          <w:lang w:eastAsia="zh-CN"/>
        </w:rPr>
        <w:t xml:space="preserve">                                      </w:t>
      </w:r>
    </w:p>
    <w:p w14:paraId="4B03AF5C">
      <w:pPr>
        <w:topLinePunct/>
        <w:spacing w:line="360" w:lineRule="auto"/>
        <w:ind w:firstLine="2940" w:firstLineChars="1225"/>
        <w:rPr>
          <w:color w:val="auto"/>
          <w:lang w:eastAsia="zh-CN"/>
        </w:rPr>
      </w:pPr>
      <w:r>
        <w:rPr>
          <w:color w:val="auto"/>
          <w:lang w:eastAsia="zh-CN"/>
        </w:rPr>
        <w:t>邮政编码：</w:t>
      </w:r>
      <w:r>
        <w:rPr>
          <w:color w:val="auto"/>
          <w:u w:val="single"/>
          <w:lang w:eastAsia="zh-CN"/>
        </w:rPr>
        <w:t xml:space="preserve">                                  </w:t>
      </w:r>
    </w:p>
    <w:p w14:paraId="7F270738">
      <w:pPr>
        <w:topLinePunct/>
        <w:spacing w:line="360" w:lineRule="auto"/>
        <w:ind w:firstLine="4500" w:firstLineChars="1875"/>
        <w:rPr>
          <w:color w:val="auto"/>
          <w:lang w:eastAsia="zh-CN"/>
        </w:rPr>
        <w:sectPr>
          <w:footnotePr>
            <w:numFmt w:val="decimalEnclosedCircleChinese"/>
            <w:numRestart w:val="eachPage"/>
          </w:footnotePr>
          <w:pgSz w:w="11906" w:h="16838"/>
          <w:pgMar w:top="1418" w:right="1588" w:bottom="1418" w:left="1588" w:header="680" w:footer="992" w:gutter="0"/>
          <w:cols w:space="720" w:num="1"/>
          <w:docGrid w:linePitch="326" w:charSpace="0"/>
        </w:sectPr>
      </w:pPr>
      <w:r>
        <w:rPr>
          <w:color w:val="auto"/>
          <w:u w:val="single"/>
          <w:lang w:eastAsia="zh-CN"/>
        </w:rPr>
        <w:t xml:space="preserve">         </w:t>
      </w:r>
      <w:r>
        <w:rPr>
          <w:color w:val="auto"/>
          <w:lang w:eastAsia="zh-CN"/>
        </w:rPr>
        <w:t>年</w:t>
      </w:r>
      <w:r>
        <w:rPr>
          <w:color w:val="auto"/>
          <w:u w:val="single"/>
          <w:lang w:eastAsia="zh-CN"/>
        </w:rPr>
        <w:t xml:space="preserve">       </w:t>
      </w:r>
      <w:r>
        <w:rPr>
          <w:color w:val="auto"/>
          <w:lang w:eastAsia="zh-CN"/>
        </w:rPr>
        <w:t>月</w:t>
      </w:r>
      <w:r>
        <w:rPr>
          <w:color w:val="auto"/>
          <w:u w:val="single"/>
          <w:lang w:eastAsia="zh-CN"/>
        </w:rPr>
        <w:t xml:space="preserve">       </w:t>
      </w:r>
      <w:r>
        <w:rPr>
          <w:color w:val="auto"/>
          <w:lang w:eastAsia="zh-CN"/>
        </w:rPr>
        <w:t xml:space="preserve">日 </w:t>
      </w:r>
    </w:p>
    <w:p w14:paraId="1655824B">
      <w:pPr>
        <w:keepNext/>
        <w:keepLines/>
        <w:spacing w:line="360" w:lineRule="auto"/>
        <w:jc w:val="center"/>
        <w:outlineLvl w:val="2"/>
        <w:rPr>
          <w:rFonts w:eastAsia="宋体"/>
          <w:b/>
          <w:bCs/>
          <w:color w:val="auto"/>
          <w:kern w:val="2"/>
          <w:szCs w:val="32"/>
          <w:lang w:eastAsia="zh-CN" w:bidi="ar-SA"/>
        </w:rPr>
      </w:pPr>
      <w:bookmarkStart w:id="932" w:name="_Toc359594236"/>
      <w:bookmarkStart w:id="933" w:name="_Toc391394112"/>
      <w:bookmarkStart w:id="934" w:name="_Toc370676427"/>
      <w:bookmarkStart w:id="935" w:name="_Toc482188652"/>
      <w:bookmarkStart w:id="936" w:name="_Toc385943066"/>
      <w:bookmarkStart w:id="937" w:name="_Toc492300722"/>
      <w:bookmarkStart w:id="938" w:name="_Toc27327"/>
      <w:r>
        <w:rPr>
          <w:rFonts w:eastAsia="宋体"/>
          <w:b/>
          <w:bCs/>
          <w:color w:val="auto"/>
          <w:kern w:val="2"/>
          <w:szCs w:val="32"/>
          <w:lang w:eastAsia="zh-CN" w:bidi="ar-SA"/>
        </w:rPr>
        <w:t>（二）投标函附录</w:t>
      </w:r>
      <w:bookmarkEnd w:id="932"/>
      <w:bookmarkEnd w:id="933"/>
      <w:bookmarkEnd w:id="934"/>
      <w:bookmarkEnd w:id="935"/>
      <w:bookmarkEnd w:id="936"/>
      <w:bookmarkEnd w:id="937"/>
      <w:bookmarkEnd w:id="938"/>
    </w:p>
    <w:tbl>
      <w:tblPr>
        <w:tblStyle w:val="47"/>
        <w:tblW w:w="87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9"/>
        <w:gridCol w:w="2552"/>
        <w:gridCol w:w="1347"/>
        <w:gridCol w:w="2268"/>
        <w:gridCol w:w="1475"/>
      </w:tblGrid>
      <w:tr w14:paraId="040F12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129" w:type="dxa"/>
            <w:vAlign w:val="center"/>
          </w:tcPr>
          <w:p w14:paraId="6974257A">
            <w:pPr>
              <w:jc w:val="center"/>
              <w:rPr>
                <w:rFonts w:eastAsia="宋体"/>
                <w:b/>
                <w:color w:val="auto"/>
                <w:kern w:val="2"/>
                <w:sz w:val="21"/>
                <w:szCs w:val="22"/>
                <w:lang w:eastAsia="zh-CN" w:bidi="ar-SA"/>
              </w:rPr>
            </w:pPr>
            <w:r>
              <w:rPr>
                <w:rFonts w:hint="eastAsia" w:eastAsia="宋体"/>
                <w:b/>
                <w:color w:val="auto"/>
                <w:kern w:val="2"/>
                <w:sz w:val="21"/>
                <w:szCs w:val="22"/>
                <w:lang w:eastAsia="zh-CN" w:bidi="ar-SA"/>
              </w:rPr>
              <w:t>序号</w:t>
            </w:r>
          </w:p>
        </w:tc>
        <w:tc>
          <w:tcPr>
            <w:tcW w:w="2552" w:type="dxa"/>
            <w:vAlign w:val="center"/>
          </w:tcPr>
          <w:p w14:paraId="27CE95EF">
            <w:pPr>
              <w:jc w:val="center"/>
              <w:rPr>
                <w:rFonts w:eastAsia="宋体"/>
                <w:b/>
                <w:color w:val="auto"/>
                <w:kern w:val="2"/>
                <w:sz w:val="21"/>
                <w:szCs w:val="22"/>
                <w:lang w:eastAsia="zh-CN" w:bidi="ar-SA"/>
              </w:rPr>
            </w:pPr>
            <w:r>
              <w:rPr>
                <w:rFonts w:hint="eastAsia" w:eastAsia="宋体"/>
                <w:b/>
                <w:color w:val="auto"/>
                <w:kern w:val="2"/>
                <w:sz w:val="21"/>
                <w:szCs w:val="22"/>
                <w:lang w:eastAsia="zh-CN" w:bidi="ar-SA"/>
              </w:rPr>
              <w:t>条款名称</w:t>
            </w:r>
          </w:p>
        </w:tc>
        <w:tc>
          <w:tcPr>
            <w:tcW w:w="1347" w:type="dxa"/>
            <w:vAlign w:val="center"/>
          </w:tcPr>
          <w:p w14:paraId="3B5AB8C8">
            <w:pPr>
              <w:jc w:val="center"/>
              <w:rPr>
                <w:rFonts w:eastAsia="宋体"/>
                <w:b/>
                <w:color w:val="auto"/>
                <w:kern w:val="2"/>
                <w:sz w:val="21"/>
                <w:szCs w:val="22"/>
                <w:lang w:eastAsia="zh-CN" w:bidi="ar-SA"/>
              </w:rPr>
            </w:pPr>
            <w:r>
              <w:rPr>
                <w:rFonts w:hint="eastAsia" w:eastAsia="宋体"/>
                <w:b/>
                <w:color w:val="auto"/>
                <w:kern w:val="2"/>
                <w:sz w:val="21"/>
                <w:szCs w:val="22"/>
                <w:lang w:eastAsia="zh-CN" w:bidi="ar-SA"/>
              </w:rPr>
              <w:t>合同条款号</w:t>
            </w:r>
          </w:p>
        </w:tc>
        <w:tc>
          <w:tcPr>
            <w:tcW w:w="2268" w:type="dxa"/>
            <w:vAlign w:val="center"/>
          </w:tcPr>
          <w:p w14:paraId="226FAB06">
            <w:pPr>
              <w:jc w:val="center"/>
              <w:rPr>
                <w:rFonts w:eastAsia="宋体"/>
                <w:b/>
                <w:color w:val="auto"/>
                <w:kern w:val="2"/>
                <w:sz w:val="21"/>
                <w:szCs w:val="22"/>
                <w:lang w:eastAsia="zh-CN" w:bidi="ar-SA"/>
              </w:rPr>
            </w:pPr>
            <w:r>
              <w:rPr>
                <w:rFonts w:hint="eastAsia" w:eastAsia="宋体"/>
                <w:b/>
                <w:color w:val="auto"/>
                <w:kern w:val="2"/>
                <w:sz w:val="21"/>
                <w:szCs w:val="22"/>
                <w:lang w:eastAsia="zh-CN" w:bidi="ar-SA"/>
              </w:rPr>
              <w:t>约定内容</w:t>
            </w:r>
          </w:p>
        </w:tc>
        <w:tc>
          <w:tcPr>
            <w:tcW w:w="1475" w:type="dxa"/>
            <w:vAlign w:val="center"/>
          </w:tcPr>
          <w:p w14:paraId="3100BAE8">
            <w:pPr>
              <w:jc w:val="center"/>
              <w:rPr>
                <w:rFonts w:eastAsia="宋体"/>
                <w:b/>
                <w:color w:val="auto"/>
                <w:kern w:val="2"/>
                <w:sz w:val="21"/>
                <w:szCs w:val="22"/>
                <w:lang w:eastAsia="zh-CN" w:bidi="ar-SA"/>
              </w:rPr>
            </w:pPr>
            <w:r>
              <w:rPr>
                <w:rFonts w:hint="eastAsia" w:eastAsia="宋体"/>
                <w:b/>
                <w:color w:val="auto"/>
                <w:kern w:val="2"/>
                <w:sz w:val="21"/>
                <w:szCs w:val="22"/>
                <w:lang w:eastAsia="zh-CN" w:bidi="ar-SA"/>
              </w:rPr>
              <w:t>备注</w:t>
            </w:r>
          </w:p>
        </w:tc>
      </w:tr>
      <w:tr w14:paraId="1FD16E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129" w:type="dxa"/>
            <w:vAlign w:val="center"/>
          </w:tcPr>
          <w:p w14:paraId="5151F980">
            <w:pPr>
              <w:spacing w:before="100" w:beforeAutospacing="1" w:after="100" w:afterAutospacing="1"/>
              <w:jc w:val="center"/>
              <w:rPr>
                <w:rFonts w:eastAsia="宋体"/>
                <w:color w:val="auto"/>
                <w:kern w:val="2"/>
                <w:sz w:val="21"/>
                <w:szCs w:val="22"/>
                <w:lang w:eastAsia="zh-CN" w:bidi="ar-SA"/>
              </w:rPr>
            </w:pPr>
            <w:r>
              <w:rPr>
                <w:rFonts w:hint="eastAsia" w:eastAsia="宋体"/>
                <w:color w:val="auto"/>
                <w:kern w:val="2"/>
                <w:sz w:val="21"/>
                <w:szCs w:val="22"/>
                <w:lang w:eastAsia="zh-CN" w:bidi="ar-SA"/>
              </w:rPr>
              <w:t>1</w:t>
            </w:r>
          </w:p>
        </w:tc>
        <w:tc>
          <w:tcPr>
            <w:tcW w:w="2552" w:type="dxa"/>
            <w:vAlign w:val="center"/>
          </w:tcPr>
          <w:p w14:paraId="50DD7CF7">
            <w:pPr>
              <w:spacing w:before="100" w:beforeAutospacing="1" w:after="100" w:afterAutospacing="1" w:line="440" w:lineRule="exact"/>
              <w:jc w:val="center"/>
              <w:rPr>
                <w:rFonts w:eastAsia="宋体"/>
                <w:color w:val="auto"/>
                <w:kern w:val="2"/>
                <w:sz w:val="21"/>
                <w:szCs w:val="21"/>
                <w:lang w:eastAsia="zh-CN" w:bidi="ar-SA"/>
              </w:rPr>
            </w:pPr>
            <w:r>
              <w:rPr>
                <w:rFonts w:hint="eastAsia" w:eastAsia="宋体"/>
                <w:color w:val="auto"/>
                <w:kern w:val="2"/>
                <w:sz w:val="21"/>
                <w:szCs w:val="21"/>
                <w:lang w:eastAsia="zh-CN" w:bidi="ar-SA"/>
              </w:rPr>
              <w:t>总监理工程师</w:t>
            </w:r>
          </w:p>
        </w:tc>
        <w:tc>
          <w:tcPr>
            <w:tcW w:w="1347" w:type="dxa"/>
            <w:vAlign w:val="center"/>
          </w:tcPr>
          <w:p w14:paraId="5C0FE4EC">
            <w:pPr>
              <w:spacing w:line="440" w:lineRule="exact"/>
              <w:jc w:val="center"/>
              <w:rPr>
                <w:rFonts w:eastAsia="宋体"/>
                <w:color w:val="auto"/>
                <w:kern w:val="2"/>
                <w:sz w:val="21"/>
                <w:szCs w:val="22"/>
                <w:lang w:eastAsia="zh-CN" w:bidi="ar-SA"/>
              </w:rPr>
            </w:pPr>
            <w:r>
              <w:rPr>
                <w:rFonts w:eastAsia="宋体"/>
                <w:color w:val="auto"/>
                <w:kern w:val="2"/>
                <w:sz w:val="21"/>
                <w:szCs w:val="22"/>
                <w:lang w:eastAsia="zh-CN" w:bidi="ar-SA"/>
              </w:rPr>
              <w:t>1.1.2.5</w:t>
            </w:r>
          </w:p>
        </w:tc>
        <w:tc>
          <w:tcPr>
            <w:tcW w:w="2268" w:type="dxa"/>
            <w:vAlign w:val="center"/>
          </w:tcPr>
          <w:p w14:paraId="68CE1FBA">
            <w:pPr>
              <w:topLinePunct/>
              <w:spacing w:line="400" w:lineRule="exact"/>
              <w:jc w:val="both"/>
              <w:rPr>
                <w:rFonts w:eastAsia="宋体"/>
                <w:color w:val="auto"/>
                <w:kern w:val="2"/>
                <w:sz w:val="21"/>
                <w:szCs w:val="21"/>
                <w:lang w:eastAsia="zh-CN" w:bidi="ar-SA"/>
              </w:rPr>
            </w:pPr>
            <w:r>
              <w:rPr>
                <w:rFonts w:hint="eastAsia" w:eastAsia="宋体"/>
                <w:color w:val="auto"/>
                <w:kern w:val="2"/>
                <w:sz w:val="21"/>
                <w:szCs w:val="21"/>
                <w:lang w:eastAsia="zh-CN" w:bidi="ar-SA"/>
              </w:rPr>
              <w:t>姓名：</w:t>
            </w:r>
            <w:r>
              <w:rPr>
                <w:rFonts w:eastAsia="宋体"/>
                <w:color w:val="auto"/>
                <w:kern w:val="2"/>
                <w:sz w:val="21"/>
                <w:szCs w:val="21"/>
                <w:u w:val="single"/>
                <w:lang w:eastAsia="zh-CN" w:bidi="ar-SA"/>
              </w:rPr>
              <w:t xml:space="preserve">                 </w:t>
            </w:r>
          </w:p>
        </w:tc>
        <w:tc>
          <w:tcPr>
            <w:tcW w:w="1475" w:type="dxa"/>
            <w:vAlign w:val="center"/>
          </w:tcPr>
          <w:p w14:paraId="46A41549">
            <w:pPr>
              <w:spacing w:line="440" w:lineRule="exact"/>
              <w:ind w:firstLine="718" w:firstLineChars="342"/>
              <w:jc w:val="both"/>
              <w:rPr>
                <w:rFonts w:eastAsia="宋体"/>
                <w:color w:val="auto"/>
                <w:kern w:val="2"/>
                <w:sz w:val="21"/>
                <w:szCs w:val="22"/>
                <w:lang w:eastAsia="zh-CN" w:bidi="ar-SA"/>
              </w:rPr>
            </w:pPr>
          </w:p>
        </w:tc>
      </w:tr>
      <w:tr w14:paraId="1E224B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29" w:type="dxa"/>
            <w:vMerge w:val="restart"/>
            <w:vAlign w:val="center"/>
          </w:tcPr>
          <w:p w14:paraId="40979404">
            <w:pPr>
              <w:jc w:val="center"/>
              <w:rPr>
                <w:rFonts w:eastAsia="宋体"/>
                <w:color w:val="auto"/>
                <w:kern w:val="2"/>
                <w:sz w:val="21"/>
                <w:szCs w:val="22"/>
                <w:lang w:eastAsia="zh-CN" w:bidi="ar-SA"/>
              </w:rPr>
            </w:pPr>
            <w:r>
              <w:rPr>
                <w:rFonts w:hint="eastAsia" w:eastAsia="宋体"/>
                <w:color w:val="auto"/>
                <w:kern w:val="2"/>
                <w:sz w:val="21"/>
                <w:szCs w:val="22"/>
                <w:lang w:eastAsia="zh-CN" w:bidi="ar-SA"/>
              </w:rPr>
              <w:t>2</w:t>
            </w:r>
          </w:p>
        </w:tc>
        <w:tc>
          <w:tcPr>
            <w:tcW w:w="2552" w:type="dxa"/>
            <w:vAlign w:val="center"/>
          </w:tcPr>
          <w:p w14:paraId="121634F9">
            <w:pPr>
              <w:spacing w:before="100" w:beforeAutospacing="1" w:after="100" w:afterAutospacing="1" w:line="440" w:lineRule="exact"/>
              <w:jc w:val="center"/>
              <w:rPr>
                <w:rFonts w:eastAsia="宋体"/>
                <w:color w:val="auto"/>
                <w:kern w:val="2"/>
                <w:sz w:val="21"/>
                <w:szCs w:val="21"/>
                <w:lang w:eastAsia="zh-CN" w:bidi="ar-SA"/>
              </w:rPr>
            </w:pPr>
            <w:r>
              <w:rPr>
                <w:rFonts w:hint="eastAsia" w:eastAsia="宋体"/>
                <w:color w:val="auto"/>
                <w:kern w:val="2"/>
                <w:sz w:val="21"/>
                <w:szCs w:val="21"/>
                <w:lang w:eastAsia="zh-CN" w:bidi="ar-SA"/>
              </w:rPr>
              <w:t>监理服务期限</w:t>
            </w:r>
          </w:p>
        </w:tc>
        <w:tc>
          <w:tcPr>
            <w:tcW w:w="1347" w:type="dxa"/>
            <w:vMerge w:val="restart"/>
            <w:vAlign w:val="center"/>
          </w:tcPr>
          <w:p w14:paraId="78FAEDED">
            <w:pPr>
              <w:spacing w:line="440" w:lineRule="exact"/>
              <w:jc w:val="center"/>
              <w:rPr>
                <w:rFonts w:eastAsia="宋体"/>
                <w:color w:val="auto"/>
                <w:kern w:val="2"/>
                <w:sz w:val="21"/>
                <w:szCs w:val="22"/>
                <w:lang w:eastAsia="zh-CN" w:bidi="ar-SA"/>
              </w:rPr>
            </w:pPr>
            <w:r>
              <w:rPr>
                <w:rFonts w:eastAsia="宋体"/>
                <w:color w:val="auto"/>
                <w:kern w:val="2"/>
                <w:sz w:val="21"/>
                <w:szCs w:val="22"/>
                <w:lang w:eastAsia="zh-CN" w:bidi="ar-SA"/>
              </w:rPr>
              <w:t>1.1.4.3</w:t>
            </w:r>
          </w:p>
        </w:tc>
        <w:tc>
          <w:tcPr>
            <w:tcW w:w="2268" w:type="dxa"/>
            <w:vAlign w:val="center"/>
          </w:tcPr>
          <w:p w14:paraId="4D868326">
            <w:pPr>
              <w:spacing w:before="120" w:after="120" w:line="360" w:lineRule="auto"/>
              <w:jc w:val="center"/>
              <w:rPr>
                <w:rFonts w:eastAsia="宋体"/>
                <w:color w:val="auto"/>
                <w:kern w:val="2"/>
                <w:sz w:val="21"/>
                <w:szCs w:val="21"/>
                <w:lang w:eastAsia="zh-CN" w:bidi="ar-SA"/>
              </w:rPr>
            </w:pPr>
            <w:r>
              <w:rPr>
                <w:rFonts w:eastAsia="宋体"/>
                <w:color w:val="auto"/>
                <w:kern w:val="2"/>
                <w:sz w:val="21"/>
                <w:szCs w:val="21"/>
                <w:u w:val="single"/>
                <w:lang w:eastAsia="zh-CN" w:bidi="ar-SA"/>
              </w:rPr>
              <w:t xml:space="preserve">     </w:t>
            </w:r>
            <w:r>
              <w:rPr>
                <w:rFonts w:eastAsia="宋体"/>
                <w:color w:val="auto"/>
                <w:kern w:val="2"/>
                <w:sz w:val="21"/>
                <w:szCs w:val="21"/>
                <w:lang w:eastAsia="zh-CN" w:bidi="ar-SA"/>
              </w:rPr>
              <w:t>个月</w:t>
            </w:r>
          </w:p>
        </w:tc>
        <w:tc>
          <w:tcPr>
            <w:tcW w:w="1475" w:type="dxa"/>
            <w:vMerge w:val="restart"/>
            <w:vAlign w:val="center"/>
          </w:tcPr>
          <w:p w14:paraId="3C6231EE">
            <w:pPr>
              <w:spacing w:line="440" w:lineRule="exact"/>
              <w:jc w:val="both"/>
              <w:rPr>
                <w:rFonts w:eastAsia="宋体"/>
                <w:color w:val="auto"/>
                <w:kern w:val="2"/>
                <w:sz w:val="21"/>
                <w:szCs w:val="22"/>
                <w:lang w:eastAsia="zh-CN" w:bidi="ar-SA"/>
              </w:rPr>
            </w:pPr>
          </w:p>
        </w:tc>
      </w:tr>
      <w:tr w14:paraId="26ABBC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29" w:type="dxa"/>
            <w:vMerge w:val="continue"/>
            <w:vAlign w:val="center"/>
          </w:tcPr>
          <w:p w14:paraId="24ACF31F">
            <w:pPr>
              <w:tabs>
                <w:tab w:val="left" w:pos="360"/>
              </w:tabs>
              <w:jc w:val="center"/>
              <w:rPr>
                <w:rFonts w:eastAsia="宋体"/>
                <w:color w:val="auto"/>
                <w:kern w:val="2"/>
                <w:sz w:val="21"/>
                <w:szCs w:val="22"/>
                <w:lang w:eastAsia="zh-CN" w:bidi="ar-SA"/>
              </w:rPr>
            </w:pPr>
          </w:p>
        </w:tc>
        <w:tc>
          <w:tcPr>
            <w:tcW w:w="2552" w:type="dxa"/>
            <w:vAlign w:val="center"/>
          </w:tcPr>
          <w:p w14:paraId="19F7BA31">
            <w:pPr>
              <w:spacing w:before="100" w:beforeAutospacing="1" w:after="100" w:afterAutospacing="1" w:line="440" w:lineRule="exact"/>
              <w:jc w:val="center"/>
              <w:rPr>
                <w:rFonts w:eastAsia="宋体"/>
                <w:color w:val="auto"/>
                <w:kern w:val="2"/>
                <w:sz w:val="21"/>
                <w:szCs w:val="21"/>
                <w:lang w:eastAsia="zh-CN" w:bidi="ar-SA"/>
              </w:rPr>
            </w:pPr>
            <w:r>
              <w:rPr>
                <w:rFonts w:hint="eastAsia" w:eastAsia="宋体"/>
                <w:color w:val="auto"/>
                <w:kern w:val="2"/>
                <w:sz w:val="21"/>
                <w:szCs w:val="21"/>
                <w:lang w:eastAsia="zh-CN" w:bidi="ar-SA"/>
              </w:rPr>
              <w:t>其中：施工阶段</w:t>
            </w:r>
          </w:p>
        </w:tc>
        <w:tc>
          <w:tcPr>
            <w:tcW w:w="1347" w:type="dxa"/>
            <w:vMerge w:val="continue"/>
            <w:vAlign w:val="center"/>
          </w:tcPr>
          <w:p w14:paraId="4FAE99AE">
            <w:pPr>
              <w:spacing w:line="440" w:lineRule="exact"/>
              <w:jc w:val="center"/>
              <w:rPr>
                <w:rFonts w:eastAsia="宋体"/>
                <w:color w:val="auto"/>
                <w:kern w:val="2"/>
                <w:sz w:val="21"/>
                <w:szCs w:val="22"/>
                <w:lang w:eastAsia="zh-CN" w:bidi="ar-SA"/>
              </w:rPr>
            </w:pPr>
          </w:p>
        </w:tc>
        <w:tc>
          <w:tcPr>
            <w:tcW w:w="2268" w:type="dxa"/>
            <w:vAlign w:val="center"/>
          </w:tcPr>
          <w:p w14:paraId="784A84AB">
            <w:pPr>
              <w:spacing w:before="120" w:after="120" w:line="360" w:lineRule="auto"/>
              <w:jc w:val="center"/>
              <w:rPr>
                <w:rFonts w:eastAsia="宋体"/>
                <w:color w:val="auto"/>
                <w:kern w:val="2"/>
                <w:sz w:val="21"/>
                <w:szCs w:val="21"/>
                <w:lang w:eastAsia="zh-CN" w:bidi="ar-SA"/>
              </w:rPr>
            </w:pPr>
            <w:r>
              <w:rPr>
                <w:rFonts w:eastAsia="宋体"/>
                <w:color w:val="auto"/>
                <w:kern w:val="2"/>
                <w:sz w:val="21"/>
                <w:szCs w:val="21"/>
                <w:u w:val="single"/>
                <w:lang w:eastAsia="zh-CN" w:bidi="ar-SA"/>
              </w:rPr>
              <w:t xml:space="preserve">     </w:t>
            </w:r>
            <w:r>
              <w:rPr>
                <w:rFonts w:eastAsia="宋体"/>
                <w:color w:val="auto"/>
                <w:kern w:val="2"/>
                <w:sz w:val="21"/>
                <w:szCs w:val="21"/>
                <w:lang w:eastAsia="zh-CN" w:bidi="ar-SA"/>
              </w:rPr>
              <w:t>个月</w:t>
            </w:r>
          </w:p>
        </w:tc>
        <w:tc>
          <w:tcPr>
            <w:tcW w:w="1475" w:type="dxa"/>
            <w:vMerge w:val="continue"/>
            <w:vAlign w:val="center"/>
          </w:tcPr>
          <w:p w14:paraId="5DD099DE">
            <w:pPr>
              <w:tabs>
                <w:tab w:val="left" w:pos="360"/>
              </w:tabs>
              <w:jc w:val="center"/>
              <w:rPr>
                <w:rFonts w:eastAsia="宋体"/>
                <w:color w:val="auto"/>
                <w:kern w:val="2"/>
                <w:sz w:val="21"/>
                <w:szCs w:val="22"/>
                <w:lang w:eastAsia="zh-CN" w:bidi="ar-SA"/>
              </w:rPr>
            </w:pPr>
          </w:p>
        </w:tc>
      </w:tr>
      <w:tr w14:paraId="0BEEB1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29" w:type="dxa"/>
            <w:vMerge w:val="continue"/>
            <w:vAlign w:val="center"/>
          </w:tcPr>
          <w:p w14:paraId="2564C4D3">
            <w:pPr>
              <w:tabs>
                <w:tab w:val="left" w:pos="360"/>
              </w:tabs>
              <w:jc w:val="center"/>
              <w:rPr>
                <w:rFonts w:eastAsia="宋体"/>
                <w:color w:val="auto"/>
                <w:kern w:val="2"/>
                <w:sz w:val="21"/>
                <w:szCs w:val="22"/>
                <w:lang w:eastAsia="zh-CN" w:bidi="ar-SA"/>
              </w:rPr>
            </w:pPr>
          </w:p>
        </w:tc>
        <w:tc>
          <w:tcPr>
            <w:tcW w:w="2552" w:type="dxa"/>
            <w:vAlign w:val="center"/>
          </w:tcPr>
          <w:p w14:paraId="25DF921E">
            <w:pPr>
              <w:spacing w:before="100" w:beforeAutospacing="1" w:after="100" w:afterAutospacing="1" w:line="440" w:lineRule="exact"/>
              <w:jc w:val="center"/>
              <w:rPr>
                <w:rFonts w:eastAsia="宋体"/>
                <w:color w:val="auto"/>
                <w:kern w:val="2"/>
                <w:sz w:val="21"/>
                <w:szCs w:val="21"/>
                <w:lang w:eastAsia="zh-CN" w:bidi="ar-SA"/>
              </w:rPr>
            </w:pPr>
            <w:r>
              <w:rPr>
                <w:rFonts w:hint="eastAsia" w:eastAsia="宋体"/>
                <w:color w:val="auto"/>
                <w:kern w:val="2"/>
                <w:sz w:val="21"/>
                <w:szCs w:val="21"/>
                <w:lang w:eastAsia="zh-CN" w:bidi="ar-SA"/>
              </w:rPr>
              <w:t>缺陷责任期阶段</w:t>
            </w:r>
          </w:p>
        </w:tc>
        <w:tc>
          <w:tcPr>
            <w:tcW w:w="1347" w:type="dxa"/>
            <w:vMerge w:val="continue"/>
            <w:vAlign w:val="center"/>
          </w:tcPr>
          <w:p w14:paraId="0CF55CF9">
            <w:pPr>
              <w:spacing w:line="440" w:lineRule="exact"/>
              <w:jc w:val="center"/>
              <w:rPr>
                <w:rFonts w:eastAsia="宋体"/>
                <w:color w:val="auto"/>
                <w:kern w:val="2"/>
                <w:sz w:val="21"/>
                <w:szCs w:val="22"/>
                <w:lang w:eastAsia="zh-CN" w:bidi="ar-SA"/>
              </w:rPr>
            </w:pPr>
          </w:p>
        </w:tc>
        <w:tc>
          <w:tcPr>
            <w:tcW w:w="2268" w:type="dxa"/>
            <w:vAlign w:val="center"/>
          </w:tcPr>
          <w:p w14:paraId="3BFC684A">
            <w:pPr>
              <w:spacing w:before="120" w:after="120" w:line="360" w:lineRule="auto"/>
              <w:jc w:val="center"/>
              <w:rPr>
                <w:rFonts w:eastAsia="宋体"/>
                <w:color w:val="auto"/>
                <w:kern w:val="2"/>
                <w:sz w:val="21"/>
                <w:szCs w:val="21"/>
                <w:lang w:eastAsia="zh-CN" w:bidi="ar-SA"/>
              </w:rPr>
            </w:pPr>
            <w:r>
              <w:rPr>
                <w:rFonts w:eastAsia="宋体"/>
                <w:color w:val="auto"/>
                <w:kern w:val="2"/>
                <w:sz w:val="21"/>
                <w:szCs w:val="21"/>
                <w:u w:val="single"/>
                <w:lang w:eastAsia="zh-CN" w:bidi="ar-SA"/>
              </w:rPr>
              <w:t xml:space="preserve">     </w:t>
            </w:r>
            <w:r>
              <w:rPr>
                <w:rFonts w:eastAsia="宋体"/>
                <w:color w:val="auto"/>
                <w:kern w:val="2"/>
                <w:sz w:val="21"/>
                <w:szCs w:val="21"/>
                <w:lang w:eastAsia="zh-CN" w:bidi="ar-SA"/>
              </w:rPr>
              <w:t>个月</w:t>
            </w:r>
          </w:p>
        </w:tc>
        <w:tc>
          <w:tcPr>
            <w:tcW w:w="1475" w:type="dxa"/>
            <w:vMerge w:val="continue"/>
            <w:vAlign w:val="center"/>
          </w:tcPr>
          <w:p w14:paraId="5D39C2B0">
            <w:pPr>
              <w:tabs>
                <w:tab w:val="left" w:pos="360"/>
              </w:tabs>
              <w:jc w:val="center"/>
              <w:rPr>
                <w:rFonts w:eastAsia="宋体"/>
                <w:color w:val="auto"/>
                <w:kern w:val="2"/>
                <w:sz w:val="21"/>
                <w:szCs w:val="22"/>
                <w:lang w:eastAsia="zh-CN" w:bidi="ar-SA"/>
              </w:rPr>
            </w:pPr>
          </w:p>
        </w:tc>
      </w:tr>
      <w:tr w14:paraId="4C5242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129" w:type="dxa"/>
            <w:vAlign w:val="center"/>
          </w:tcPr>
          <w:p w14:paraId="5F232E96">
            <w:pPr>
              <w:tabs>
                <w:tab w:val="left" w:pos="360"/>
              </w:tabs>
              <w:jc w:val="center"/>
              <w:rPr>
                <w:rFonts w:eastAsia="宋体"/>
                <w:color w:val="auto"/>
                <w:kern w:val="2"/>
                <w:sz w:val="21"/>
                <w:szCs w:val="22"/>
                <w:lang w:eastAsia="zh-CN" w:bidi="ar-SA"/>
              </w:rPr>
            </w:pPr>
            <w:r>
              <w:rPr>
                <w:rFonts w:hint="eastAsia" w:eastAsia="宋体"/>
                <w:color w:val="auto"/>
                <w:kern w:val="2"/>
                <w:sz w:val="21"/>
                <w:szCs w:val="22"/>
                <w:lang w:eastAsia="zh-CN" w:bidi="ar-SA"/>
              </w:rPr>
              <w:t>3</w:t>
            </w:r>
          </w:p>
        </w:tc>
        <w:tc>
          <w:tcPr>
            <w:tcW w:w="2552" w:type="dxa"/>
            <w:vAlign w:val="center"/>
          </w:tcPr>
          <w:p w14:paraId="63BF0A2E">
            <w:pPr>
              <w:spacing w:before="100" w:beforeAutospacing="1" w:after="100" w:afterAutospacing="1" w:line="440" w:lineRule="exact"/>
              <w:jc w:val="center"/>
              <w:rPr>
                <w:rFonts w:eastAsia="宋体"/>
                <w:color w:val="auto"/>
                <w:kern w:val="2"/>
                <w:sz w:val="21"/>
                <w:szCs w:val="21"/>
                <w:lang w:eastAsia="zh-CN" w:bidi="ar-SA"/>
              </w:rPr>
            </w:pPr>
            <w:r>
              <w:rPr>
                <w:rFonts w:hint="eastAsia" w:eastAsia="宋体"/>
                <w:color w:val="auto"/>
                <w:kern w:val="2"/>
                <w:sz w:val="21"/>
                <w:szCs w:val="21"/>
                <w:lang w:eastAsia="zh-CN" w:bidi="ar-SA"/>
              </w:rPr>
              <w:t>履约保证金</w:t>
            </w:r>
          </w:p>
        </w:tc>
        <w:tc>
          <w:tcPr>
            <w:tcW w:w="1347" w:type="dxa"/>
            <w:vAlign w:val="center"/>
          </w:tcPr>
          <w:p w14:paraId="32F670CF">
            <w:pPr>
              <w:spacing w:line="440" w:lineRule="exact"/>
              <w:jc w:val="center"/>
              <w:rPr>
                <w:rFonts w:eastAsia="宋体"/>
                <w:color w:val="auto"/>
                <w:kern w:val="2"/>
                <w:sz w:val="21"/>
                <w:szCs w:val="22"/>
                <w:lang w:eastAsia="zh-CN" w:bidi="ar-SA"/>
              </w:rPr>
            </w:pPr>
            <w:r>
              <w:rPr>
                <w:rFonts w:hint="eastAsia" w:eastAsia="宋体"/>
                <w:color w:val="auto"/>
                <w:kern w:val="2"/>
                <w:sz w:val="21"/>
                <w:szCs w:val="22"/>
                <w:lang w:eastAsia="zh-CN" w:bidi="ar-SA"/>
              </w:rPr>
              <w:t>4.2</w:t>
            </w:r>
          </w:p>
        </w:tc>
        <w:tc>
          <w:tcPr>
            <w:tcW w:w="2268" w:type="dxa"/>
            <w:vAlign w:val="center"/>
          </w:tcPr>
          <w:p w14:paraId="335296D5">
            <w:pPr>
              <w:jc w:val="center"/>
              <w:rPr>
                <w:rFonts w:eastAsia="宋体"/>
                <w:color w:val="auto"/>
                <w:kern w:val="2"/>
                <w:sz w:val="21"/>
                <w:szCs w:val="22"/>
                <w:lang w:eastAsia="zh-CN" w:bidi="ar-SA"/>
              </w:rPr>
            </w:pPr>
            <w:r>
              <w:rPr>
                <w:rFonts w:hint="eastAsia" w:eastAsia="宋体"/>
                <w:color w:val="auto"/>
                <w:kern w:val="2"/>
                <w:sz w:val="21"/>
                <w:szCs w:val="21"/>
                <w:lang w:eastAsia="zh-CN" w:bidi="ar-SA"/>
              </w:rPr>
              <w:t>签约合同价的</w:t>
            </w:r>
            <w:r>
              <w:rPr>
                <w:rFonts w:hint="eastAsia" w:eastAsia="宋体"/>
                <w:color w:val="auto"/>
                <w:kern w:val="2"/>
                <w:sz w:val="21"/>
                <w:szCs w:val="21"/>
                <w:u w:val="single"/>
                <w:lang w:eastAsia="zh-CN" w:bidi="ar-SA"/>
              </w:rPr>
              <w:t xml:space="preserve"> </w:t>
            </w:r>
            <w:r>
              <w:rPr>
                <w:rFonts w:eastAsia="宋体"/>
                <w:color w:val="auto"/>
                <w:kern w:val="2"/>
                <w:sz w:val="21"/>
                <w:szCs w:val="21"/>
                <w:u w:val="single"/>
                <w:lang w:eastAsia="zh-CN" w:bidi="ar-SA"/>
              </w:rPr>
              <w:t>10</w:t>
            </w:r>
            <w:r>
              <w:rPr>
                <w:rFonts w:hint="eastAsia" w:eastAsia="宋体"/>
                <w:color w:val="auto"/>
                <w:kern w:val="2"/>
                <w:sz w:val="21"/>
                <w:szCs w:val="21"/>
                <w:u w:val="single"/>
                <w:lang w:eastAsia="zh-CN" w:bidi="ar-SA"/>
              </w:rPr>
              <w:t xml:space="preserve"> </w:t>
            </w:r>
            <w:r>
              <w:rPr>
                <w:rFonts w:eastAsia="宋体"/>
                <w:color w:val="auto"/>
                <w:kern w:val="2"/>
                <w:sz w:val="21"/>
                <w:szCs w:val="21"/>
                <w:lang w:eastAsia="zh-CN" w:bidi="ar-SA"/>
              </w:rPr>
              <w:t>﹪</w:t>
            </w:r>
          </w:p>
        </w:tc>
        <w:tc>
          <w:tcPr>
            <w:tcW w:w="1475" w:type="dxa"/>
            <w:vAlign w:val="center"/>
          </w:tcPr>
          <w:p w14:paraId="027136DC">
            <w:pPr>
              <w:tabs>
                <w:tab w:val="left" w:pos="360"/>
              </w:tabs>
              <w:jc w:val="center"/>
              <w:rPr>
                <w:rFonts w:eastAsia="宋体"/>
                <w:color w:val="auto"/>
                <w:kern w:val="2"/>
                <w:sz w:val="21"/>
                <w:szCs w:val="22"/>
                <w:lang w:eastAsia="zh-CN" w:bidi="ar-SA"/>
              </w:rPr>
            </w:pPr>
          </w:p>
        </w:tc>
      </w:tr>
    </w:tbl>
    <w:p w14:paraId="1831875B">
      <w:pPr>
        <w:topLinePunct/>
        <w:spacing w:line="360" w:lineRule="exact"/>
        <w:ind w:firstLine="4500" w:firstLineChars="1875"/>
        <w:rPr>
          <w:color w:val="auto"/>
          <w:lang w:eastAsia="zh-CN"/>
        </w:rPr>
        <w:sectPr>
          <w:footnotePr>
            <w:numFmt w:val="decimalEnclosedCircleChinese"/>
            <w:numRestart w:val="eachPage"/>
          </w:footnotePr>
          <w:pgSz w:w="11906" w:h="16838"/>
          <w:pgMar w:top="1418" w:right="1588" w:bottom="1418" w:left="1588" w:header="680" w:footer="992" w:gutter="0"/>
          <w:cols w:space="720" w:num="1"/>
          <w:docGrid w:linePitch="326" w:charSpace="0"/>
        </w:sectPr>
      </w:pPr>
    </w:p>
    <w:p w14:paraId="45DFB13E">
      <w:pPr>
        <w:pStyle w:val="6"/>
        <w:rPr>
          <w:color w:val="auto"/>
          <w:lang w:eastAsia="zh-CN"/>
        </w:rPr>
      </w:pPr>
      <w:bookmarkStart w:id="939" w:name="_Toc4363"/>
      <w:r>
        <w:rPr>
          <w:rFonts w:hint="eastAsia"/>
          <w:color w:val="auto"/>
          <w:lang w:eastAsia="zh-CN"/>
        </w:rPr>
        <w:t>二</w:t>
      </w:r>
      <w:r>
        <w:rPr>
          <w:color w:val="auto"/>
          <w:lang w:eastAsia="zh-CN"/>
        </w:rPr>
        <w:t>、法定代表人身份证明</w:t>
      </w:r>
      <w:bookmarkEnd w:id="939"/>
    </w:p>
    <w:p w14:paraId="319F5FD5">
      <w:pPr>
        <w:rPr>
          <w:rFonts w:eastAsiaTheme="minorEastAsia"/>
          <w:color w:val="auto"/>
          <w:lang w:eastAsia="zh-CN"/>
        </w:rPr>
      </w:pPr>
    </w:p>
    <w:p w14:paraId="4A2C2CB8">
      <w:pPr>
        <w:spacing w:line="500" w:lineRule="exact"/>
        <w:ind w:firstLine="480" w:firstLineChars="200"/>
        <w:jc w:val="both"/>
        <w:rPr>
          <w:rFonts w:hint="eastAsia" w:ascii="宋体" w:hAnsi="宋体" w:eastAsia="宋体"/>
          <w:color w:val="auto"/>
          <w:kern w:val="2"/>
          <w:lang w:eastAsia="zh-CN" w:bidi="ar-SA"/>
        </w:rPr>
      </w:pPr>
      <w:r>
        <w:rPr>
          <w:rFonts w:hint="eastAsia" w:ascii="宋体" w:hAnsi="宋体" w:eastAsia="宋体"/>
          <w:color w:val="auto"/>
          <w:kern w:val="2"/>
          <w:lang w:eastAsia="zh-CN" w:bidi="ar-SA"/>
        </w:rPr>
        <w:t>投标人名称：</w:t>
      </w:r>
      <w:r>
        <w:rPr>
          <w:rFonts w:hint="eastAsia" w:ascii="宋体" w:hAnsi="宋体" w:eastAsia="宋体"/>
          <w:color w:val="auto"/>
          <w:kern w:val="2"/>
          <w:u w:val="single"/>
          <w:lang w:eastAsia="zh-CN" w:bidi="ar-SA"/>
        </w:rPr>
        <w:t xml:space="preserve">                        </w:t>
      </w:r>
    </w:p>
    <w:p w14:paraId="1BBC6D7B">
      <w:pPr>
        <w:spacing w:line="500" w:lineRule="exact"/>
        <w:ind w:firstLine="480" w:firstLineChars="200"/>
        <w:jc w:val="both"/>
        <w:rPr>
          <w:rFonts w:hint="eastAsia" w:ascii="宋体" w:hAnsi="宋体" w:eastAsia="宋体"/>
          <w:color w:val="auto"/>
          <w:kern w:val="2"/>
          <w:lang w:eastAsia="zh-CN" w:bidi="ar-SA"/>
        </w:rPr>
      </w:pPr>
      <w:r>
        <w:rPr>
          <w:rFonts w:hint="eastAsia" w:ascii="宋体" w:hAnsi="宋体" w:eastAsia="宋体"/>
          <w:color w:val="auto"/>
          <w:kern w:val="2"/>
          <w:lang w:eastAsia="zh-CN" w:bidi="ar-SA"/>
        </w:rPr>
        <w:t>姓名：</w:t>
      </w:r>
      <w:r>
        <w:rPr>
          <w:rFonts w:ascii="宋体" w:hAnsi="宋体" w:eastAsia="宋体"/>
          <w:color w:val="auto"/>
          <w:kern w:val="2"/>
          <w:u w:val="single"/>
          <w:lang w:eastAsia="zh-CN" w:bidi="ar-SA"/>
        </w:rPr>
        <w:t xml:space="preserve">   </w:t>
      </w:r>
      <w:r>
        <w:rPr>
          <w:rFonts w:hint="eastAsia" w:ascii="宋体" w:hAnsi="宋体" w:eastAsia="宋体"/>
          <w:color w:val="auto"/>
          <w:kern w:val="2"/>
          <w:u w:val="single"/>
          <w:lang w:eastAsia="zh-CN" w:bidi="ar-SA"/>
        </w:rPr>
        <w:t xml:space="preserve">        </w:t>
      </w:r>
      <w:r>
        <w:rPr>
          <w:rFonts w:hint="eastAsia" w:ascii="宋体" w:hAnsi="宋体" w:eastAsia="宋体"/>
          <w:color w:val="auto"/>
          <w:kern w:val="2"/>
          <w:lang w:eastAsia="zh-CN" w:bidi="ar-SA"/>
        </w:rPr>
        <w:t xml:space="preserve"> 性别：</w:t>
      </w:r>
      <w:r>
        <w:rPr>
          <w:rFonts w:hint="eastAsia" w:ascii="宋体" w:hAnsi="宋体" w:eastAsia="宋体"/>
          <w:color w:val="auto"/>
          <w:kern w:val="2"/>
          <w:u w:val="single"/>
          <w:lang w:eastAsia="zh-CN" w:bidi="ar-SA"/>
        </w:rPr>
        <w:t xml:space="preserve">   　　 </w:t>
      </w:r>
      <w:r>
        <w:rPr>
          <w:rFonts w:hint="eastAsia" w:ascii="宋体" w:hAnsi="宋体" w:eastAsia="宋体"/>
          <w:color w:val="auto"/>
          <w:kern w:val="2"/>
          <w:lang w:eastAsia="zh-CN" w:bidi="ar-SA"/>
        </w:rPr>
        <w:t xml:space="preserve">  年龄：</w:t>
      </w:r>
      <w:r>
        <w:rPr>
          <w:rFonts w:hint="eastAsia" w:ascii="宋体" w:hAnsi="宋体" w:eastAsia="宋体"/>
          <w:color w:val="auto"/>
          <w:kern w:val="2"/>
          <w:u w:val="single"/>
          <w:lang w:eastAsia="zh-CN" w:bidi="ar-SA"/>
        </w:rPr>
        <w:t xml:space="preserve">   　   </w:t>
      </w:r>
      <w:r>
        <w:rPr>
          <w:rFonts w:hint="eastAsia" w:ascii="宋体" w:hAnsi="宋体" w:eastAsia="宋体"/>
          <w:color w:val="auto"/>
          <w:kern w:val="2"/>
          <w:lang w:eastAsia="zh-CN" w:bidi="ar-SA"/>
        </w:rPr>
        <w:t xml:space="preserve">  职务：</w:t>
      </w:r>
      <w:r>
        <w:rPr>
          <w:rFonts w:hint="eastAsia" w:ascii="宋体" w:hAnsi="宋体" w:eastAsia="宋体"/>
          <w:color w:val="auto"/>
          <w:kern w:val="2"/>
          <w:u w:val="single"/>
          <w:lang w:eastAsia="zh-CN" w:bidi="ar-SA"/>
        </w:rPr>
        <w:t xml:space="preserve">        </w:t>
      </w:r>
    </w:p>
    <w:p w14:paraId="26C0CAF9">
      <w:pPr>
        <w:spacing w:line="500" w:lineRule="exact"/>
        <w:ind w:firstLine="480" w:firstLineChars="200"/>
        <w:jc w:val="both"/>
        <w:rPr>
          <w:rFonts w:hint="eastAsia" w:ascii="宋体" w:hAnsi="宋体" w:eastAsia="宋体"/>
          <w:color w:val="auto"/>
          <w:kern w:val="2"/>
          <w:lang w:eastAsia="zh-CN" w:bidi="ar-SA"/>
        </w:rPr>
      </w:pPr>
      <w:r>
        <w:rPr>
          <w:rFonts w:hint="eastAsia" w:ascii="宋体" w:hAnsi="宋体" w:eastAsia="宋体"/>
          <w:color w:val="auto"/>
          <w:kern w:val="2"/>
          <w:lang w:eastAsia="zh-CN" w:bidi="ar-SA"/>
        </w:rPr>
        <w:t>系</w:t>
      </w:r>
      <w:r>
        <w:rPr>
          <w:rFonts w:hint="eastAsia" w:ascii="宋体" w:hAnsi="宋体" w:eastAsia="宋体"/>
          <w:color w:val="auto"/>
          <w:kern w:val="2"/>
          <w:u w:val="single"/>
          <w:lang w:eastAsia="zh-CN" w:bidi="ar-SA"/>
        </w:rPr>
        <w:t xml:space="preserve">                   </w:t>
      </w:r>
      <w:r>
        <w:rPr>
          <w:rFonts w:hint="eastAsia" w:ascii="宋体" w:hAnsi="宋体" w:eastAsia="宋体"/>
          <w:color w:val="auto"/>
          <w:kern w:val="2"/>
          <w:lang w:eastAsia="zh-CN" w:bidi="ar-SA"/>
        </w:rPr>
        <w:t>（投标人名称）的法定代表人。</w:t>
      </w:r>
    </w:p>
    <w:p w14:paraId="4D376A47">
      <w:pPr>
        <w:spacing w:line="500" w:lineRule="exact"/>
        <w:ind w:firstLine="480" w:firstLineChars="200"/>
        <w:jc w:val="both"/>
        <w:rPr>
          <w:rFonts w:hint="eastAsia" w:ascii="宋体" w:hAnsi="宋体" w:eastAsia="宋体"/>
          <w:color w:val="auto"/>
          <w:kern w:val="2"/>
          <w:lang w:eastAsia="zh-CN" w:bidi="ar-SA"/>
        </w:rPr>
      </w:pPr>
    </w:p>
    <w:p w14:paraId="61F50BFE">
      <w:pPr>
        <w:spacing w:line="500" w:lineRule="exact"/>
        <w:ind w:firstLine="480" w:firstLineChars="200"/>
        <w:jc w:val="both"/>
        <w:rPr>
          <w:rFonts w:hint="eastAsia" w:ascii="宋体" w:hAnsi="宋体" w:eastAsia="宋体"/>
          <w:color w:val="auto"/>
          <w:kern w:val="2"/>
          <w:lang w:eastAsia="zh-CN" w:bidi="ar-SA"/>
        </w:rPr>
      </w:pPr>
      <w:r>
        <w:rPr>
          <w:rFonts w:hint="eastAsia" w:ascii="宋体" w:hAnsi="宋体" w:eastAsia="宋体"/>
          <w:color w:val="auto"/>
          <w:kern w:val="2"/>
          <w:lang w:eastAsia="zh-CN" w:bidi="ar-SA"/>
        </w:rPr>
        <w:t>特此证明。</w:t>
      </w:r>
    </w:p>
    <w:p w14:paraId="10DA0630">
      <w:pPr>
        <w:spacing w:line="500" w:lineRule="exact"/>
        <w:ind w:firstLine="480" w:firstLineChars="200"/>
        <w:jc w:val="both"/>
        <w:rPr>
          <w:rFonts w:hint="eastAsia" w:ascii="宋体" w:hAnsi="宋体" w:eastAsia="宋体"/>
          <w:color w:val="auto"/>
          <w:kern w:val="2"/>
          <w:lang w:eastAsia="zh-CN" w:bidi="ar-SA"/>
        </w:rPr>
      </w:pPr>
    </w:p>
    <w:p w14:paraId="172C1D08">
      <w:pPr>
        <w:pStyle w:val="33"/>
        <w:ind w:firstLine="482"/>
        <w:rPr>
          <w:rFonts w:hint="eastAsia" w:ascii="宋体" w:hAnsi="宋体" w:cs="Times New Roman"/>
          <w:b/>
          <w:bCs/>
          <w:color w:val="auto"/>
          <w:kern w:val="2"/>
          <w:sz w:val="24"/>
          <w:szCs w:val="24"/>
        </w:rPr>
      </w:pPr>
      <w:r>
        <w:rPr>
          <w:rFonts w:ascii="宋体" w:hAnsi="宋体" w:cs="Times New Roman"/>
          <w:b/>
          <w:bCs/>
          <w:color w:val="auto"/>
          <w:kern w:val="2"/>
          <w:sz w:val="24"/>
          <w:szCs w:val="24"/>
        </w:rPr>
        <w:t>1</w:t>
      </w:r>
      <w:r>
        <w:rPr>
          <w:rFonts w:hint="eastAsia" w:ascii="宋体" w:hAnsi="宋体" w:cs="Times New Roman"/>
          <w:b/>
          <w:bCs/>
          <w:color w:val="auto"/>
          <w:kern w:val="2"/>
          <w:sz w:val="24"/>
          <w:szCs w:val="24"/>
        </w:rPr>
        <w:t>、投标人应将法定代表人身份证（双面）扫描上传至交易系统。</w:t>
      </w:r>
    </w:p>
    <w:p w14:paraId="12627B39">
      <w:pPr>
        <w:spacing w:line="360" w:lineRule="auto"/>
        <w:ind w:firstLine="482" w:firstLineChars="200"/>
        <w:rPr>
          <w:rFonts w:hint="eastAsia" w:ascii="宋体" w:hAnsi="宋体" w:eastAsia="宋体"/>
          <w:b/>
          <w:bCs/>
          <w:color w:val="auto"/>
          <w:kern w:val="2"/>
          <w:lang w:eastAsia="zh-CN" w:bidi="ar-SA"/>
        </w:rPr>
      </w:pPr>
      <w:r>
        <w:rPr>
          <w:rFonts w:ascii="宋体" w:hAnsi="宋体" w:eastAsia="宋体"/>
          <w:b/>
          <w:bCs/>
          <w:color w:val="auto"/>
          <w:kern w:val="2"/>
          <w:lang w:eastAsia="zh-CN" w:bidi="ar-SA"/>
        </w:rPr>
        <w:t>2</w:t>
      </w:r>
      <w:r>
        <w:rPr>
          <w:rFonts w:hint="eastAsia" w:ascii="宋体" w:hAnsi="宋体" w:eastAsia="宋体"/>
          <w:b/>
          <w:bCs/>
          <w:color w:val="auto"/>
          <w:kern w:val="2"/>
          <w:lang w:eastAsia="zh-CN" w:bidi="ar-SA"/>
        </w:rPr>
        <w:t>、</w:t>
      </w:r>
      <w:r>
        <w:rPr>
          <w:rFonts w:ascii="宋体" w:hAnsi="宋体" w:eastAsia="宋体"/>
          <w:b/>
          <w:bCs/>
          <w:color w:val="auto"/>
          <w:kern w:val="2"/>
          <w:lang w:eastAsia="zh-CN" w:bidi="ar-SA"/>
        </w:rPr>
        <w:t>投标人如果由法定代表人出席开标活动的，法定代表人</w:t>
      </w:r>
      <w:r>
        <w:rPr>
          <w:rFonts w:hint="eastAsia" w:ascii="宋体" w:hAnsi="宋体" w:eastAsia="宋体"/>
          <w:b/>
          <w:bCs/>
          <w:color w:val="auto"/>
          <w:kern w:val="2"/>
          <w:lang w:eastAsia="zh-CN" w:bidi="ar-SA"/>
        </w:rPr>
        <w:t>需持身份证原件和法定代表人身份证明原件进入开标现场。</w:t>
      </w:r>
    </w:p>
    <w:p w14:paraId="671DFFD6">
      <w:pPr>
        <w:spacing w:line="500" w:lineRule="exact"/>
        <w:ind w:firstLine="480" w:firstLineChars="200"/>
        <w:jc w:val="both"/>
        <w:rPr>
          <w:rFonts w:hint="eastAsia" w:ascii="宋体" w:hAnsi="宋体" w:eastAsia="宋体"/>
          <w:color w:val="auto"/>
          <w:kern w:val="2"/>
          <w:lang w:eastAsia="zh-CN" w:bidi="ar-SA"/>
        </w:rPr>
      </w:pPr>
    </w:p>
    <w:p w14:paraId="04ECB58C">
      <w:pPr>
        <w:spacing w:line="360" w:lineRule="auto"/>
        <w:ind w:firstLine="3960" w:firstLineChars="1650"/>
        <w:jc w:val="both"/>
        <w:rPr>
          <w:rFonts w:hint="eastAsia" w:ascii="宋体" w:hAnsi="宋体" w:eastAsia="宋体"/>
          <w:color w:val="auto"/>
          <w:kern w:val="2"/>
          <w:lang w:eastAsia="zh-CN" w:bidi="ar-SA"/>
        </w:rPr>
      </w:pPr>
      <w:bookmarkStart w:id="940" w:name="_Hlk39865601"/>
      <w:r>
        <w:rPr>
          <w:rFonts w:hint="eastAsia" w:ascii="宋体" w:hAnsi="宋体" w:eastAsia="宋体"/>
          <w:color w:val="auto"/>
          <w:kern w:val="2"/>
          <w:lang w:eastAsia="zh-CN" w:bidi="ar-SA"/>
        </w:rPr>
        <w:t>法定代表人：</w:t>
      </w:r>
      <w:r>
        <w:rPr>
          <w:rFonts w:hint="eastAsia" w:ascii="宋体" w:hAnsi="宋体" w:eastAsia="宋体"/>
          <w:color w:val="auto"/>
          <w:kern w:val="2"/>
          <w:u w:val="single"/>
          <w:lang w:eastAsia="zh-CN" w:bidi="ar-SA"/>
        </w:rPr>
        <w:t>（加盖法定代表人电子签名）</w:t>
      </w:r>
    </w:p>
    <w:p w14:paraId="07FD788E">
      <w:pPr>
        <w:spacing w:line="360" w:lineRule="auto"/>
        <w:ind w:firstLine="3960" w:firstLineChars="1650"/>
        <w:jc w:val="both"/>
        <w:rPr>
          <w:rFonts w:hint="eastAsia" w:ascii="宋体" w:hAnsi="宋体" w:eastAsia="宋体"/>
          <w:color w:val="auto"/>
          <w:kern w:val="2"/>
          <w:lang w:eastAsia="zh-CN" w:bidi="ar-SA"/>
        </w:rPr>
      </w:pPr>
      <w:r>
        <w:rPr>
          <w:rFonts w:ascii="宋体" w:hAnsi="宋体" w:eastAsia="宋体"/>
          <w:color w:val="auto"/>
          <w:kern w:val="2"/>
          <w:lang w:eastAsia="zh-CN" w:bidi="ar-SA"/>
        </w:rPr>
        <w:t>投 标 人：</w:t>
      </w:r>
      <w:r>
        <w:rPr>
          <w:rFonts w:ascii="宋体" w:hAnsi="宋体" w:eastAsia="宋体"/>
          <w:color w:val="auto"/>
          <w:kern w:val="2"/>
          <w:u w:val="single"/>
          <w:lang w:eastAsia="zh-CN" w:bidi="ar-SA"/>
        </w:rPr>
        <w:t xml:space="preserve">   </w:t>
      </w:r>
      <w:r>
        <w:rPr>
          <w:rFonts w:hint="eastAsia" w:ascii="宋体" w:hAnsi="宋体" w:eastAsia="宋体"/>
          <w:color w:val="auto"/>
          <w:kern w:val="2"/>
          <w:u w:val="single"/>
          <w:lang w:eastAsia="zh-CN" w:bidi="ar-SA"/>
        </w:rPr>
        <w:t>（加盖投标人单位电子公章）</w:t>
      </w:r>
      <w:r>
        <w:rPr>
          <w:rFonts w:ascii="宋体" w:hAnsi="宋体" w:eastAsia="宋体"/>
          <w:color w:val="auto"/>
          <w:kern w:val="2"/>
          <w:u w:val="single"/>
          <w:lang w:eastAsia="zh-CN" w:bidi="ar-SA"/>
        </w:rPr>
        <w:t xml:space="preserve">   </w:t>
      </w:r>
    </w:p>
    <w:bookmarkEnd w:id="940"/>
    <w:p w14:paraId="22069802">
      <w:pPr>
        <w:spacing w:line="360" w:lineRule="auto"/>
        <w:ind w:firstLine="480" w:firstLineChars="200"/>
        <w:jc w:val="both"/>
        <w:rPr>
          <w:rFonts w:hint="eastAsia" w:ascii="宋体" w:hAnsi="宋体" w:eastAsia="宋体"/>
          <w:color w:val="auto"/>
          <w:kern w:val="2"/>
          <w:lang w:eastAsia="zh-CN" w:bidi="ar-SA"/>
        </w:rPr>
      </w:pPr>
      <w:r>
        <w:rPr>
          <w:rFonts w:hint="eastAsia" w:ascii="宋体" w:hAnsi="宋体" w:eastAsia="宋体"/>
          <w:color w:val="auto"/>
          <w:kern w:val="2"/>
          <w:lang w:eastAsia="zh-CN" w:bidi="ar-SA"/>
        </w:rPr>
        <w:t xml:space="preserve">                                         </w:t>
      </w:r>
      <w:r>
        <w:rPr>
          <w:rFonts w:hint="eastAsia" w:ascii="宋体" w:hAnsi="宋体" w:eastAsia="宋体"/>
          <w:color w:val="auto"/>
          <w:kern w:val="2"/>
          <w:u w:val="single"/>
          <w:lang w:eastAsia="zh-CN" w:bidi="ar-SA"/>
        </w:rPr>
        <w:t xml:space="preserve">      </w:t>
      </w:r>
      <w:r>
        <w:rPr>
          <w:rFonts w:hint="eastAsia" w:ascii="宋体" w:hAnsi="宋体" w:eastAsia="宋体"/>
          <w:color w:val="auto"/>
          <w:kern w:val="2"/>
          <w:lang w:eastAsia="zh-CN" w:bidi="ar-SA"/>
        </w:rPr>
        <w:t>年</w:t>
      </w:r>
      <w:r>
        <w:rPr>
          <w:rFonts w:hint="eastAsia" w:ascii="宋体" w:hAnsi="宋体" w:eastAsia="宋体"/>
          <w:color w:val="auto"/>
          <w:kern w:val="2"/>
          <w:u w:val="single"/>
          <w:lang w:eastAsia="zh-CN" w:bidi="ar-SA"/>
        </w:rPr>
        <w:t xml:space="preserve">    </w:t>
      </w:r>
      <w:r>
        <w:rPr>
          <w:rFonts w:hint="eastAsia" w:ascii="宋体" w:hAnsi="宋体" w:eastAsia="宋体"/>
          <w:color w:val="auto"/>
          <w:kern w:val="2"/>
          <w:lang w:eastAsia="zh-CN" w:bidi="ar-SA"/>
        </w:rPr>
        <w:t>月</w:t>
      </w:r>
      <w:r>
        <w:rPr>
          <w:rFonts w:hint="eastAsia" w:ascii="宋体" w:hAnsi="宋体" w:eastAsia="宋体"/>
          <w:color w:val="auto"/>
          <w:kern w:val="2"/>
          <w:u w:val="single"/>
          <w:lang w:eastAsia="zh-CN" w:bidi="ar-SA"/>
        </w:rPr>
        <w:t xml:space="preserve">    </w:t>
      </w:r>
      <w:r>
        <w:rPr>
          <w:rFonts w:hint="eastAsia" w:ascii="宋体" w:hAnsi="宋体" w:eastAsia="宋体"/>
          <w:color w:val="auto"/>
          <w:kern w:val="2"/>
          <w:lang w:eastAsia="zh-CN" w:bidi="ar-SA"/>
        </w:rPr>
        <w:t>日</w:t>
      </w:r>
    </w:p>
    <w:p w14:paraId="17D6366F">
      <w:pPr>
        <w:rPr>
          <w:rFonts w:eastAsia="宋体"/>
          <w:color w:val="auto"/>
          <w:lang w:eastAsia="zh-CN"/>
        </w:rPr>
        <w:sectPr>
          <w:footnotePr>
            <w:numFmt w:val="decimalEnclosedCircleChinese"/>
            <w:numRestart w:val="eachPage"/>
          </w:footnotePr>
          <w:pgSz w:w="11906" w:h="16838"/>
          <w:pgMar w:top="1418" w:right="1588" w:bottom="1418" w:left="1588" w:header="680" w:footer="992" w:gutter="0"/>
          <w:cols w:space="720" w:num="1"/>
          <w:docGrid w:linePitch="326" w:charSpace="0"/>
        </w:sectPr>
      </w:pPr>
    </w:p>
    <w:p w14:paraId="5EA82138">
      <w:pPr>
        <w:pStyle w:val="6"/>
        <w:rPr>
          <w:color w:val="auto"/>
          <w:lang w:eastAsia="zh-CN"/>
        </w:rPr>
      </w:pPr>
      <w:bookmarkStart w:id="941" w:name="_Toc24769"/>
      <w:r>
        <w:rPr>
          <w:rFonts w:hint="eastAsia"/>
          <w:color w:val="auto"/>
          <w:lang w:eastAsia="zh-CN"/>
        </w:rPr>
        <w:t>二</w:t>
      </w:r>
      <w:r>
        <w:rPr>
          <w:color w:val="auto"/>
          <w:lang w:eastAsia="zh-CN"/>
        </w:rPr>
        <w:t>、</w:t>
      </w:r>
      <w:r>
        <w:rPr>
          <w:rFonts w:hint="eastAsia"/>
          <w:color w:val="auto"/>
          <w:lang w:eastAsia="zh-CN"/>
        </w:rPr>
        <w:t>授权委托书</w:t>
      </w:r>
      <w:bookmarkEnd w:id="941"/>
    </w:p>
    <w:p w14:paraId="730F485E">
      <w:pPr>
        <w:rPr>
          <w:rFonts w:eastAsia="宋体"/>
          <w:color w:val="auto"/>
          <w:lang w:eastAsia="zh-CN"/>
        </w:rPr>
      </w:pPr>
    </w:p>
    <w:p w14:paraId="2C5834FC">
      <w:pPr>
        <w:wordWrap w:val="0"/>
        <w:spacing w:line="360" w:lineRule="auto"/>
        <w:jc w:val="center"/>
        <w:rPr>
          <w:rFonts w:eastAsia="宋体" w:cs="宋体"/>
          <w:b/>
          <w:color w:val="auto"/>
          <w:sz w:val="32"/>
          <w:szCs w:val="32"/>
          <w:lang w:eastAsia="zh-CN" w:bidi="ar-SA"/>
        </w:rPr>
      </w:pPr>
      <w:r>
        <w:rPr>
          <w:rFonts w:hint="eastAsia" w:eastAsia="宋体" w:cs="宋体"/>
          <w:b/>
          <w:color w:val="auto"/>
          <w:sz w:val="32"/>
          <w:szCs w:val="32"/>
          <w:lang w:eastAsia="zh-CN" w:bidi="ar-SA"/>
        </w:rPr>
        <w:t>（一）</w:t>
      </w:r>
      <w:r>
        <w:rPr>
          <w:rFonts w:eastAsia="宋体" w:cs="宋体"/>
          <w:b/>
          <w:color w:val="auto"/>
          <w:sz w:val="32"/>
          <w:szCs w:val="32"/>
          <w:lang w:eastAsia="zh-CN" w:bidi="ar-SA"/>
        </w:rPr>
        <w:t>授权委托书</w:t>
      </w:r>
    </w:p>
    <w:p w14:paraId="4EF584AF">
      <w:pPr>
        <w:wordWrap w:val="0"/>
        <w:spacing w:line="360" w:lineRule="auto"/>
        <w:ind w:firstLine="480" w:firstLineChars="200"/>
        <w:jc w:val="both"/>
        <w:rPr>
          <w:rFonts w:eastAsia="宋体"/>
          <w:color w:val="auto"/>
          <w:lang w:eastAsia="zh-CN" w:bidi="ar-SA"/>
        </w:rPr>
      </w:pPr>
      <w:r>
        <w:rPr>
          <w:rFonts w:hAnsi="宋体" w:eastAsia="宋体"/>
          <w:color w:val="auto"/>
          <w:lang w:eastAsia="zh-CN" w:bidi="ar-SA"/>
        </w:rPr>
        <w:t>本人</w:t>
      </w:r>
      <w:r>
        <w:rPr>
          <w:rFonts w:eastAsia="宋体"/>
          <w:color w:val="auto"/>
          <w:u w:val="single"/>
          <w:lang w:eastAsia="zh-CN" w:bidi="ar-SA"/>
        </w:rPr>
        <w:t xml:space="preserve">      </w:t>
      </w:r>
      <w:r>
        <w:rPr>
          <w:rFonts w:hAnsi="宋体" w:eastAsia="宋体"/>
          <w:color w:val="auto"/>
          <w:lang w:eastAsia="zh-CN" w:bidi="ar-SA"/>
        </w:rPr>
        <w:t>（姓名）系</w:t>
      </w:r>
      <w:r>
        <w:rPr>
          <w:rFonts w:eastAsia="宋体"/>
          <w:color w:val="auto"/>
          <w:u w:val="single"/>
          <w:lang w:eastAsia="zh-CN" w:bidi="ar-SA"/>
        </w:rPr>
        <w:t xml:space="preserve">       </w:t>
      </w:r>
      <w:r>
        <w:rPr>
          <w:rFonts w:hAnsi="宋体" w:eastAsia="宋体"/>
          <w:color w:val="auto"/>
          <w:lang w:eastAsia="zh-CN" w:bidi="ar-SA"/>
        </w:rPr>
        <w:t>（投标人名称）的法定代表人，现委托</w:t>
      </w:r>
      <w:r>
        <w:rPr>
          <w:rFonts w:eastAsia="宋体"/>
          <w:color w:val="auto"/>
          <w:u w:val="single"/>
          <w:lang w:eastAsia="zh-CN" w:bidi="ar-SA"/>
        </w:rPr>
        <w:t xml:space="preserve">       </w:t>
      </w:r>
      <w:r>
        <w:rPr>
          <w:rFonts w:hAnsi="宋体" w:eastAsia="宋体"/>
          <w:color w:val="auto"/>
          <w:lang w:eastAsia="zh-CN" w:bidi="ar-SA"/>
        </w:rPr>
        <w:t>（姓名）为我方代理人。代理人根据授权，以我方名义签署、澄清确认、递交、撤回、修改</w:t>
      </w:r>
      <w:r>
        <w:rPr>
          <w:rFonts w:hint="eastAsia" w:eastAsia="宋体" w:cs="宋体"/>
          <w:color w:val="auto"/>
          <w:u w:val="single"/>
          <w:lang w:eastAsia="zh-CN" w:bidi="ar-SA"/>
        </w:rPr>
        <w:t xml:space="preserve"> </w:t>
      </w:r>
      <w:r>
        <w:rPr>
          <w:rFonts w:eastAsia="宋体" w:cs="宋体"/>
          <w:color w:val="auto"/>
          <w:u w:val="single"/>
          <w:lang w:eastAsia="zh-CN" w:bidi="ar-SA"/>
        </w:rPr>
        <w:t xml:space="preserve">        </w:t>
      </w:r>
      <w:r>
        <w:rPr>
          <w:rFonts w:hint="eastAsia" w:eastAsia="宋体" w:cs="宋体"/>
          <w:color w:val="auto"/>
          <w:u w:val="single"/>
          <w:lang w:eastAsia="zh-CN" w:bidi="ar-SA"/>
        </w:rPr>
        <w:t>（项目名称）</w:t>
      </w:r>
      <w:r>
        <w:rPr>
          <w:rFonts w:hAnsi="宋体" w:eastAsia="宋体"/>
          <w:color w:val="auto"/>
          <w:u w:val="single"/>
          <w:lang w:eastAsia="zh-CN" w:bidi="ar-SA"/>
        </w:rPr>
        <w:t xml:space="preserve">  </w:t>
      </w:r>
      <w:r>
        <w:rPr>
          <w:rFonts w:hAnsi="宋体" w:eastAsia="宋体"/>
          <w:color w:val="auto"/>
          <w:lang w:eastAsia="zh-CN" w:bidi="ar-SA"/>
        </w:rPr>
        <w:t xml:space="preserve">  </w:t>
      </w:r>
      <w:r>
        <w:rPr>
          <w:rFonts w:hAnsi="宋体" w:eastAsia="宋体"/>
          <w:color w:val="auto"/>
          <w:u w:val="single"/>
          <w:lang w:eastAsia="zh-CN" w:bidi="ar-SA"/>
        </w:rPr>
        <w:t xml:space="preserve">             </w:t>
      </w:r>
      <w:r>
        <w:rPr>
          <w:rFonts w:hAnsi="宋体" w:eastAsia="宋体"/>
          <w:color w:val="auto"/>
          <w:lang w:eastAsia="zh-CN" w:bidi="ar-SA"/>
        </w:rPr>
        <w:t>标段投标文件、签订合同和处理有关事直，其法律后果由我方承担。</w:t>
      </w:r>
    </w:p>
    <w:p w14:paraId="3BEFFEF2">
      <w:pPr>
        <w:wordWrap w:val="0"/>
        <w:spacing w:line="360" w:lineRule="auto"/>
        <w:ind w:firstLine="480" w:firstLineChars="200"/>
        <w:jc w:val="both"/>
        <w:rPr>
          <w:rFonts w:eastAsia="宋体"/>
          <w:color w:val="auto"/>
          <w:lang w:eastAsia="zh-CN" w:bidi="ar-SA"/>
        </w:rPr>
      </w:pPr>
      <w:r>
        <w:rPr>
          <w:rFonts w:hAnsi="宋体" w:eastAsia="宋体"/>
          <w:color w:val="auto"/>
          <w:lang w:eastAsia="zh-CN" w:bidi="ar-SA"/>
        </w:rPr>
        <w:t>委托期限：自本委托书签署之日起至投标有效期期满。</w:t>
      </w:r>
    </w:p>
    <w:p w14:paraId="01146DCC">
      <w:pPr>
        <w:wordWrap w:val="0"/>
        <w:spacing w:line="360" w:lineRule="auto"/>
        <w:ind w:firstLine="480" w:firstLineChars="200"/>
        <w:jc w:val="both"/>
        <w:rPr>
          <w:rFonts w:eastAsia="宋体"/>
          <w:color w:val="auto"/>
          <w:lang w:eastAsia="zh-CN" w:bidi="ar-SA"/>
        </w:rPr>
      </w:pPr>
      <w:r>
        <w:rPr>
          <w:rFonts w:hAnsi="宋体" w:eastAsia="宋体"/>
          <w:color w:val="auto"/>
          <w:lang w:eastAsia="zh-CN" w:bidi="ar-SA"/>
        </w:rPr>
        <w:t>代理人无转委托权。</w:t>
      </w:r>
    </w:p>
    <w:p w14:paraId="07C4E376">
      <w:pPr>
        <w:wordWrap w:val="0"/>
        <w:spacing w:line="360" w:lineRule="auto"/>
        <w:ind w:firstLine="480" w:firstLineChars="200"/>
        <w:jc w:val="both"/>
        <w:rPr>
          <w:rFonts w:eastAsia="宋体"/>
          <w:color w:val="auto"/>
          <w:lang w:eastAsia="zh-CN" w:bidi="ar-SA"/>
        </w:rPr>
      </w:pPr>
    </w:p>
    <w:p w14:paraId="2756C9C3">
      <w:pPr>
        <w:wordWrap w:val="0"/>
        <w:spacing w:line="360" w:lineRule="auto"/>
        <w:ind w:firstLine="480" w:firstLineChars="200"/>
        <w:jc w:val="both"/>
        <w:rPr>
          <w:rFonts w:eastAsia="宋体"/>
          <w:color w:val="auto"/>
          <w:lang w:eastAsia="zh-CN" w:bidi="ar-SA"/>
        </w:rPr>
      </w:pPr>
      <w:r>
        <w:rPr>
          <w:rFonts w:hAnsi="宋体" w:eastAsia="宋体"/>
          <w:color w:val="auto"/>
          <w:lang w:eastAsia="zh-CN" w:bidi="ar-SA"/>
        </w:rPr>
        <w:t>附：法定代表人身份证及委托代理人身份证</w:t>
      </w:r>
      <w:r>
        <w:rPr>
          <w:rFonts w:hint="eastAsia" w:hAnsi="宋体" w:eastAsia="宋体"/>
          <w:color w:val="auto"/>
          <w:lang w:eastAsia="zh-CN" w:bidi="ar-SA"/>
        </w:rPr>
        <w:t>彩色扫描</w:t>
      </w:r>
      <w:r>
        <w:rPr>
          <w:rFonts w:hAnsi="宋体" w:eastAsia="宋体"/>
          <w:color w:val="auto"/>
          <w:lang w:eastAsia="zh-CN" w:bidi="ar-SA"/>
        </w:rPr>
        <w:t>件。</w:t>
      </w:r>
    </w:p>
    <w:p w14:paraId="4786FD0B">
      <w:pPr>
        <w:wordWrap w:val="0"/>
        <w:spacing w:line="360" w:lineRule="auto"/>
        <w:ind w:firstLine="480" w:firstLineChars="200"/>
        <w:jc w:val="both"/>
        <w:rPr>
          <w:rFonts w:eastAsia="宋体"/>
          <w:color w:val="auto"/>
          <w:lang w:eastAsia="zh-CN" w:bidi="ar-SA"/>
        </w:rPr>
      </w:pPr>
    </w:p>
    <w:p w14:paraId="20A65DDC">
      <w:pPr>
        <w:spacing w:line="400" w:lineRule="exact"/>
        <w:ind w:firstLine="482"/>
        <w:jc w:val="center"/>
        <w:rPr>
          <w:rFonts w:ascii="宋体" w:hAnsi="宋体"/>
          <w:b/>
          <w:color w:val="auto"/>
          <w:lang w:eastAsia="zh-CN"/>
        </w:rPr>
      </w:pPr>
      <w:r>
        <w:rPr>
          <w:rFonts w:hint="eastAsia" w:ascii="宋体" w:hAnsi="宋体"/>
          <w:b/>
          <w:color w:val="auto"/>
          <w:lang w:eastAsia="zh-CN"/>
        </w:rPr>
        <w:t>（上传授权委托书的彩色扫描件）</w:t>
      </w:r>
    </w:p>
    <w:p w14:paraId="296B8E66">
      <w:pPr>
        <w:wordWrap w:val="0"/>
        <w:spacing w:line="360" w:lineRule="auto"/>
        <w:ind w:firstLine="480" w:firstLineChars="200"/>
        <w:jc w:val="both"/>
        <w:rPr>
          <w:rFonts w:eastAsia="宋体"/>
          <w:color w:val="auto"/>
          <w:lang w:eastAsia="zh-CN" w:bidi="ar-SA"/>
        </w:rPr>
      </w:pPr>
    </w:p>
    <w:p w14:paraId="1E42B1DA">
      <w:pPr>
        <w:wordWrap w:val="0"/>
        <w:spacing w:line="360" w:lineRule="auto"/>
        <w:ind w:firstLine="480" w:firstLineChars="200"/>
        <w:jc w:val="both"/>
        <w:rPr>
          <w:rFonts w:eastAsia="宋体"/>
          <w:color w:val="auto"/>
          <w:lang w:eastAsia="zh-CN" w:bidi="ar-SA"/>
        </w:rPr>
      </w:pPr>
    </w:p>
    <w:p w14:paraId="7FADC704">
      <w:pPr>
        <w:wordWrap w:val="0"/>
        <w:spacing w:line="360" w:lineRule="auto"/>
        <w:ind w:firstLine="480" w:firstLineChars="200"/>
        <w:jc w:val="both"/>
        <w:rPr>
          <w:rFonts w:eastAsia="宋体"/>
          <w:color w:val="auto"/>
          <w:lang w:eastAsia="zh-CN" w:bidi="ar-SA"/>
        </w:rPr>
      </w:pPr>
    </w:p>
    <w:p w14:paraId="48B8E7F4">
      <w:pPr>
        <w:wordWrap w:val="0"/>
        <w:spacing w:line="360" w:lineRule="auto"/>
        <w:ind w:firstLine="480" w:firstLineChars="200"/>
        <w:jc w:val="both"/>
        <w:rPr>
          <w:rFonts w:eastAsia="宋体"/>
          <w:color w:val="auto"/>
          <w:lang w:eastAsia="zh-CN" w:bidi="ar-SA"/>
        </w:rPr>
      </w:pPr>
    </w:p>
    <w:p w14:paraId="78A74D16">
      <w:pPr>
        <w:spacing w:line="440" w:lineRule="exact"/>
        <w:ind w:firstLine="3600" w:firstLineChars="1500"/>
        <w:jc w:val="both"/>
        <w:rPr>
          <w:rFonts w:hint="eastAsia" w:ascii="宋体" w:hAnsi="宋体" w:eastAsia="宋体"/>
          <w:color w:val="auto"/>
          <w:kern w:val="2"/>
          <w:lang w:eastAsia="zh-CN" w:bidi="ar-SA"/>
        </w:rPr>
      </w:pPr>
      <w:r>
        <w:rPr>
          <w:rFonts w:hint="eastAsia" w:ascii="宋体" w:hAnsi="宋体" w:eastAsia="宋体"/>
          <w:color w:val="auto"/>
          <w:kern w:val="2"/>
          <w:lang w:eastAsia="zh-CN" w:bidi="ar-SA"/>
        </w:rPr>
        <w:t>投标人：</w:t>
      </w:r>
      <w:r>
        <w:rPr>
          <w:rFonts w:ascii="宋体" w:hAnsi="宋体" w:eastAsia="宋体"/>
          <w:color w:val="auto"/>
          <w:kern w:val="2"/>
          <w:u w:val="single"/>
          <w:lang w:eastAsia="zh-CN" w:bidi="ar-SA"/>
        </w:rPr>
        <w:t xml:space="preserve"> </w:t>
      </w:r>
      <w:r>
        <w:rPr>
          <w:rFonts w:hint="eastAsia" w:ascii="宋体" w:hAnsi="宋体" w:eastAsia="宋体"/>
          <w:color w:val="auto"/>
          <w:kern w:val="2"/>
          <w:u w:val="single"/>
          <w:lang w:eastAsia="zh-CN" w:bidi="ar-SA"/>
        </w:rPr>
        <w:t>（加盖投标人单位公章）</w:t>
      </w:r>
    </w:p>
    <w:p w14:paraId="45452FD7">
      <w:pPr>
        <w:spacing w:line="440" w:lineRule="exact"/>
        <w:ind w:firstLine="480" w:firstLineChars="200"/>
        <w:jc w:val="both"/>
        <w:rPr>
          <w:rFonts w:hint="eastAsia" w:ascii="宋体" w:hAnsi="宋体" w:eastAsia="宋体"/>
          <w:color w:val="auto"/>
          <w:kern w:val="2"/>
          <w:u w:val="single"/>
          <w:lang w:eastAsia="zh-CN" w:bidi="ar-SA"/>
        </w:rPr>
      </w:pPr>
      <w:r>
        <w:rPr>
          <w:rFonts w:hint="eastAsia" w:ascii="宋体" w:hAnsi="宋体" w:eastAsia="宋体"/>
          <w:color w:val="auto"/>
          <w:kern w:val="2"/>
          <w:lang w:eastAsia="zh-CN" w:bidi="ar-SA"/>
        </w:rPr>
        <w:t xml:space="preserve">                          </w:t>
      </w:r>
      <w:r>
        <w:rPr>
          <w:rFonts w:ascii="宋体" w:hAnsi="宋体" w:eastAsia="宋体"/>
          <w:color w:val="auto"/>
          <w:kern w:val="2"/>
          <w:lang w:eastAsia="zh-CN" w:bidi="ar-SA"/>
        </w:rPr>
        <w:t>法定代表人：</w:t>
      </w:r>
      <w:r>
        <w:rPr>
          <w:rFonts w:ascii="宋体" w:hAnsi="宋体" w:eastAsia="宋体"/>
          <w:color w:val="auto"/>
          <w:kern w:val="2"/>
          <w:u w:val="single"/>
          <w:lang w:eastAsia="zh-CN" w:bidi="ar-SA"/>
        </w:rPr>
        <w:t xml:space="preserve"> </w:t>
      </w:r>
      <w:r>
        <w:rPr>
          <w:rFonts w:hint="eastAsia" w:ascii="宋体" w:hAnsi="宋体" w:eastAsia="宋体"/>
          <w:color w:val="auto"/>
          <w:kern w:val="2"/>
          <w:u w:val="single"/>
          <w:lang w:eastAsia="zh-CN" w:bidi="ar-SA"/>
        </w:rPr>
        <w:t xml:space="preserve">（法定代表人签名）    </w:t>
      </w:r>
    </w:p>
    <w:p w14:paraId="0A4925D9">
      <w:pPr>
        <w:spacing w:line="440" w:lineRule="exact"/>
        <w:ind w:firstLine="3600" w:firstLineChars="1500"/>
        <w:jc w:val="both"/>
        <w:rPr>
          <w:rFonts w:hint="eastAsia" w:ascii="宋体" w:hAnsi="宋体" w:eastAsia="宋体"/>
          <w:color w:val="auto"/>
          <w:kern w:val="2"/>
          <w:lang w:eastAsia="zh-CN" w:bidi="ar-SA"/>
        </w:rPr>
      </w:pPr>
      <w:r>
        <w:rPr>
          <w:rFonts w:hint="eastAsia" w:ascii="宋体" w:hAnsi="宋体" w:eastAsia="宋体"/>
          <w:color w:val="auto"/>
          <w:kern w:val="2"/>
          <w:lang w:eastAsia="zh-CN" w:bidi="ar-SA"/>
        </w:rPr>
        <w:t>身份证号码：</w:t>
      </w:r>
      <w:r>
        <w:rPr>
          <w:rFonts w:hint="eastAsia" w:ascii="宋体" w:hAnsi="宋体" w:eastAsia="宋体"/>
          <w:color w:val="auto"/>
          <w:kern w:val="2"/>
          <w:u w:val="single"/>
          <w:lang w:eastAsia="zh-CN" w:bidi="ar-SA"/>
        </w:rPr>
        <w:t xml:space="preserve">                       </w:t>
      </w:r>
    </w:p>
    <w:p w14:paraId="333DA809">
      <w:pPr>
        <w:spacing w:line="440" w:lineRule="exact"/>
        <w:ind w:firstLine="3600" w:firstLineChars="1500"/>
        <w:jc w:val="both"/>
        <w:rPr>
          <w:rFonts w:hint="eastAsia" w:ascii="宋体" w:hAnsi="宋体" w:eastAsia="宋体"/>
          <w:color w:val="auto"/>
          <w:kern w:val="2"/>
          <w:u w:val="single"/>
          <w:lang w:eastAsia="zh-CN" w:bidi="ar-SA"/>
        </w:rPr>
      </w:pPr>
      <w:r>
        <w:rPr>
          <w:rFonts w:hint="eastAsia" w:ascii="宋体" w:hAnsi="宋体" w:eastAsia="宋体"/>
          <w:color w:val="auto"/>
          <w:kern w:val="2"/>
          <w:lang w:eastAsia="zh-CN" w:bidi="ar-SA"/>
        </w:rPr>
        <w:t>委托代理人：</w:t>
      </w:r>
      <w:r>
        <w:rPr>
          <w:rFonts w:hint="eastAsia" w:ascii="宋体" w:hAnsi="宋体" w:eastAsia="宋体"/>
          <w:color w:val="auto"/>
          <w:kern w:val="2"/>
          <w:u w:val="single"/>
          <w:lang w:eastAsia="zh-CN" w:bidi="ar-SA"/>
        </w:rPr>
        <w:t xml:space="preserve">（委托代理人签名）      </w:t>
      </w:r>
    </w:p>
    <w:p w14:paraId="5F642F91">
      <w:pPr>
        <w:spacing w:line="440" w:lineRule="exact"/>
        <w:ind w:firstLine="3600" w:firstLineChars="1500"/>
        <w:jc w:val="both"/>
        <w:rPr>
          <w:rFonts w:hint="eastAsia" w:ascii="宋体" w:hAnsi="宋体" w:eastAsia="宋体"/>
          <w:color w:val="auto"/>
          <w:kern w:val="2"/>
          <w:lang w:eastAsia="zh-CN" w:bidi="ar-SA"/>
        </w:rPr>
      </w:pPr>
      <w:r>
        <w:rPr>
          <w:rFonts w:hint="eastAsia" w:ascii="宋体" w:hAnsi="宋体" w:eastAsia="宋体"/>
          <w:color w:val="auto"/>
          <w:kern w:val="2"/>
          <w:lang w:eastAsia="zh-CN" w:bidi="ar-SA"/>
        </w:rPr>
        <w:t>身份证号码：</w:t>
      </w:r>
      <w:r>
        <w:rPr>
          <w:rFonts w:hint="eastAsia" w:ascii="宋体" w:hAnsi="宋体" w:eastAsia="宋体"/>
          <w:color w:val="auto"/>
          <w:kern w:val="2"/>
          <w:u w:val="single"/>
          <w:lang w:eastAsia="zh-CN" w:bidi="ar-SA"/>
        </w:rPr>
        <w:t xml:space="preserve">                       </w:t>
      </w:r>
    </w:p>
    <w:p w14:paraId="2181C6C3">
      <w:pPr>
        <w:spacing w:line="440" w:lineRule="exact"/>
        <w:ind w:firstLine="480" w:firstLineChars="200"/>
        <w:jc w:val="both"/>
        <w:rPr>
          <w:rFonts w:hint="eastAsia" w:ascii="宋体" w:hAnsi="宋体" w:eastAsia="宋体"/>
          <w:color w:val="auto"/>
          <w:kern w:val="2"/>
          <w:lang w:eastAsia="zh-CN" w:bidi="ar-SA"/>
        </w:rPr>
      </w:pPr>
      <w:r>
        <w:rPr>
          <w:rFonts w:hint="eastAsia" w:ascii="宋体" w:hAnsi="宋体" w:eastAsia="宋体"/>
          <w:color w:val="auto"/>
          <w:kern w:val="2"/>
          <w:lang w:eastAsia="zh-CN" w:bidi="ar-SA"/>
        </w:rPr>
        <w:t xml:space="preserve">                              </w:t>
      </w:r>
    </w:p>
    <w:p w14:paraId="0AB2EEB3">
      <w:pPr>
        <w:spacing w:line="440" w:lineRule="exact"/>
        <w:ind w:firstLine="480" w:firstLineChars="200"/>
        <w:jc w:val="both"/>
        <w:rPr>
          <w:rFonts w:hint="eastAsia" w:ascii="宋体" w:hAnsi="宋体" w:eastAsia="宋体"/>
          <w:color w:val="auto"/>
          <w:kern w:val="2"/>
          <w:lang w:eastAsia="zh-CN" w:bidi="ar-SA"/>
        </w:rPr>
      </w:pPr>
      <w:r>
        <w:rPr>
          <w:rFonts w:hint="eastAsia" w:ascii="宋体" w:hAnsi="宋体" w:eastAsia="宋体"/>
          <w:color w:val="auto"/>
          <w:kern w:val="2"/>
          <w:lang w:eastAsia="zh-CN" w:bidi="ar-SA"/>
        </w:rPr>
        <w:t xml:space="preserve">                                         </w:t>
      </w:r>
      <w:r>
        <w:rPr>
          <w:rFonts w:hint="eastAsia" w:ascii="宋体" w:hAnsi="宋体" w:eastAsia="宋体"/>
          <w:color w:val="auto"/>
          <w:kern w:val="2"/>
          <w:u w:val="single"/>
          <w:lang w:eastAsia="zh-CN" w:bidi="ar-SA"/>
        </w:rPr>
        <w:t xml:space="preserve">       </w:t>
      </w:r>
      <w:r>
        <w:rPr>
          <w:rFonts w:hint="eastAsia" w:ascii="宋体" w:hAnsi="宋体" w:eastAsia="宋体"/>
          <w:color w:val="auto"/>
          <w:kern w:val="2"/>
          <w:lang w:eastAsia="zh-CN" w:bidi="ar-SA"/>
        </w:rPr>
        <w:t>年</w:t>
      </w:r>
      <w:r>
        <w:rPr>
          <w:rFonts w:hint="eastAsia" w:ascii="宋体" w:hAnsi="宋体" w:eastAsia="宋体"/>
          <w:color w:val="auto"/>
          <w:kern w:val="2"/>
          <w:u w:val="single"/>
          <w:lang w:eastAsia="zh-CN" w:bidi="ar-SA"/>
        </w:rPr>
        <w:t xml:space="preserve">    </w:t>
      </w:r>
      <w:r>
        <w:rPr>
          <w:rFonts w:hint="eastAsia" w:ascii="宋体" w:hAnsi="宋体" w:eastAsia="宋体"/>
          <w:color w:val="auto"/>
          <w:kern w:val="2"/>
          <w:lang w:eastAsia="zh-CN" w:bidi="ar-SA"/>
        </w:rPr>
        <w:t>月</w:t>
      </w:r>
      <w:r>
        <w:rPr>
          <w:rFonts w:hint="eastAsia" w:ascii="宋体" w:hAnsi="宋体" w:eastAsia="宋体"/>
          <w:color w:val="auto"/>
          <w:kern w:val="2"/>
          <w:u w:val="single"/>
          <w:lang w:eastAsia="zh-CN" w:bidi="ar-SA"/>
        </w:rPr>
        <w:t xml:space="preserve">    </w:t>
      </w:r>
      <w:r>
        <w:rPr>
          <w:rFonts w:hint="eastAsia" w:ascii="宋体" w:hAnsi="宋体" w:eastAsia="宋体"/>
          <w:color w:val="auto"/>
          <w:kern w:val="2"/>
          <w:lang w:eastAsia="zh-CN" w:bidi="ar-SA"/>
        </w:rPr>
        <w:t>日</w:t>
      </w:r>
    </w:p>
    <w:p w14:paraId="0D7C03ED">
      <w:pPr>
        <w:spacing w:line="360" w:lineRule="auto"/>
        <w:ind w:firstLine="420" w:firstLineChars="200"/>
        <w:jc w:val="both"/>
        <w:rPr>
          <w:rFonts w:eastAsia="宋体" w:cs="宋体"/>
          <w:color w:val="auto"/>
          <w:sz w:val="21"/>
          <w:szCs w:val="21"/>
          <w:lang w:eastAsia="zh-CN" w:bidi="ar-SA"/>
        </w:rPr>
      </w:pPr>
    </w:p>
    <w:p w14:paraId="69AF45BB">
      <w:pPr>
        <w:spacing w:line="360" w:lineRule="auto"/>
        <w:ind w:firstLine="420" w:firstLineChars="200"/>
        <w:jc w:val="both"/>
        <w:rPr>
          <w:rFonts w:eastAsia="宋体" w:cs="宋体"/>
          <w:color w:val="auto"/>
          <w:sz w:val="21"/>
          <w:szCs w:val="21"/>
          <w:lang w:eastAsia="zh-CN" w:bidi="ar-SA"/>
        </w:rPr>
      </w:pPr>
    </w:p>
    <w:p w14:paraId="0412FE57">
      <w:pPr>
        <w:spacing w:line="360" w:lineRule="auto"/>
        <w:ind w:firstLine="420" w:firstLineChars="200"/>
        <w:jc w:val="both"/>
        <w:rPr>
          <w:rFonts w:eastAsia="宋体" w:cs="宋体"/>
          <w:color w:val="auto"/>
          <w:sz w:val="21"/>
          <w:szCs w:val="21"/>
          <w:lang w:eastAsia="zh-CN" w:bidi="ar-SA"/>
        </w:rPr>
      </w:pPr>
    </w:p>
    <w:p w14:paraId="67B3F631">
      <w:pPr>
        <w:spacing w:line="360" w:lineRule="auto"/>
        <w:ind w:firstLine="420" w:firstLineChars="200"/>
        <w:jc w:val="both"/>
        <w:rPr>
          <w:rFonts w:hint="eastAsia" w:ascii="宋体" w:hAnsi="宋体" w:eastAsia="宋体"/>
          <w:b/>
          <w:color w:val="auto"/>
          <w:kern w:val="2"/>
          <w:lang w:eastAsia="zh-CN" w:bidi="ar-SA"/>
        </w:rPr>
      </w:pPr>
      <w:r>
        <w:rPr>
          <w:rFonts w:eastAsia="宋体" w:cs="宋体"/>
          <w:color w:val="auto"/>
          <w:sz w:val="21"/>
          <w:szCs w:val="21"/>
          <w:lang w:eastAsia="zh-CN" w:bidi="ar-SA"/>
        </w:rPr>
        <w:t>注：</w:t>
      </w:r>
      <w:r>
        <w:rPr>
          <w:rFonts w:hint="eastAsia" w:eastAsia="宋体" w:cs="宋体"/>
          <w:color w:val="auto"/>
          <w:sz w:val="21"/>
          <w:szCs w:val="21"/>
          <w:lang w:eastAsia="zh-CN" w:bidi="ar-SA"/>
        </w:rPr>
        <w:t>投标人如授权代理人的，应将授权委托书、法定代表人身份证（双面）及委托代理人身份证（双面）扫描上传至交易系统。</w:t>
      </w:r>
    </w:p>
    <w:p w14:paraId="15909F08">
      <w:pPr>
        <w:snapToGrid w:val="0"/>
        <w:spacing w:before="240" w:beforeLines="100" w:after="240" w:afterLines="100"/>
        <w:jc w:val="center"/>
        <w:outlineLvl w:val="1"/>
        <w:rPr>
          <w:rFonts w:hint="eastAsia" w:ascii="宋体" w:hAnsi="宋体" w:eastAsia="宋体" w:cs="宋体"/>
          <w:b/>
          <w:color w:val="auto"/>
          <w:spacing w:val="-10"/>
          <w:sz w:val="32"/>
          <w:szCs w:val="32"/>
          <w:lang w:eastAsia="zh-CN" w:bidi="ar-SA"/>
        </w:rPr>
        <w:sectPr>
          <w:footnotePr>
            <w:numFmt w:val="decimalEnclosedCircleChinese"/>
            <w:numRestart w:val="eachPage"/>
          </w:footnotePr>
          <w:pgSz w:w="11906" w:h="16838"/>
          <w:pgMar w:top="1418" w:right="1588" w:bottom="1418" w:left="1588" w:header="680" w:footer="992" w:gutter="0"/>
          <w:cols w:space="720" w:num="1"/>
          <w:docGrid w:linePitch="326" w:charSpace="0"/>
        </w:sectPr>
      </w:pPr>
    </w:p>
    <w:p w14:paraId="46CD542B">
      <w:pPr>
        <w:snapToGrid w:val="0"/>
        <w:spacing w:before="240" w:beforeLines="100" w:after="240" w:afterLines="100"/>
        <w:jc w:val="center"/>
        <w:outlineLvl w:val="1"/>
        <w:rPr>
          <w:rFonts w:hint="eastAsia" w:ascii="宋体" w:hAnsi="宋体" w:eastAsia="宋体" w:cs="宋体"/>
          <w:b/>
          <w:color w:val="auto"/>
          <w:spacing w:val="-10"/>
          <w:sz w:val="32"/>
          <w:szCs w:val="32"/>
          <w:lang w:eastAsia="zh-CN" w:bidi="ar-SA"/>
        </w:rPr>
      </w:pPr>
      <w:bookmarkStart w:id="942" w:name="_Toc12605"/>
      <w:r>
        <w:rPr>
          <w:rFonts w:hint="eastAsia" w:ascii="宋体" w:hAnsi="宋体" w:eastAsia="宋体" w:cs="宋体"/>
          <w:b/>
          <w:color w:val="auto"/>
          <w:spacing w:val="-10"/>
          <w:sz w:val="32"/>
          <w:szCs w:val="32"/>
          <w:lang w:eastAsia="zh-CN" w:bidi="ar-SA"/>
        </w:rPr>
        <w:t>三</w:t>
      </w:r>
      <w:r>
        <w:rPr>
          <w:rFonts w:ascii="宋体" w:hAnsi="宋体" w:eastAsia="宋体" w:cs="宋体"/>
          <w:b/>
          <w:color w:val="auto"/>
          <w:spacing w:val="-10"/>
          <w:sz w:val="32"/>
          <w:szCs w:val="32"/>
          <w:lang w:eastAsia="zh-CN" w:bidi="ar-SA"/>
        </w:rPr>
        <w:t>、投标保证金</w:t>
      </w:r>
      <w:bookmarkEnd w:id="942"/>
    </w:p>
    <w:p w14:paraId="4E22D035">
      <w:pPr>
        <w:spacing w:line="360" w:lineRule="auto"/>
        <w:ind w:firstLine="480" w:firstLineChars="200"/>
        <w:jc w:val="both"/>
        <w:rPr>
          <w:rFonts w:eastAsia="宋体" w:cs="宋体"/>
          <w:color w:val="auto"/>
          <w:lang w:eastAsia="zh-CN" w:bidi="ar-SA"/>
        </w:rPr>
      </w:pPr>
    </w:p>
    <w:p w14:paraId="289A723F">
      <w:pPr>
        <w:wordWrap w:val="0"/>
        <w:spacing w:line="360" w:lineRule="auto"/>
        <w:ind w:firstLine="480" w:firstLineChars="200"/>
        <w:jc w:val="both"/>
        <w:rPr>
          <w:rFonts w:eastAsia="宋体" w:cs="宋体"/>
          <w:color w:val="auto"/>
          <w:lang w:eastAsia="zh-CN" w:bidi="ar-SA"/>
        </w:rPr>
      </w:pPr>
      <w:bookmarkStart w:id="943" w:name="_Hlk62831631"/>
      <w:r>
        <w:rPr>
          <w:rFonts w:hint="eastAsia" w:eastAsia="宋体" w:cs="宋体"/>
          <w:color w:val="auto"/>
          <w:lang w:eastAsia="zh-CN" w:bidi="ar-SA"/>
        </w:rPr>
        <w:t>若采用现金或支票，投标人应在此提供汇款凭证的彩色扫描件。</w:t>
      </w:r>
    </w:p>
    <w:p w14:paraId="481DB16E">
      <w:pPr>
        <w:wordWrap w:val="0"/>
        <w:spacing w:line="360" w:lineRule="auto"/>
        <w:ind w:firstLine="480" w:firstLineChars="200"/>
        <w:jc w:val="both"/>
        <w:rPr>
          <w:rFonts w:eastAsia="宋体" w:cs="宋体"/>
          <w:color w:val="auto"/>
          <w:lang w:eastAsia="zh-CN" w:bidi="ar-SA"/>
        </w:rPr>
      </w:pPr>
      <w:r>
        <w:rPr>
          <w:rFonts w:hint="eastAsia" w:eastAsia="宋体" w:cs="宋体"/>
          <w:color w:val="auto"/>
          <w:lang w:eastAsia="zh-CN" w:bidi="ar-SA"/>
        </w:rPr>
        <w:t>若采用电子保函形式的银行保函，投标人应在此提供交易平台金融服务系统开具的银行保函彩色扫描件。</w:t>
      </w:r>
    </w:p>
    <w:p w14:paraId="362C9AEF">
      <w:pPr>
        <w:wordWrap w:val="0"/>
        <w:spacing w:line="360" w:lineRule="auto"/>
        <w:ind w:firstLine="480" w:firstLineChars="200"/>
        <w:jc w:val="both"/>
        <w:rPr>
          <w:rFonts w:eastAsia="宋体" w:cs="宋体"/>
          <w:color w:val="auto"/>
          <w:lang w:eastAsia="zh-CN" w:bidi="ar-SA"/>
        </w:rPr>
      </w:pPr>
      <w:r>
        <w:rPr>
          <w:rFonts w:hint="eastAsia" w:eastAsia="宋体" w:cs="宋体"/>
          <w:color w:val="auto"/>
          <w:lang w:eastAsia="zh-CN" w:bidi="ar-SA"/>
        </w:rPr>
        <w:t>若采用纸质形式的银行保函，投标人应在此提供银行保函和隶属关系证明</w:t>
      </w:r>
      <w:r>
        <w:rPr>
          <w:rFonts w:eastAsia="宋体" w:cs="宋体"/>
          <w:color w:val="auto"/>
          <w:lang w:eastAsia="zh-CN" w:bidi="ar-SA"/>
        </w:rPr>
        <w:t>(</w:t>
      </w:r>
      <w:r>
        <w:rPr>
          <w:rFonts w:hint="eastAsia" w:eastAsia="宋体" w:cs="宋体"/>
          <w:color w:val="auto"/>
          <w:lang w:eastAsia="zh-CN" w:bidi="ar-SA"/>
        </w:rPr>
        <w:t>如有</w:t>
      </w:r>
      <w:r>
        <w:rPr>
          <w:rFonts w:eastAsia="宋体" w:cs="宋体"/>
          <w:color w:val="auto"/>
          <w:lang w:eastAsia="zh-CN" w:bidi="ar-SA"/>
        </w:rPr>
        <w:t>)</w:t>
      </w:r>
      <w:r>
        <w:rPr>
          <w:rFonts w:hint="eastAsia" w:eastAsia="宋体" w:cs="宋体"/>
          <w:color w:val="auto"/>
          <w:lang w:eastAsia="zh-CN" w:bidi="ar-SA"/>
        </w:rPr>
        <w:t>的彩色扫描件，银行保函和隶属关系证明</w:t>
      </w:r>
      <w:r>
        <w:rPr>
          <w:rFonts w:eastAsia="宋体" w:cs="宋体"/>
          <w:color w:val="auto"/>
          <w:lang w:eastAsia="zh-CN" w:bidi="ar-SA"/>
        </w:rPr>
        <w:t>(</w:t>
      </w:r>
      <w:r>
        <w:rPr>
          <w:rFonts w:hint="eastAsia" w:eastAsia="宋体" w:cs="宋体"/>
          <w:color w:val="auto"/>
          <w:lang w:eastAsia="zh-CN" w:bidi="ar-SA"/>
        </w:rPr>
        <w:t>如有</w:t>
      </w:r>
      <w:r>
        <w:rPr>
          <w:rFonts w:eastAsia="宋体" w:cs="宋体"/>
          <w:color w:val="auto"/>
          <w:lang w:eastAsia="zh-CN" w:bidi="ar-SA"/>
        </w:rPr>
        <w:t>)</w:t>
      </w:r>
      <w:r>
        <w:rPr>
          <w:rFonts w:hint="eastAsia" w:eastAsia="宋体" w:cs="宋体"/>
          <w:color w:val="auto"/>
          <w:lang w:eastAsia="zh-CN" w:bidi="ar-SA"/>
        </w:rPr>
        <w:t>原件按招标文件的要求单独密封递交。</w:t>
      </w:r>
    </w:p>
    <w:p w14:paraId="684091B9">
      <w:pPr>
        <w:wordWrap w:val="0"/>
        <w:spacing w:line="360" w:lineRule="auto"/>
        <w:ind w:firstLine="480" w:firstLineChars="200"/>
        <w:jc w:val="both"/>
        <w:rPr>
          <w:rFonts w:eastAsia="宋体" w:cs="宋体"/>
          <w:color w:val="auto"/>
          <w:lang w:eastAsia="zh-CN" w:bidi="ar-SA"/>
        </w:rPr>
      </w:pPr>
      <w:r>
        <w:rPr>
          <w:rFonts w:hint="eastAsia" w:eastAsia="宋体" w:cs="宋体"/>
          <w:color w:val="auto"/>
          <w:lang w:eastAsia="zh-CN" w:bidi="ar-SA"/>
        </w:rPr>
        <w:t>银行保函</w:t>
      </w:r>
      <w:r>
        <w:rPr>
          <w:rFonts w:eastAsia="宋体" w:cs="宋体"/>
          <w:color w:val="auto"/>
          <w:lang w:eastAsia="zh-CN" w:bidi="ar-SA"/>
        </w:rPr>
        <w:t>(</w:t>
      </w:r>
      <w:r>
        <w:rPr>
          <w:rFonts w:hint="eastAsia" w:eastAsia="宋体" w:cs="宋体"/>
          <w:color w:val="auto"/>
          <w:lang w:eastAsia="zh-CN" w:bidi="ar-SA"/>
        </w:rPr>
        <w:t>含电子保函</w:t>
      </w:r>
      <w:r>
        <w:rPr>
          <w:rFonts w:eastAsia="宋体" w:cs="宋体"/>
          <w:color w:val="auto"/>
          <w:lang w:eastAsia="zh-CN" w:bidi="ar-SA"/>
        </w:rPr>
        <w:t>)</w:t>
      </w:r>
      <w:r>
        <w:rPr>
          <w:rFonts w:hint="eastAsia" w:eastAsia="宋体" w:cs="宋体"/>
          <w:color w:val="auto"/>
          <w:lang w:eastAsia="zh-CN" w:bidi="ar-SA"/>
        </w:rPr>
        <w:t>格式如下：</w:t>
      </w:r>
    </w:p>
    <w:bookmarkEnd w:id="943"/>
    <w:p w14:paraId="10234A51">
      <w:pPr>
        <w:wordWrap w:val="0"/>
        <w:spacing w:line="360" w:lineRule="auto"/>
        <w:ind w:firstLine="480" w:firstLineChars="200"/>
        <w:jc w:val="both"/>
        <w:rPr>
          <w:rFonts w:eastAsia="宋体" w:cs="宋体"/>
          <w:color w:val="auto"/>
          <w:lang w:eastAsia="zh-CN" w:bidi="ar-SA"/>
        </w:rPr>
      </w:pPr>
    </w:p>
    <w:p w14:paraId="34E6AC51">
      <w:pPr>
        <w:wordWrap w:val="0"/>
        <w:spacing w:line="360" w:lineRule="auto"/>
        <w:jc w:val="both"/>
        <w:rPr>
          <w:rFonts w:eastAsia="宋体" w:cs="宋体"/>
          <w:color w:val="auto"/>
          <w:lang w:eastAsia="zh-CN" w:bidi="ar-SA"/>
        </w:rPr>
      </w:pPr>
      <w:r>
        <w:rPr>
          <w:rFonts w:eastAsia="宋体" w:cs="宋体"/>
          <w:color w:val="auto"/>
          <w:u w:val="single" w:color="000000"/>
          <w:lang w:eastAsia="zh-CN" w:bidi="ar-SA"/>
        </w:rPr>
        <w:t xml:space="preserve"> </w:t>
      </w:r>
      <w:r>
        <w:rPr>
          <w:rFonts w:hint="eastAsia" w:eastAsia="宋体" w:cs="宋体"/>
          <w:color w:val="auto"/>
          <w:u w:val="single" w:color="000000"/>
          <w:lang w:eastAsia="zh-CN" w:bidi="ar-SA"/>
        </w:rPr>
        <w:t xml:space="preserve">              </w:t>
      </w:r>
      <w:r>
        <w:rPr>
          <w:rFonts w:eastAsia="宋体" w:cs="宋体"/>
          <w:color w:val="auto"/>
          <w:lang w:eastAsia="zh-CN" w:bidi="ar-SA"/>
        </w:rPr>
        <w:t>（招标人名称）：</w:t>
      </w:r>
    </w:p>
    <w:p w14:paraId="106D5D52">
      <w:pPr>
        <w:wordWrap w:val="0"/>
        <w:spacing w:line="360" w:lineRule="auto"/>
        <w:ind w:firstLine="480" w:firstLineChars="200"/>
        <w:jc w:val="both"/>
        <w:rPr>
          <w:rFonts w:eastAsia="宋体" w:cs="宋体"/>
          <w:color w:val="auto"/>
          <w:lang w:eastAsia="zh-CN" w:bidi="ar-SA"/>
        </w:rPr>
      </w:pPr>
    </w:p>
    <w:p w14:paraId="4EA1C79D">
      <w:pPr>
        <w:wordWrap w:val="0"/>
        <w:spacing w:line="360" w:lineRule="auto"/>
        <w:ind w:firstLine="480" w:firstLineChars="200"/>
        <w:jc w:val="both"/>
        <w:rPr>
          <w:rFonts w:eastAsia="宋体" w:cs="宋体"/>
          <w:color w:val="auto"/>
          <w:lang w:eastAsia="zh-CN" w:bidi="ar-SA"/>
        </w:rPr>
      </w:pPr>
      <w:r>
        <w:rPr>
          <w:rFonts w:eastAsia="宋体" w:cs="宋体"/>
          <w:color w:val="auto"/>
          <w:position w:val="2"/>
          <w:lang w:eastAsia="zh-CN" w:bidi="ar-SA"/>
        </w:rPr>
        <w:t>鉴于</w:t>
      </w:r>
      <w:r>
        <w:rPr>
          <w:rFonts w:eastAsia="宋体" w:cs="宋体"/>
          <w:color w:val="auto"/>
          <w:position w:val="2"/>
          <w:u w:val="single" w:color="000000"/>
          <w:lang w:eastAsia="zh-CN" w:bidi="ar-SA"/>
        </w:rPr>
        <w:t xml:space="preserve"> </w:t>
      </w:r>
      <w:r>
        <w:rPr>
          <w:rFonts w:hint="eastAsia" w:eastAsia="宋体" w:cs="宋体"/>
          <w:color w:val="auto"/>
          <w:position w:val="2"/>
          <w:u w:val="single" w:color="000000"/>
          <w:lang w:eastAsia="zh-CN" w:bidi="ar-SA"/>
        </w:rPr>
        <w:t xml:space="preserve">                    </w:t>
      </w:r>
      <w:r>
        <w:rPr>
          <w:rFonts w:eastAsia="宋体" w:cs="宋体"/>
          <w:color w:val="auto"/>
          <w:lang w:eastAsia="zh-CN" w:bidi="ar-SA"/>
        </w:rPr>
        <w:t>（投标人名称）（以下</w:t>
      </w:r>
      <w:r>
        <w:rPr>
          <w:rFonts w:ascii="宋体" w:hAnsi="宋体" w:eastAsia="宋体" w:cs="宋体"/>
          <w:color w:val="auto"/>
          <w:lang w:eastAsia="zh-CN" w:bidi="ar-SA"/>
        </w:rPr>
        <w:t>称“投标人”</w:t>
      </w:r>
      <w:r>
        <w:rPr>
          <w:rFonts w:eastAsia="宋体" w:cs="宋体"/>
          <w:color w:val="auto"/>
          <w:lang w:eastAsia="zh-CN" w:bidi="ar-SA"/>
        </w:rPr>
        <w:t>）于</w:t>
      </w:r>
      <w:r>
        <w:rPr>
          <w:rFonts w:hint="eastAsia" w:eastAsia="宋体" w:cs="宋体"/>
          <w:color w:val="auto"/>
          <w:u w:val="single"/>
          <w:lang w:eastAsia="zh-CN" w:bidi="ar-SA"/>
        </w:rPr>
        <w:t xml:space="preserve">      </w:t>
      </w:r>
      <w:r>
        <w:rPr>
          <w:rFonts w:eastAsia="宋体" w:cs="宋体"/>
          <w:color w:val="auto"/>
          <w:lang w:eastAsia="zh-CN" w:bidi="ar-SA"/>
        </w:rPr>
        <w:t>年</w:t>
      </w:r>
      <w:r>
        <w:rPr>
          <w:rFonts w:hint="eastAsia" w:eastAsia="宋体" w:cs="宋体"/>
          <w:color w:val="auto"/>
          <w:u w:val="single"/>
          <w:lang w:eastAsia="zh-CN" w:bidi="ar-SA"/>
        </w:rPr>
        <w:t xml:space="preserve">      </w:t>
      </w:r>
      <w:r>
        <w:rPr>
          <w:rFonts w:eastAsia="宋体" w:cs="宋体"/>
          <w:color w:val="auto"/>
          <w:lang w:eastAsia="zh-CN" w:bidi="ar-SA"/>
        </w:rPr>
        <w:t>月</w:t>
      </w:r>
      <w:r>
        <w:rPr>
          <w:rFonts w:hint="eastAsia" w:eastAsia="宋体" w:cs="宋体"/>
          <w:color w:val="auto"/>
          <w:u w:val="single"/>
          <w:lang w:eastAsia="zh-CN" w:bidi="ar-SA"/>
        </w:rPr>
        <w:t xml:space="preserve">        </w:t>
      </w:r>
      <w:r>
        <w:rPr>
          <w:rFonts w:eastAsia="宋体" w:cs="宋体"/>
          <w:color w:val="auto"/>
          <w:lang w:eastAsia="zh-CN" w:bidi="ar-SA"/>
        </w:rPr>
        <w:t>日参加</w:t>
      </w:r>
      <w:r>
        <w:rPr>
          <w:rFonts w:hint="eastAsia" w:eastAsia="宋体" w:cs="宋体"/>
          <w:color w:val="auto"/>
          <w:position w:val="2"/>
          <w:u w:val="single" w:color="000000"/>
          <w:lang w:eastAsia="zh-CN" w:bidi="ar-SA"/>
        </w:rPr>
        <w:t xml:space="preserve">            </w:t>
      </w:r>
      <w:r>
        <w:rPr>
          <w:rFonts w:eastAsia="宋体" w:cs="宋体"/>
          <w:color w:val="auto"/>
          <w:lang w:eastAsia="zh-CN" w:bidi="ar-SA"/>
        </w:rPr>
        <w:t>（项目名称）</w:t>
      </w:r>
      <w:r>
        <w:rPr>
          <w:rFonts w:hint="eastAsia" w:eastAsia="宋体" w:cs="宋体"/>
          <w:color w:val="auto"/>
          <w:u w:val="single"/>
          <w:lang w:eastAsia="zh-CN" w:bidi="ar-SA"/>
        </w:rPr>
        <w:t xml:space="preserve">       </w:t>
      </w:r>
      <w:r>
        <w:rPr>
          <w:rFonts w:eastAsia="宋体" w:cs="宋体"/>
          <w:color w:val="auto"/>
          <w:lang w:eastAsia="zh-CN" w:bidi="ar-SA"/>
        </w:rPr>
        <w:t>标段</w:t>
      </w:r>
      <w:r>
        <w:rPr>
          <w:rFonts w:hint="eastAsia" w:eastAsia="宋体" w:cs="宋体"/>
          <w:color w:val="auto"/>
          <w:lang w:eastAsia="zh-CN" w:bidi="ar-SA"/>
        </w:rPr>
        <w:t>施工监理</w:t>
      </w:r>
      <w:r>
        <w:rPr>
          <w:rFonts w:eastAsia="宋体" w:cs="宋体"/>
          <w:color w:val="auto"/>
          <w:lang w:eastAsia="zh-CN" w:bidi="ar-SA"/>
        </w:rPr>
        <w:t>服务的投标，</w:t>
      </w:r>
      <w:r>
        <w:rPr>
          <w:rFonts w:hint="eastAsia" w:eastAsia="宋体" w:cs="宋体"/>
          <w:color w:val="auto"/>
          <w:u w:val="single"/>
          <w:lang w:eastAsia="zh-CN" w:bidi="ar-SA"/>
        </w:rPr>
        <w:t xml:space="preserve">            </w:t>
      </w:r>
      <w:r>
        <w:rPr>
          <w:rFonts w:eastAsia="宋体" w:cs="宋体"/>
          <w:color w:val="auto"/>
          <w:lang w:eastAsia="zh-CN" w:bidi="ar-SA"/>
        </w:rPr>
        <w:t>（担保人名称，以下简</w:t>
      </w:r>
      <w:r>
        <w:rPr>
          <w:rFonts w:ascii="宋体" w:hAnsi="宋体" w:eastAsia="宋体" w:cs="宋体"/>
          <w:color w:val="auto"/>
          <w:lang w:eastAsia="zh-CN" w:bidi="ar-SA"/>
        </w:rPr>
        <w:t>称“我方”</w:t>
      </w:r>
      <w:r>
        <w:rPr>
          <w:rFonts w:eastAsia="宋体" w:cs="宋体"/>
          <w:color w:val="auto"/>
          <w:lang w:eastAsia="zh-CN" w:bidi="ar-SA"/>
        </w:rPr>
        <w:t>）无条件地、不可撤销地保证：若投标人在投标有效期内撤销投标文件，中标后无正当理由不与招标人订立合同，在签订合同时向招标人提出附加条件，不按照招标文件要求提交履约保证金，或发生招标文件明确规定可以不予退还投标保证金的其他情形，我方承担保证责任。收到你方书面通知后，我方在</w:t>
      </w:r>
      <w:r>
        <w:rPr>
          <w:color w:val="auto"/>
          <w:lang w:eastAsia="zh-CN" w:bidi="ar-SA"/>
        </w:rPr>
        <w:t>7</w:t>
      </w:r>
      <w:r>
        <w:rPr>
          <w:rFonts w:eastAsia="宋体" w:cs="宋体"/>
          <w:color w:val="auto"/>
          <w:lang w:eastAsia="zh-CN" w:bidi="ar-SA"/>
        </w:rPr>
        <w:t>日内向你方无条件支付人民币（大写）</w:t>
      </w:r>
      <w:r>
        <w:rPr>
          <w:rFonts w:eastAsia="宋体" w:cs="宋体"/>
          <w:color w:val="auto"/>
          <w:u w:val="single"/>
          <w:lang w:eastAsia="zh-CN" w:bidi="ar-SA"/>
        </w:rPr>
        <w:tab/>
      </w:r>
      <w:r>
        <w:rPr>
          <w:rFonts w:hint="eastAsia" w:eastAsia="宋体" w:cs="宋体"/>
          <w:color w:val="auto"/>
          <w:u w:val="single"/>
          <w:lang w:eastAsia="zh-CN" w:bidi="ar-SA"/>
        </w:rPr>
        <w:t xml:space="preserve">              </w:t>
      </w:r>
      <w:r>
        <w:rPr>
          <w:rFonts w:hint="eastAsia" w:eastAsia="宋体" w:cs="宋体"/>
          <w:color w:val="auto"/>
          <w:lang w:eastAsia="zh-CN" w:bidi="ar-SA"/>
        </w:rPr>
        <w:t>元</w:t>
      </w:r>
      <w:r>
        <w:rPr>
          <w:rFonts w:eastAsia="宋体" w:cs="宋体"/>
          <w:color w:val="auto"/>
          <w:lang w:eastAsia="zh-CN" w:bidi="ar-SA"/>
        </w:rPr>
        <w:t>。</w:t>
      </w:r>
    </w:p>
    <w:p w14:paraId="2F73AE0C">
      <w:pPr>
        <w:wordWrap w:val="0"/>
        <w:spacing w:line="360" w:lineRule="auto"/>
        <w:ind w:firstLine="480" w:firstLineChars="200"/>
        <w:jc w:val="both"/>
        <w:rPr>
          <w:rFonts w:eastAsia="宋体" w:cs="宋体"/>
          <w:color w:val="auto"/>
          <w:lang w:eastAsia="zh-CN" w:bidi="ar-SA"/>
        </w:rPr>
      </w:pPr>
      <w:r>
        <w:rPr>
          <w:rFonts w:eastAsia="宋体" w:cs="宋体"/>
          <w:color w:val="auto"/>
          <w:lang w:eastAsia="zh-CN" w:bidi="ar-SA"/>
        </w:rPr>
        <w:t>本保函在投标有效期或经延长的投标有效期内保持有效。要求我方承担保证责任的通知应在上述期限内送达我方</w:t>
      </w:r>
      <w:r>
        <w:rPr>
          <w:rFonts w:hint="eastAsia" w:eastAsia="宋体" w:cs="宋体"/>
          <w:color w:val="auto"/>
          <w:lang w:eastAsia="zh-CN" w:bidi="ar-SA"/>
        </w:rPr>
        <w:t>。</w:t>
      </w:r>
      <w:r>
        <w:rPr>
          <w:rFonts w:eastAsia="宋体" w:cs="宋体"/>
          <w:color w:val="auto"/>
          <w:lang w:eastAsia="zh-CN" w:bidi="ar-SA"/>
        </w:rPr>
        <w:t>你方延长投标有效期的决定</w:t>
      </w:r>
      <w:r>
        <w:rPr>
          <w:rFonts w:hint="eastAsia" w:eastAsia="宋体" w:cs="宋体"/>
          <w:color w:val="auto"/>
          <w:lang w:eastAsia="zh-CN" w:bidi="ar-SA"/>
        </w:rPr>
        <w:t>，</w:t>
      </w:r>
      <w:r>
        <w:rPr>
          <w:rFonts w:eastAsia="宋体" w:cs="宋体"/>
          <w:color w:val="auto"/>
          <w:lang w:eastAsia="zh-CN" w:bidi="ar-SA"/>
        </w:rPr>
        <w:t>应通知我方。</w:t>
      </w:r>
    </w:p>
    <w:p w14:paraId="03E8DE4D">
      <w:pPr>
        <w:wordWrap w:val="0"/>
        <w:spacing w:line="360" w:lineRule="auto"/>
        <w:ind w:firstLine="480" w:firstLineChars="200"/>
        <w:jc w:val="both"/>
        <w:rPr>
          <w:rFonts w:eastAsia="宋体" w:cs="宋体"/>
          <w:color w:val="auto"/>
          <w:lang w:eastAsia="zh-CN" w:bidi="ar-SA"/>
        </w:rPr>
      </w:pPr>
    </w:p>
    <w:p w14:paraId="17A4DE95">
      <w:pPr>
        <w:wordWrap w:val="0"/>
        <w:spacing w:line="360" w:lineRule="auto"/>
        <w:ind w:firstLine="2834" w:firstLineChars="1181"/>
        <w:rPr>
          <w:rFonts w:eastAsia="宋体" w:cs="宋体"/>
          <w:color w:val="auto"/>
          <w:lang w:eastAsia="zh-CN" w:bidi="ar-SA"/>
        </w:rPr>
      </w:pPr>
      <w:r>
        <w:rPr>
          <w:rFonts w:eastAsia="宋体" w:cs="宋体"/>
          <w:color w:val="auto"/>
          <w:lang w:eastAsia="zh-CN" w:bidi="ar-SA"/>
        </w:rPr>
        <w:t>担保人名称：</w:t>
      </w:r>
      <w:r>
        <w:rPr>
          <w:rFonts w:hint="eastAsia" w:eastAsia="宋体" w:cs="宋体"/>
          <w:color w:val="auto"/>
          <w:u w:val="single"/>
          <w:lang w:eastAsia="zh-CN" w:bidi="ar-SA"/>
        </w:rPr>
        <w:t xml:space="preserve">                                             </w:t>
      </w:r>
      <w:r>
        <w:rPr>
          <w:rFonts w:eastAsia="宋体" w:cs="宋体"/>
          <w:color w:val="auto"/>
          <w:lang w:eastAsia="zh-CN" w:bidi="ar-SA"/>
        </w:rPr>
        <w:t>（盖单位章）</w:t>
      </w:r>
    </w:p>
    <w:p w14:paraId="2AFBACDB">
      <w:pPr>
        <w:wordWrap w:val="0"/>
        <w:spacing w:line="360" w:lineRule="auto"/>
        <w:ind w:firstLine="2834" w:firstLineChars="1181"/>
        <w:jc w:val="both"/>
        <w:rPr>
          <w:rFonts w:eastAsia="宋体" w:cs="宋体"/>
          <w:color w:val="auto"/>
          <w:lang w:eastAsia="zh-CN" w:bidi="ar-SA"/>
        </w:rPr>
      </w:pPr>
      <w:r>
        <w:rPr>
          <w:rFonts w:eastAsia="宋体" w:cs="宋体"/>
          <w:color w:val="auto"/>
          <w:lang w:eastAsia="zh-CN" w:bidi="ar-SA"/>
        </w:rPr>
        <w:t>法定代表人或其委托代理人：</w:t>
      </w:r>
      <w:r>
        <w:rPr>
          <w:rFonts w:hint="eastAsia" w:eastAsia="宋体" w:cs="宋体"/>
          <w:color w:val="auto"/>
          <w:u w:val="single"/>
          <w:lang w:eastAsia="zh-CN" w:bidi="ar-SA"/>
        </w:rPr>
        <w:t xml:space="preserve">                            </w:t>
      </w:r>
      <w:r>
        <w:rPr>
          <w:rFonts w:eastAsia="宋体" w:cs="宋体"/>
          <w:color w:val="auto"/>
          <w:lang w:eastAsia="zh-CN" w:bidi="ar-SA"/>
        </w:rPr>
        <w:t>（签字）</w:t>
      </w:r>
    </w:p>
    <w:p w14:paraId="14232647">
      <w:pPr>
        <w:wordWrap w:val="0"/>
        <w:spacing w:line="360" w:lineRule="auto"/>
        <w:ind w:firstLine="2834" w:firstLineChars="1181"/>
        <w:jc w:val="both"/>
        <w:rPr>
          <w:rFonts w:eastAsia="宋体" w:cs="宋体"/>
          <w:color w:val="auto"/>
          <w:lang w:eastAsia="zh-CN" w:bidi="ar-SA"/>
        </w:rPr>
      </w:pPr>
      <w:r>
        <w:rPr>
          <w:rFonts w:eastAsia="宋体" w:cs="宋体"/>
          <w:color w:val="auto"/>
          <w:lang w:eastAsia="zh-CN" w:bidi="ar-SA"/>
        </w:rPr>
        <w:t xml:space="preserve">地 </w:t>
      </w:r>
      <w:r>
        <w:rPr>
          <w:rFonts w:hint="eastAsia" w:eastAsia="宋体" w:cs="宋体"/>
          <w:color w:val="auto"/>
          <w:lang w:eastAsia="zh-CN" w:bidi="ar-SA"/>
        </w:rPr>
        <w:t xml:space="preserve">       </w:t>
      </w:r>
      <w:r>
        <w:rPr>
          <w:rFonts w:eastAsia="宋体" w:cs="宋体"/>
          <w:color w:val="auto"/>
          <w:lang w:eastAsia="zh-CN" w:bidi="ar-SA"/>
        </w:rPr>
        <w:t>址：</w:t>
      </w:r>
      <w:r>
        <w:rPr>
          <w:rFonts w:hint="eastAsia" w:eastAsia="宋体" w:cs="宋体"/>
          <w:color w:val="auto"/>
          <w:u w:val="single"/>
          <w:lang w:eastAsia="zh-CN" w:bidi="ar-SA"/>
        </w:rPr>
        <w:t xml:space="preserve">                                                                        </w:t>
      </w:r>
    </w:p>
    <w:p w14:paraId="238027AB">
      <w:pPr>
        <w:wordWrap w:val="0"/>
        <w:spacing w:line="360" w:lineRule="auto"/>
        <w:ind w:firstLine="2834" w:firstLineChars="1181"/>
        <w:jc w:val="both"/>
        <w:rPr>
          <w:rFonts w:eastAsia="宋体" w:cs="宋体"/>
          <w:color w:val="auto"/>
          <w:lang w:eastAsia="zh-CN" w:bidi="ar-SA"/>
        </w:rPr>
      </w:pPr>
      <w:r>
        <w:rPr>
          <w:rFonts w:eastAsia="宋体" w:cs="宋体"/>
          <w:color w:val="auto"/>
          <w:lang w:eastAsia="zh-CN" w:bidi="ar-SA"/>
        </w:rPr>
        <w:t>邮政编码：</w:t>
      </w:r>
      <w:r>
        <w:rPr>
          <w:rFonts w:hint="eastAsia" w:eastAsia="宋体" w:cs="宋体"/>
          <w:color w:val="auto"/>
          <w:u w:val="single"/>
          <w:lang w:eastAsia="zh-CN" w:bidi="ar-SA"/>
        </w:rPr>
        <w:t xml:space="preserve">                                                                        </w:t>
      </w:r>
    </w:p>
    <w:p w14:paraId="067E959B">
      <w:pPr>
        <w:wordWrap w:val="0"/>
        <w:spacing w:line="360" w:lineRule="auto"/>
        <w:ind w:firstLine="2834" w:firstLineChars="1181"/>
        <w:jc w:val="both"/>
        <w:rPr>
          <w:rFonts w:eastAsia="宋体" w:cs="宋体"/>
          <w:color w:val="auto"/>
          <w:lang w:eastAsia="zh-CN" w:bidi="ar-SA"/>
        </w:rPr>
      </w:pPr>
      <w:r>
        <w:rPr>
          <w:rFonts w:eastAsia="宋体" w:cs="宋体"/>
          <w:color w:val="auto"/>
          <w:lang w:eastAsia="zh-CN" w:bidi="ar-SA"/>
        </w:rPr>
        <w:t>电</w:t>
      </w:r>
      <w:r>
        <w:rPr>
          <w:rFonts w:hint="eastAsia" w:eastAsia="宋体" w:cs="宋体"/>
          <w:color w:val="auto"/>
          <w:lang w:eastAsia="zh-CN" w:bidi="ar-SA"/>
        </w:rPr>
        <w:t xml:space="preserve">        </w:t>
      </w:r>
      <w:r>
        <w:rPr>
          <w:rFonts w:eastAsia="宋体" w:cs="宋体"/>
          <w:color w:val="auto"/>
          <w:lang w:eastAsia="zh-CN" w:bidi="ar-SA"/>
        </w:rPr>
        <w:t>话：</w:t>
      </w:r>
      <w:r>
        <w:rPr>
          <w:rFonts w:hint="eastAsia" w:eastAsia="宋体" w:cs="宋体"/>
          <w:color w:val="auto"/>
          <w:u w:val="single"/>
          <w:lang w:eastAsia="zh-CN" w:bidi="ar-SA"/>
        </w:rPr>
        <w:t xml:space="preserve">                                                                        </w:t>
      </w:r>
    </w:p>
    <w:p w14:paraId="413DFD8D">
      <w:pPr>
        <w:wordWrap w:val="0"/>
        <w:spacing w:line="360" w:lineRule="auto"/>
        <w:ind w:firstLine="2834" w:firstLineChars="1181"/>
        <w:jc w:val="both"/>
        <w:rPr>
          <w:rFonts w:eastAsia="宋体" w:cs="宋体"/>
          <w:color w:val="auto"/>
          <w:lang w:eastAsia="zh-CN" w:bidi="ar-SA"/>
        </w:rPr>
      </w:pPr>
      <w:r>
        <w:rPr>
          <w:rFonts w:eastAsia="宋体" w:cs="宋体"/>
          <w:color w:val="auto"/>
          <w:lang w:eastAsia="zh-CN" w:bidi="ar-SA"/>
        </w:rPr>
        <w:t>传</w:t>
      </w:r>
      <w:r>
        <w:rPr>
          <w:rFonts w:hint="eastAsia" w:eastAsia="宋体" w:cs="宋体"/>
          <w:color w:val="auto"/>
          <w:lang w:eastAsia="zh-CN" w:bidi="ar-SA"/>
        </w:rPr>
        <w:t xml:space="preserve">     </w:t>
      </w:r>
      <w:r>
        <w:rPr>
          <w:rFonts w:eastAsia="宋体" w:cs="宋体"/>
          <w:color w:val="auto"/>
          <w:lang w:eastAsia="zh-CN" w:bidi="ar-SA"/>
        </w:rPr>
        <w:t xml:space="preserve">   真：</w:t>
      </w:r>
      <w:r>
        <w:rPr>
          <w:rFonts w:hint="eastAsia" w:eastAsia="宋体" w:cs="宋体"/>
          <w:color w:val="auto"/>
          <w:u w:val="single"/>
          <w:lang w:eastAsia="zh-CN" w:bidi="ar-SA"/>
        </w:rPr>
        <w:t xml:space="preserve">                                                                        </w:t>
      </w:r>
    </w:p>
    <w:p w14:paraId="0234E471">
      <w:pPr>
        <w:wordWrap w:val="0"/>
        <w:spacing w:line="360" w:lineRule="auto"/>
        <w:jc w:val="right"/>
        <w:rPr>
          <w:rFonts w:eastAsia="宋体" w:cs="宋体"/>
          <w:color w:val="auto"/>
          <w:u w:val="single"/>
          <w:lang w:eastAsia="zh-CN" w:bidi="ar-SA"/>
        </w:rPr>
      </w:pPr>
    </w:p>
    <w:p w14:paraId="422C6AD7">
      <w:pPr>
        <w:wordWrap w:val="0"/>
        <w:spacing w:line="360" w:lineRule="auto"/>
        <w:jc w:val="right"/>
        <w:rPr>
          <w:rFonts w:eastAsia="宋体" w:cs="宋体"/>
          <w:color w:val="auto"/>
          <w:lang w:eastAsia="zh-CN" w:bidi="ar-SA"/>
        </w:rPr>
      </w:pPr>
      <w:r>
        <w:rPr>
          <w:rFonts w:hint="eastAsia" w:eastAsia="宋体" w:cs="宋体"/>
          <w:color w:val="auto"/>
          <w:u w:val="single"/>
          <w:lang w:eastAsia="zh-CN" w:bidi="ar-SA"/>
        </w:rPr>
        <w:t xml:space="preserve">       </w:t>
      </w:r>
      <w:r>
        <w:rPr>
          <w:rFonts w:eastAsia="宋体" w:cs="宋体"/>
          <w:color w:val="auto"/>
          <w:lang w:eastAsia="zh-CN" w:bidi="ar-SA"/>
        </w:rPr>
        <w:t>年</w:t>
      </w:r>
      <w:r>
        <w:rPr>
          <w:rFonts w:hint="eastAsia" w:eastAsia="宋体" w:cs="宋体"/>
          <w:color w:val="auto"/>
          <w:u w:val="single"/>
          <w:lang w:eastAsia="zh-CN" w:bidi="ar-SA"/>
        </w:rPr>
        <w:t xml:space="preserve">      </w:t>
      </w:r>
      <w:r>
        <w:rPr>
          <w:rFonts w:eastAsia="宋体" w:cs="宋体"/>
          <w:color w:val="auto"/>
          <w:lang w:eastAsia="zh-CN" w:bidi="ar-SA"/>
        </w:rPr>
        <w:t>月</w:t>
      </w:r>
      <w:r>
        <w:rPr>
          <w:rFonts w:hint="eastAsia" w:eastAsia="宋体" w:cs="宋体"/>
          <w:color w:val="auto"/>
          <w:u w:val="single"/>
          <w:lang w:eastAsia="zh-CN" w:bidi="ar-SA"/>
        </w:rPr>
        <w:t xml:space="preserve">      </w:t>
      </w:r>
      <w:r>
        <w:rPr>
          <w:rFonts w:eastAsia="宋体" w:cs="宋体"/>
          <w:color w:val="auto"/>
          <w:lang w:eastAsia="zh-CN" w:bidi="ar-SA"/>
        </w:rPr>
        <w:t>日</w:t>
      </w:r>
      <w:r>
        <w:rPr>
          <w:rFonts w:eastAsia="宋体" w:cs="宋体"/>
          <w:color w:val="auto"/>
          <w:lang w:eastAsia="zh-CN" w:bidi="ar-SA"/>
        </w:rPr>
        <w:br w:type="page"/>
      </w:r>
    </w:p>
    <w:p w14:paraId="3CBCAFAE">
      <w:pPr>
        <w:spacing w:line="360" w:lineRule="auto"/>
        <w:ind w:right="45" w:firstLine="3795" w:firstLineChars="1725"/>
        <w:jc w:val="both"/>
        <w:rPr>
          <w:rFonts w:hint="eastAsia" w:ascii="宋体" w:hAnsi="宋体" w:eastAsia="宋体"/>
          <w:color w:val="auto"/>
          <w:kern w:val="2"/>
          <w:sz w:val="22"/>
          <w:lang w:eastAsia="zh-CN" w:bidi="ar-SA"/>
        </w:rPr>
        <w:sectPr>
          <w:footnotePr>
            <w:numFmt w:val="decimalEnclosedCircleChinese"/>
            <w:numRestart w:val="eachPage"/>
          </w:footnotePr>
          <w:pgSz w:w="11906" w:h="16838"/>
          <w:pgMar w:top="1418" w:right="1588" w:bottom="1418" w:left="1588" w:header="680" w:footer="992" w:gutter="0"/>
          <w:cols w:space="720" w:num="1"/>
          <w:docGrid w:linePitch="326" w:charSpace="0"/>
        </w:sectPr>
      </w:pPr>
    </w:p>
    <w:p w14:paraId="7D0FD7ED">
      <w:pPr>
        <w:snapToGrid w:val="0"/>
        <w:spacing w:before="240" w:beforeLines="100" w:after="240" w:afterLines="100"/>
        <w:jc w:val="center"/>
        <w:outlineLvl w:val="1"/>
        <w:rPr>
          <w:rFonts w:hint="eastAsia" w:ascii="宋体" w:hAnsi="宋体" w:eastAsia="宋体" w:cs="宋体"/>
          <w:b/>
          <w:color w:val="auto"/>
          <w:spacing w:val="-10"/>
          <w:sz w:val="32"/>
          <w:szCs w:val="32"/>
          <w:lang w:eastAsia="zh-CN" w:bidi="ar-SA"/>
        </w:rPr>
      </w:pPr>
      <w:bookmarkStart w:id="944" w:name="_Toc10909"/>
      <w:r>
        <w:rPr>
          <w:rFonts w:hint="eastAsia" w:ascii="宋体" w:hAnsi="宋体" w:eastAsia="宋体" w:cs="宋体"/>
          <w:b/>
          <w:color w:val="auto"/>
          <w:spacing w:val="-10"/>
          <w:sz w:val="32"/>
          <w:szCs w:val="32"/>
          <w:lang w:eastAsia="zh-CN" w:bidi="ar-SA"/>
        </w:rPr>
        <w:t>四</w:t>
      </w:r>
      <w:r>
        <w:rPr>
          <w:rFonts w:ascii="宋体" w:hAnsi="宋体" w:eastAsia="宋体" w:cs="宋体"/>
          <w:b/>
          <w:color w:val="auto"/>
          <w:spacing w:val="-10"/>
          <w:sz w:val="32"/>
          <w:szCs w:val="32"/>
          <w:lang w:eastAsia="zh-CN" w:bidi="ar-SA"/>
        </w:rPr>
        <w:t>、资格审查资料</w:t>
      </w:r>
      <w:bookmarkEnd w:id="944"/>
    </w:p>
    <w:p w14:paraId="63DB9CE7">
      <w:pPr>
        <w:pStyle w:val="7"/>
        <w:jc w:val="center"/>
        <w:rPr>
          <w:rFonts w:eastAsia="宋体" w:cs="宋体"/>
          <w:bCs w:val="0"/>
          <w:color w:val="auto"/>
          <w:sz w:val="24"/>
          <w:szCs w:val="24"/>
          <w:lang w:eastAsia="zh-CN" w:bidi="ar-SA"/>
        </w:rPr>
      </w:pPr>
      <w:bookmarkStart w:id="945" w:name="_Toc16627"/>
      <w:r>
        <w:rPr>
          <w:rFonts w:eastAsia="宋体" w:cs="宋体"/>
          <w:bCs w:val="0"/>
          <w:color w:val="auto"/>
          <w:sz w:val="24"/>
          <w:szCs w:val="24"/>
          <w:lang w:eastAsia="zh-CN" w:bidi="ar-SA"/>
        </w:rPr>
        <w:t>（一）投标人基本情况表</w:t>
      </w:r>
      <w:bookmarkEnd w:id="945"/>
    </w:p>
    <w:tbl>
      <w:tblPr>
        <w:tblStyle w:val="47"/>
        <w:tblW w:w="8888" w:type="dxa"/>
        <w:tblInd w:w="10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47"/>
        <w:gridCol w:w="898"/>
        <w:gridCol w:w="1027"/>
        <w:gridCol w:w="1287"/>
        <w:gridCol w:w="413"/>
        <w:gridCol w:w="714"/>
        <w:gridCol w:w="988"/>
        <w:gridCol w:w="285"/>
        <w:gridCol w:w="1229"/>
      </w:tblGrid>
      <w:tr w14:paraId="4B1EE3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exact"/>
        </w:trPr>
        <w:tc>
          <w:tcPr>
            <w:tcW w:w="2047" w:type="dxa"/>
            <w:vAlign w:val="center"/>
          </w:tcPr>
          <w:p w14:paraId="7B1F22DB">
            <w:pPr>
              <w:jc w:val="center"/>
              <w:rPr>
                <w:rFonts w:eastAsia="宋体"/>
                <w:color w:val="auto"/>
                <w:sz w:val="21"/>
                <w:szCs w:val="21"/>
                <w:lang w:eastAsia="zh-CN" w:bidi="ar-SA"/>
              </w:rPr>
            </w:pPr>
            <w:r>
              <w:rPr>
                <w:rFonts w:hAnsi="宋体" w:eastAsia="宋体"/>
                <w:color w:val="auto"/>
                <w:sz w:val="21"/>
                <w:szCs w:val="21"/>
                <w:lang w:eastAsia="zh-CN" w:bidi="ar-SA"/>
              </w:rPr>
              <w:t>投标人名称</w:t>
            </w:r>
          </w:p>
        </w:tc>
        <w:tc>
          <w:tcPr>
            <w:tcW w:w="6841" w:type="dxa"/>
            <w:gridSpan w:val="8"/>
            <w:vAlign w:val="center"/>
          </w:tcPr>
          <w:p w14:paraId="74891CB3">
            <w:pPr>
              <w:jc w:val="center"/>
              <w:rPr>
                <w:rFonts w:eastAsia="宋体"/>
                <w:color w:val="auto"/>
                <w:sz w:val="21"/>
                <w:szCs w:val="21"/>
                <w:lang w:eastAsia="zh-CN" w:bidi="ar-SA"/>
              </w:rPr>
            </w:pPr>
          </w:p>
        </w:tc>
      </w:tr>
      <w:tr w14:paraId="71C510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exact"/>
        </w:trPr>
        <w:tc>
          <w:tcPr>
            <w:tcW w:w="2047" w:type="dxa"/>
            <w:vAlign w:val="center"/>
          </w:tcPr>
          <w:p w14:paraId="7B107BC5">
            <w:pPr>
              <w:jc w:val="center"/>
              <w:rPr>
                <w:rFonts w:eastAsia="宋体"/>
                <w:color w:val="auto"/>
                <w:sz w:val="21"/>
                <w:szCs w:val="21"/>
                <w:lang w:eastAsia="zh-CN" w:bidi="ar-SA"/>
              </w:rPr>
            </w:pPr>
            <w:r>
              <w:rPr>
                <w:rFonts w:hAnsi="宋体" w:eastAsia="宋体"/>
                <w:color w:val="auto"/>
                <w:sz w:val="21"/>
                <w:szCs w:val="21"/>
                <w:lang w:eastAsia="zh-CN" w:bidi="ar-SA"/>
              </w:rPr>
              <w:t>注册地址</w:t>
            </w:r>
          </w:p>
        </w:tc>
        <w:tc>
          <w:tcPr>
            <w:tcW w:w="3212" w:type="dxa"/>
            <w:gridSpan w:val="3"/>
            <w:vAlign w:val="center"/>
          </w:tcPr>
          <w:p w14:paraId="4269294E">
            <w:pPr>
              <w:jc w:val="center"/>
              <w:rPr>
                <w:rFonts w:eastAsia="宋体"/>
                <w:color w:val="auto"/>
                <w:sz w:val="21"/>
                <w:szCs w:val="21"/>
                <w:lang w:eastAsia="zh-CN" w:bidi="ar-SA"/>
              </w:rPr>
            </w:pPr>
          </w:p>
        </w:tc>
        <w:tc>
          <w:tcPr>
            <w:tcW w:w="1127" w:type="dxa"/>
            <w:gridSpan w:val="2"/>
            <w:vAlign w:val="center"/>
          </w:tcPr>
          <w:p w14:paraId="57626F2D">
            <w:pPr>
              <w:jc w:val="center"/>
              <w:rPr>
                <w:rFonts w:eastAsia="宋体"/>
                <w:color w:val="auto"/>
                <w:sz w:val="21"/>
                <w:szCs w:val="21"/>
                <w:lang w:eastAsia="zh-CN" w:bidi="ar-SA"/>
              </w:rPr>
            </w:pPr>
            <w:r>
              <w:rPr>
                <w:rFonts w:hAnsi="宋体" w:eastAsia="宋体"/>
                <w:color w:val="auto"/>
                <w:sz w:val="21"/>
                <w:szCs w:val="21"/>
                <w:lang w:eastAsia="zh-CN" w:bidi="ar-SA"/>
              </w:rPr>
              <w:t>邮政编码</w:t>
            </w:r>
          </w:p>
        </w:tc>
        <w:tc>
          <w:tcPr>
            <w:tcW w:w="2502" w:type="dxa"/>
            <w:gridSpan w:val="3"/>
            <w:vAlign w:val="center"/>
          </w:tcPr>
          <w:p w14:paraId="764FE304">
            <w:pPr>
              <w:jc w:val="center"/>
              <w:rPr>
                <w:rFonts w:eastAsia="宋体"/>
                <w:color w:val="auto"/>
                <w:sz w:val="21"/>
                <w:szCs w:val="21"/>
                <w:lang w:eastAsia="zh-CN" w:bidi="ar-SA"/>
              </w:rPr>
            </w:pPr>
          </w:p>
        </w:tc>
      </w:tr>
      <w:tr w14:paraId="596FA1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exact"/>
        </w:trPr>
        <w:tc>
          <w:tcPr>
            <w:tcW w:w="2047" w:type="dxa"/>
            <w:vMerge w:val="restart"/>
            <w:vAlign w:val="center"/>
          </w:tcPr>
          <w:p w14:paraId="300B8F8E">
            <w:pPr>
              <w:jc w:val="center"/>
              <w:rPr>
                <w:rFonts w:eastAsia="宋体"/>
                <w:color w:val="auto"/>
                <w:sz w:val="21"/>
                <w:szCs w:val="21"/>
                <w:lang w:eastAsia="zh-CN" w:bidi="ar-SA"/>
              </w:rPr>
            </w:pPr>
            <w:r>
              <w:rPr>
                <w:rFonts w:hAnsi="宋体" w:eastAsia="宋体"/>
                <w:color w:val="auto"/>
                <w:sz w:val="21"/>
                <w:szCs w:val="21"/>
                <w:lang w:eastAsia="zh-CN" w:bidi="ar-SA"/>
              </w:rPr>
              <w:t>联系方式</w:t>
            </w:r>
          </w:p>
        </w:tc>
        <w:tc>
          <w:tcPr>
            <w:tcW w:w="898" w:type="dxa"/>
            <w:vAlign w:val="center"/>
          </w:tcPr>
          <w:p w14:paraId="468F0D62">
            <w:pPr>
              <w:jc w:val="center"/>
              <w:rPr>
                <w:rFonts w:eastAsia="宋体"/>
                <w:color w:val="auto"/>
                <w:sz w:val="21"/>
                <w:szCs w:val="21"/>
                <w:lang w:eastAsia="zh-CN" w:bidi="ar-SA"/>
              </w:rPr>
            </w:pPr>
            <w:r>
              <w:rPr>
                <w:rFonts w:hAnsi="宋体" w:eastAsia="宋体"/>
                <w:color w:val="auto"/>
                <w:sz w:val="21"/>
                <w:szCs w:val="21"/>
                <w:lang w:eastAsia="zh-CN" w:bidi="ar-SA"/>
              </w:rPr>
              <w:t>联系人</w:t>
            </w:r>
          </w:p>
        </w:tc>
        <w:tc>
          <w:tcPr>
            <w:tcW w:w="2314" w:type="dxa"/>
            <w:gridSpan w:val="2"/>
            <w:vAlign w:val="center"/>
          </w:tcPr>
          <w:p w14:paraId="7901376C">
            <w:pPr>
              <w:jc w:val="center"/>
              <w:rPr>
                <w:rFonts w:eastAsia="宋体"/>
                <w:color w:val="auto"/>
                <w:sz w:val="21"/>
                <w:szCs w:val="21"/>
                <w:lang w:eastAsia="zh-CN" w:bidi="ar-SA"/>
              </w:rPr>
            </w:pPr>
          </w:p>
        </w:tc>
        <w:tc>
          <w:tcPr>
            <w:tcW w:w="1127" w:type="dxa"/>
            <w:gridSpan w:val="2"/>
            <w:vAlign w:val="center"/>
          </w:tcPr>
          <w:p w14:paraId="3EB82DBC">
            <w:pPr>
              <w:jc w:val="center"/>
              <w:rPr>
                <w:rFonts w:eastAsia="宋体"/>
                <w:color w:val="auto"/>
                <w:sz w:val="21"/>
                <w:szCs w:val="21"/>
                <w:lang w:eastAsia="zh-CN" w:bidi="ar-SA"/>
              </w:rPr>
            </w:pPr>
            <w:r>
              <w:rPr>
                <w:rFonts w:hAnsi="宋体" w:eastAsia="宋体"/>
                <w:color w:val="auto"/>
                <w:sz w:val="21"/>
                <w:szCs w:val="21"/>
                <w:lang w:eastAsia="zh-CN" w:bidi="ar-SA"/>
              </w:rPr>
              <w:t>电</w:t>
            </w:r>
            <w:r>
              <w:rPr>
                <w:rFonts w:eastAsia="宋体"/>
                <w:color w:val="auto"/>
                <w:sz w:val="21"/>
                <w:szCs w:val="21"/>
                <w:lang w:eastAsia="zh-CN" w:bidi="ar-SA"/>
              </w:rPr>
              <w:t xml:space="preserve"> </w:t>
            </w:r>
            <w:r>
              <w:rPr>
                <w:rFonts w:hint="eastAsia" w:eastAsia="宋体"/>
                <w:color w:val="auto"/>
                <w:sz w:val="21"/>
                <w:szCs w:val="21"/>
                <w:lang w:eastAsia="zh-CN" w:bidi="ar-SA"/>
              </w:rPr>
              <w:t xml:space="preserve">  </w:t>
            </w:r>
            <w:r>
              <w:rPr>
                <w:rFonts w:hAnsi="宋体" w:eastAsia="宋体"/>
                <w:color w:val="auto"/>
                <w:sz w:val="21"/>
                <w:szCs w:val="21"/>
                <w:lang w:eastAsia="zh-CN" w:bidi="ar-SA"/>
              </w:rPr>
              <w:t>话</w:t>
            </w:r>
          </w:p>
        </w:tc>
        <w:tc>
          <w:tcPr>
            <w:tcW w:w="2502" w:type="dxa"/>
            <w:gridSpan w:val="3"/>
            <w:vAlign w:val="center"/>
          </w:tcPr>
          <w:p w14:paraId="3ABF56BF">
            <w:pPr>
              <w:jc w:val="center"/>
              <w:rPr>
                <w:rFonts w:eastAsia="宋体"/>
                <w:color w:val="auto"/>
                <w:sz w:val="21"/>
                <w:szCs w:val="21"/>
                <w:lang w:eastAsia="zh-CN" w:bidi="ar-SA"/>
              </w:rPr>
            </w:pPr>
          </w:p>
        </w:tc>
      </w:tr>
      <w:tr w14:paraId="0FA8E0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exact"/>
        </w:trPr>
        <w:tc>
          <w:tcPr>
            <w:tcW w:w="2047" w:type="dxa"/>
            <w:vMerge w:val="continue"/>
            <w:vAlign w:val="center"/>
          </w:tcPr>
          <w:p w14:paraId="2AA1C29A">
            <w:pPr>
              <w:jc w:val="center"/>
              <w:rPr>
                <w:rFonts w:eastAsia="宋体"/>
                <w:color w:val="auto"/>
                <w:sz w:val="21"/>
                <w:szCs w:val="21"/>
                <w:lang w:eastAsia="zh-CN" w:bidi="ar-SA"/>
              </w:rPr>
            </w:pPr>
          </w:p>
        </w:tc>
        <w:tc>
          <w:tcPr>
            <w:tcW w:w="898" w:type="dxa"/>
            <w:vAlign w:val="center"/>
          </w:tcPr>
          <w:p w14:paraId="1AB35894">
            <w:pPr>
              <w:jc w:val="center"/>
              <w:rPr>
                <w:rFonts w:eastAsia="宋体"/>
                <w:color w:val="auto"/>
                <w:sz w:val="21"/>
                <w:szCs w:val="21"/>
                <w:lang w:eastAsia="zh-CN" w:bidi="ar-SA"/>
              </w:rPr>
            </w:pPr>
            <w:r>
              <w:rPr>
                <w:rFonts w:hAnsi="宋体" w:eastAsia="宋体"/>
                <w:color w:val="auto"/>
                <w:sz w:val="21"/>
                <w:szCs w:val="21"/>
                <w:lang w:eastAsia="zh-CN" w:bidi="ar-SA"/>
              </w:rPr>
              <w:t>传</w:t>
            </w:r>
            <w:r>
              <w:rPr>
                <w:rFonts w:hint="eastAsia" w:hAnsi="宋体" w:eastAsia="宋体"/>
                <w:color w:val="auto"/>
                <w:sz w:val="21"/>
                <w:szCs w:val="21"/>
                <w:lang w:eastAsia="zh-CN" w:bidi="ar-SA"/>
              </w:rPr>
              <w:t xml:space="preserve">  </w:t>
            </w:r>
            <w:r>
              <w:rPr>
                <w:rFonts w:hAnsi="宋体" w:eastAsia="宋体"/>
                <w:color w:val="auto"/>
                <w:sz w:val="21"/>
                <w:szCs w:val="21"/>
                <w:lang w:eastAsia="zh-CN" w:bidi="ar-SA"/>
              </w:rPr>
              <w:t>真</w:t>
            </w:r>
            <w:r>
              <w:rPr>
                <w:rFonts w:eastAsia="宋体"/>
                <w:color w:val="auto"/>
                <w:sz w:val="21"/>
                <w:szCs w:val="21"/>
                <w:lang w:eastAsia="zh-CN" w:bidi="ar-SA"/>
              </w:rPr>
              <w:tab/>
            </w:r>
          </w:p>
        </w:tc>
        <w:tc>
          <w:tcPr>
            <w:tcW w:w="2314" w:type="dxa"/>
            <w:gridSpan w:val="2"/>
            <w:vAlign w:val="center"/>
          </w:tcPr>
          <w:p w14:paraId="6D59D5F1">
            <w:pPr>
              <w:jc w:val="center"/>
              <w:rPr>
                <w:rFonts w:eastAsia="宋体"/>
                <w:color w:val="auto"/>
                <w:sz w:val="21"/>
                <w:szCs w:val="21"/>
                <w:lang w:eastAsia="zh-CN" w:bidi="ar-SA"/>
              </w:rPr>
            </w:pPr>
          </w:p>
        </w:tc>
        <w:tc>
          <w:tcPr>
            <w:tcW w:w="1127" w:type="dxa"/>
            <w:gridSpan w:val="2"/>
            <w:vAlign w:val="center"/>
          </w:tcPr>
          <w:p w14:paraId="2A7176E3">
            <w:pPr>
              <w:jc w:val="center"/>
              <w:rPr>
                <w:rFonts w:eastAsia="宋体"/>
                <w:color w:val="auto"/>
                <w:sz w:val="21"/>
                <w:szCs w:val="21"/>
                <w:lang w:eastAsia="zh-CN" w:bidi="ar-SA"/>
              </w:rPr>
            </w:pPr>
            <w:r>
              <w:rPr>
                <w:rFonts w:eastAsia="宋体"/>
                <w:color w:val="auto"/>
                <w:sz w:val="21"/>
                <w:szCs w:val="21"/>
                <w:lang w:eastAsia="zh-CN" w:bidi="ar-SA"/>
              </w:rPr>
              <w:t>电</w:t>
            </w:r>
            <w:r>
              <w:rPr>
                <w:rFonts w:hAnsi="宋体" w:eastAsia="宋体"/>
                <w:color w:val="auto"/>
                <w:sz w:val="21"/>
                <w:szCs w:val="21"/>
                <w:lang w:eastAsia="zh-CN" w:bidi="ar-SA"/>
              </w:rPr>
              <w:t>子邮件</w:t>
            </w:r>
          </w:p>
        </w:tc>
        <w:tc>
          <w:tcPr>
            <w:tcW w:w="2502" w:type="dxa"/>
            <w:gridSpan w:val="3"/>
            <w:vAlign w:val="center"/>
          </w:tcPr>
          <w:p w14:paraId="5DEAB183">
            <w:pPr>
              <w:jc w:val="center"/>
              <w:rPr>
                <w:rFonts w:eastAsia="宋体"/>
                <w:color w:val="auto"/>
                <w:sz w:val="21"/>
                <w:szCs w:val="21"/>
                <w:lang w:eastAsia="zh-CN" w:bidi="ar-SA"/>
              </w:rPr>
            </w:pPr>
          </w:p>
        </w:tc>
      </w:tr>
      <w:tr w14:paraId="6DC192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exact"/>
        </w:trPr>
        <w:tc>
          <w:tcPr>
            <w:tcW w:w="2047" w:type="dxa"/>
            <w:vAlign w:val="center"/>
          </w:tcPr>
          <w:p w14:paraId="5CBE6BDC">
            <w:pPr>
              <w:jc w:val="center"/>
              <w:rPr>
                <w:rFonts w:eastAsia="宋体"/>
                <w:color w:val="auto"/>
                <w:sz w:val="21"/>
                <w:szCs w:val="21"/>
                <w:lang w:eastAsia="zh-CN" w:bidi="ar-SA"/>
              </w:rPr>
            </w:pPr>
            <w:r>
              <w:rPr>
                <w:rFonts w:hAnsi="宋体" w:eastAsia="宋体"/>
                <w:color w:val="auto"/>
                <w:sz w:val="21"/>
                <w:szCs w:val="21"/>
                <w:lang w:eastAsia="zh-CN" w:bidi="ar-SA"/>
              </w:rPr>
              <w:t>法定代表人</w:t>
            </w:r>
          </w:p>
        </w:tc>
        <w:tc>
          <w:tcPr>
            <w:tcW w:w="898" w:type="dxa"/>
            <w:vAlign w:val="center"/>
          </w:tcPr>
          <w:p w14:paraId="103CBBEE">
            <w:pPr>
              <w:jc w:val="center"/>
              <w:rPr>
                <w:rFonts w:eastAsia="宋体"/>
                <w:color w:val="auto"/>
                <w:sz w:val="21"/>
                <w:szCs w:val="21"/>
                <w:lang w:eastAsia="zh-CN" w:bidi="ar-SA"/>
              </w:rPr>
            </w:pPr>
            <w:r>
              <w:rPr>
                <w:rFonts w:hAnsi="宋体" w:eastAsia="宋体"/>
                <w:color w:val="auto"/>
                <w:sz w:val="21"/>
                <w:szCs w:val="21"/>
                <w:lang w:eastAsia="zh-CN" w:bidi="ar-SA"/>
              </w:rPr>
              <w:t>姓</w:t>
            </w:r>
            <w:r>
              <w:rPr>
                <w:rFonts w:hint="eastAsia" w:hAnsi="宋体" w:eastAsia="宋体"/>
                <w:color w:val="auto"/>
                <w:sz w:val="21"/>
                <w:szCs w:val="21"/>
                <w:lang w:eastAsia="zh-CN" w:bidi="ar-SA"/>
              </w:rPr>
              <w:t xml:space="preserve">  </w:t>
            </w:r>
            <w:r>
              <w:rPr>
                <w:rFonts w:hAnsi="宋体" w:eastAsia="宋体"/>
                <w:color w:val="auto"/>
                <w:sz w:val="21"/>
                <w:szCs w:val="21"/>
                <w:lang w:eastAsia="zh-CN" w:bidi="ar-SA"/>
              </w:rPr>
              <w:t>名</w:t>
            </w:r>
          </w:p>
        </w:tc>
        <w:tc>
          <w:tcPr>
            <w:tcW w:w="1027" w:type="dxa"/>
            <w:vAlign w:val="center"/>
          </w:tcPr>
          <w:p w14:paraId="0502473F">
            <w:pPr>
              <w:jc w:val="center"/>
              <w:rPr>
                <w:rFonts w:eastAsia="宋体"/>
                <w:color w:val="auto"/>
                <w:sz w:val="21"/>
                <w:szCs w:val="21"/>
                <w:lang w:eastAsia="zh-CN" w:bidi="ar-SA"/>
              </w:rPr>
            </w:pPr>
          </w:p>
        </w:tc>
        <w:tc>
          <w:tcPr>
            <w:tcW w:w="1287" w:type="dxa"/>
            <w:vAlign w:val="center"/>
          </w:tcPr>
          <w:p w14:paraId="4373EEB0">
            <w:pPr>
              <w:jc w:val="center"/>
              <w:rPr>
                <w:rFonts w:eastAsia="宋体"/>
                <w:color w:val="auto"/>
                <w:sz w:val="21"/>
                <w:szCs w:val="21"/>
                <w:lang w:eastAsia="zh-CN" w:bidi="ar-SA"/>
              </w:rPr>
            </w:pPr>
            <w:r>
              <w:rPr>
                <w:rFonts w:hAnsi="宋体" w:eastAsia="宋体"/>
                <w:color w:val="auto"/>
                <w:sz w:val="21"/>
                <w:szCs w:val="21"/>
                <w:lang w:eastAsia="zh-CN" w:bidi="ar-SA"/>
              </w:rPr>
              <w:t>技术职称</w:t>
            </w:r>
          </w:p>
        </w:tc>
        <w:tc>
          <w:tcPr>
            <w:tcW w:w="1127" w:type="dxa"/>
            <w:gridSpan w:val="2"/>
            <w:vAlign w:val="center"/>
          </w:tcPr>
          <w:p w14:paraId="5198B59F">
            <w:pPr>
              <w:jc w:val="center"/>
              <w:rPr>
                <w:rFonts w:eastAsia="宋体"/>
                <w:color w:val="auto"/>
                <w:sz w:val="21"/>
                <w:szCs w:val="21"/>
                <w:lang w:eastAsia="zh-CN" w:bidi="ar-SA"/>
              </w:rPr>
            </w:pPr>
          </w:p>
        </w:tc>
        <w:tc>
          <w:tcPr>
            <w:tcW w:w="1273" w:type="dxa"/>
            <w:gridSpan w:val="2"/>
            <w:vAlign w:val="center"/>
          </w:tcPr>
          <w:p w14:paraId="6A7C6CE0">
            <w:pPr>
              <w:jc w:val="center"/>
              <w:rPr>
                <w:rFonts w:eastAsia="宋体"/>
                <w:color w:val="auto"/>
                <w:sz w:val="21"/>
                <w:szCs w:val="21"/>
                <w:lang w:eastAsia="zh-CN" w:bidi="ar-SA"/>
              </w:rPr>
            </w:pPr>
            <w:r>
              <w:rPr>
                <w:rFonts w:hAnsi="宋体" w:eastAsia="宋体"/>
                <w:color w:val="auto"/>
                <w:sz w:val="21"/>
                <w:szCs w:val="21"/>
                <w:lang w:eastAsia="zh-CN" w:bidi="ar-SA"/>
              </w:rPr>
              <w:t>电话</w:t>
            </w:r>
          </w:p>
        </w:tc>
        <w:tc>
          <w:tcPr>
            <w:tcW w:w="1229" w:type="dxa"/>
            <w:vAlign w:val="center"/>
          </w:tcPr>
          <w:p w14:paraId="4269BE98">
            <w:pPr>
              <w:jc w:val="center"/>
              <w:rPr>
                <w:rFonts w:eastAsia="宋体"/>
                <w:color w:val="auto"/>
                <w:sz w:val="21"/>
                <w:szCs w:val="21"/>
                <w:lang w:eastAsia="zh-CN" w:bidi="ar-SA"/>
              </w:rPr>
            </w:pPr>
          </w:p>
        </w:tc>
      </w:tr>
      <w:tr w14:paraId="5D9097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exact"/>
        </w:trPr>
        <w:tc>
          <w:tcPr>
            <w:tcW w:w="2047" w:type="dxa"/>
            <w:vAlign w:val="center"/>
          </w:tcPr>
          <w:p w14:paraId="36167FF2">
            <w:pPr>
              <w:jc w:val="center"/>
              <w:rPr>
                <w:rFonts w:eastAsia="宋体"/>
                <w:color w:val="auto"/>
                <w:sz w:val="21"/>
                <w:szCs w:val="21"/>
                <w:lang w:eastAsia="zh-CN" w:bidi="ar-SA"/>
              </w:rPr>
            </w:pPr>
            <w:r>
              <w:rPr>
                <w:rFonts w:hAnsi="宋体" w:eastAsia="宋体"/>
                <w:color w:val="auto"/>
                <w:sz w:val="21"/>
                <w:szCs w:val="21"/>
                <w:lang w:eastAsia="zh-CN" w:bidi="ar-SA"/>
              </w:rPr>
              <w:t>技术负责人</w:t>
            </w:r>
          </w:p>
        </w:tc>
        <w:tc>
          <w:tcPr>
            <w:tcW w:w="898" w:type="dxa"/>
            <w:vAlign w:val="center"/>
          </w:tcPr>
          <w:p w14:paraId="18373704">
            <w:pPr>
              <w:jc w:val="center"/>
              <w:rPr>
                <w:rFonts w:eastAsia="宋体"/>
                <w:color w:val="auto"/>
                <w:sz w:val="21"/>
                <w:szCs w:val="21"/>
                <w:lang w:eastAsia="zh-CN" w:bidi="ar-SA"/>
              </w:rPr>
            </w:pPr>
            <w:r>
              <w:rPr>
                <w:rFonts w:hAnsi="宋体" w:eastAsia="宋体"/>
                <w:color w:val="auto"/>
                <w:sz w:val="21"/>
                <w:szCs w:val="21"/>
                <w:lang w:eastAsia="zh-CN" w:bidi="ar-SA"/>
              </w:rPr>
              <w:t>姓</w:t>
            </w:r>
            <w:r>
              <w:rPr>
                <w:rFonts w:hint="eastAsia" w:hAnsi="宋体" w:eastAsia="宋体"/>
                <w:color w:val="auto"/>
                <w:sz w:val="21"/>
                <w:szCs w:val="21"/>
                <w:lang w:eastAsia="zh-CN" w:bidi="ar-SA"/>
              </w:rPr>
              <w:t xml:space="preserve">  </w:t>
            </w:r>
            <w:r>
              <w:rPr>
                <w:rFonts w:hAnsi="宋体" w:eastAsia="宋体"/>
                <w:color w:val="auto"/>
                <w:sz w:val="21"/>
                <w:szCs w:val="21"/>
                <w:lang w:eastAsia="zh-CN" w:bidi="ar-SA"/>
              </w:rPr>
              <w:t>名</w:t>
            </w:r>
          </w:p>
        </w:tc>
        <w:tc>
          <w:tcPr>
            <w:tcW w:w="1027" w:type="dxa"/>
            <w:vAlign w:val="center"/>
          </w:tcPr>
          <w:p w14:paraId="19464E9A">
            <w:pPr>
              <w:jc w:val="center"/>
              <w:rPr>
                <w:rFonts w:eastAsia="宋体"/>
                <w:color w:val="auto"/>
                <w:sz w:val="21"/>
                <w:szCs w:val="21"/>
                <w:lang w:eastAsia="zh-CN" w:bidi="ar-SA"/>
              </w:rPr>
            </w:pPr>
          </w:p>
        </w:tc>
        <w:tc>
          <w:tcPr>
            <w:tcW w:w="1287" w:type="dxa"/>
            <w:vAlign w:val="center"/>
          </w:tcPr>
          <w:p w14:paraId="39421BA0">
            <w:pPr>
              <w:jc w:val="center"/>
              <w:rPr>
                <w:rFonts w:eastAsia="宋体"/>
                <w:color w:val="auto"/>
                <w:sz w:val="21"/>
                <w:szCs w:val="21"/>
                <w:lang w:eastAsia="zh-CN" w:bidi="ar-SA"/>
              </w:rPr>
            </w:pPr>
            <w:r>
              <w:rPr>
                <w:rFonts w:hAnsi="宋体" w:eastAsia="宋体"/>
                <w:color w:val="auto"/>
                <w:sz w:val="21"/>
                <w:szCs w:val="21"/>
                <w:lang w:eastAsia="zh-CN" w:bidi="ar-SA"/>
              </w:rPr>
              <w:t>技术职称</w:t>
            </w:r>
          </w:p>
        </w:tc>
        <w:tc>
          <w:tcPr>
            <w:tcW w:w="1127" w:type="dxa"/>
            <w:gridSpan w:val="2"/>
            <w:vAlign w:val="center"/>
          </w:tcPr>
          <w:p w14:paraId="382A8D03">
            <w:pPr>
              <w:jc w:val="center"/>
              <w:rPr>
                <w:rFonts w:eastAsia="宋体"/>
                <w:color w:val="auto"/>
                <w:sz w:val="21"/>
                <w:szCs w:val="21"/>
                <w:lang w:eastAsia="zh-CN" w:bidi="ar-SA"/>
              </w:rPr>
            </w:pPr>
          </w:p>
        </w:tc>
        <w:tc>
          <w:tcPr>
            <w:tcW w:w="1273" w:type="dxa"/>
            <w:gridSpan w:val="2"/>
            <w:vAlign w:val="center"/>
          </w:tcPr>
          <w:p w14:paraId="5370754B">
            <w:pPr>
              <w:jc w:val="center"/>
              <w:rPr>
                <w:rFonts w:eastAsia="宋体"/>
                <w:color w:val="auto"/>
                <w:sz w:val="21"/>
                <w:szCs w:val="21"/>
                <w:lang w:eastAsia="zh-CN" w:bidi="ar-SA"/>
              </w:rPr>
            </w:pPr>
            <w:r>
              <w:rPr>
                <w:rFonts w:hAnsi="宋体" w:eastAsia="宋体"/>
                <w:color w:val="auto"/>
                <w:sz w:val="21"/>
                <w:szCs w:val="21"/>
                <w:lang w:eastAsia="zh-CN" w:bidi="ar-SA"/>
              </w:rPr>
              <w:t>电话</w:t>
            </w:r>
          </w:p>
        </w:tc>
        <w:tc>
          <w:tcPr>
            <w:tcW w:w="1229" w:type="dxa"/>
            <w:vAlign w:val="center"/>
          </w:tcPr>
          <w:p w14:paraId="1C50A9D8">
            <w:pPr>
              <w:jc w:val="center"/>
              <w:rPr>
                <w:rFonts w:eastAsia="宋体"/>
                <w:color w:val="auto"/>
                <w:sz w:val="21"/>
                <w:szCs w:val="21"/>
                <w:lang w:eastAsia="zh-CN" w:bidi="ar-SA"/>
              </w:rPr>
            </w:pPr>
          </w:p>
        </w:tc>
      </w:tr>
      <w:tr w14:paraId="6BF8B5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exact"/>
        </w:trPr>
        <w:tc>
          <w:tcPr>
            <w:tcW w:w="2047" w:type="dxa"/>
            <w:vAlign w:val="center"/>
          </w:tcPr>
          <w:p w14:paraId="0EFE3C3D">
            <w:pPr>
              <w:jc w:val="center"/>
              <w:rPr>
                <w:rFonts w:eastAsia="宋体"/>
                <w:color w:val="auto"/>
                <w:sz w:val="21"/>
                <w:szCs w:val="21"/>
                <w:lang w:eastAsia="zh-CN" w:bidi="ar-SA"/>
              </w:rPr>
            </w:pPr>
            <w:r>
              <w:rPr>
                <w:rFonts w:hAnsi="宋体" w:eastAsia="宋体"/>
                <w:color w:val="auto"/>
                <w:sz w:val="21"/>
                <w:szCs w:val="21"/>
                <w:lang w:eastAsia="zh-CN" w:bidi="ar-SA"/>
              </w:rPr>
              <w:t>企业</w:t>
            </w:r>
            <w:r>
              <w:rPr>
                <w:rFonts w:hint="eastAsia" w:hAnsi="宋体" w:eastAsia="宋体"/>
                <w:color w:val="auto"/>
                <w:sz w:val="21"/>
                <w:szCs w:val="21"/>
                <w:lang w:eastAsia="zh-CN" w:bidi="ar-SA"/>
              </w:rPr>
              <w:t>监理</w:t>
            </w:r>
            <w:r>
              <w:rPr>
                <w:rFonts w:hAnsi="宋体" w:eastAsia="宋体"/>
                <w:color w:val="auto"/>
                <w:sz w:val="21"/>
                <w:szCs w:val="21"/>
                <w:lang w:eastAsia="zh-CN" w:bidi="ar-SA"/>
              </w:rPr>
              <w:t>资质证书</w:t>
            </w:r>
          </w:p>
        </w:tc>
        <w:tc>
          <w:tcPr>
            <w:tcW w:w="6841" w:type="dxa"/>
            <w:gridSpan w:val="8"/>
          </w:tcPr>
          <w:p w14:paraId="4A59A416">
            <w:pPr>
              <w:jc w:val="both"/>
              <w:rPr>
                <w:rFonts w:eastAsia="宋体"/>
                <w:color w:val="auto"/>
                <w:sz w:val="21"/>
                <w:szCs w:val="21"/>
                <w:lang w:eastAsia="zh-CN" w:bidi="ar-SA"/>
              </w:rPr>
            </w:pPr>
            <w:r>
              <w:rPr>
                <w:rFonts w:hAnsi="宋体" w:eastAsia="宋体"/>
                <w:color w:val="auto"/>
                <w:sz w:val="21"/>
                <w:szCs w:val="21"/>
                <w:lang w:eastAsia="zh-CN" w:bidi="ar-SA"/>
              </w:rPr>
              <w:t>类型：</w:t>
            </w:r>
            <w:r>
              <w:rPr>
                <w:rFonts w:hint="eastAsia" w:hAnsi="宋体" w:eastAsia="宋体"/>
                <w:color w:val="auto"/>
                <w:sz w:val="21"/>
                <w:szCs w:val="21"/>
                <w:lang w:eastAsia="zh-CN" w:bidi="ar-SA"/>
              </w:rPr>
              <w:t xml:space="preserve">                  </w:t>
            </w:r>
            <w:r>
              <w:rPr>
                <w:rFonts w:hAnsi="宋体" w:eastAsia="宋体"/>
                <w:color w:val="auto"/>
                <w:sz w:val="21"/>
                <w:szCs w:val="21"/>
                <w:lang w:eastAsia="zh-CN" w:bidi="ar-SA"/>
              </w:rPr>
              <w:t>等级：</w:t>
            </w:r>
            <w:r>
              <w:rPr>
                <w:rFonts w:hint="eastAsia" w:hAnsi="宋体" w:eastAsia="宋体"/>
                <w:color w:val="auto"/>
                <w:sz w:val="21"/>
                <w:szCs w:val="21"/>
                <w:lang w:eastAsia="zh-CN" w:bidi="ar-SA"/>
              </w:rPr>
              <w:t xml:space="preserve">                              </w:t>
            </w:r>
            <w:r>
              <w:rPr>
                <w:rFonts w:hAnsi="宋体" w:eastAsia="宋体"/>
                <w:color w:val="auto"/>
                <w:sz w:val="21"/>
                <w:szCs w:val="21"/>
                <w:lang w:eastAsia="zh-CN" w:bidi="ar-SA"/>
              </w:rPr>
              <w:t>证书号：</w:t>
            </w:r>
            <w:r>
              <w:rPr>
                <w:rFonts w:hint="eastAsia" w:hAnsi="宋体" w:eastAsia="宋体"/>
                <w:color w:val="auto"/>
                <w:sz w:val="21"/>
                <w:szCs w:val="21"/>
                <w:lang w:eastAsia="zh-CN" w:bidi="ar-SA"/>
              </w:rPr>
              <w:t xml:space="preserve">                              </w:t>
            </w:r>
          </w:p>
        </w:tc>
      </w:tr>
      <w:tr w14:paraId="1A0167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exact"/>
        </w:trPr>
        <w:tc>
          <w:tcPr>
            <w:tcW w:w="2047" w:type="dxa"/>
            <w:vAlign w:val="center"/>
          </w:tcPr>
          <w:p w14:paraId="3F48DA33">
            <w:pPr>
              <w:jc w:val="center"/>
              <w:rPr>
                <w:rFonts w:hint="eastAsia" w:hAnsi="宋体" w:eastAsia="宋体"/>
                <w:color w:val="auto"/>
                <w:sz w:val="21"/>
                <w:szCs w:val="21"/>
                <w:lang w:eastAsia="zh-CN" w:bidi="ar-SA"/>
              </w:rPr>
            </w:pPr>
            <w:r>
              <w:rPr>
                <w:rFonts w:hint="eastAsia" w:hAnsi="宋体" w:eastAsia="宋体"/>
                <w:color w:val="auto"/>
                <w:sz w:val="21"/>
                <w:szCs w:val="21"/>
                <w:lang w:eastAsia="zh-CN" w:bidi="ar-SA"/>
              </w:rPr>
              <w:t>质量管理体系证书（如有）</w:t>
            </w:r>
          </w:p>
        </w:tc>
        <w:tc>
          <w:tcPr>
            <w:tcW w:w="6841" w:type="dxa"/>
            <w:gridSpan w:val="8"/>
          </w:tcPr>
          <w:p w14:paraId="68E7A713">
            <w:pPr>
              <w:jc w:val="both"/>
              <w:rPr>
                <w:rFonts w:hint="eastAsia" w:hAnsi="宋体" w:eastAsia="宋体"/>
                <w:color w:val="auto"/>
                <w:sz w:val="21"/>
                <w:szCs w:val="21"/>
                <w:lang w:eastAsia="zh-CN" w:bidi="ar-SA"/>
              </w:rPr>
            </w:pPr>
            <w:r>
              <w:rPr>
                <w:rFonts w:hAnsi="宋体" w:eastAsia="宋体"/>
                <w:color w:val="auto"/>
                <w:sz w:val="21"/>
                <w:szCs w:val="21"/>
                <w:lang w:eastAsia="zh-CN" w:bidi="ar-SA"/>
              </w:rPr>
              <w:t>类型：</w:t>
            </w:r>
            <w:r>
              <w:rPr>
                <w:rFonts w:hint="eastAsia" w:hAnsi="宋体" w:eastAsia="宋体"/>
                <w:color w:val="auto"/>
                <w:sz w:val="21"/>
                <w:szCs w:val="21"/>
                <w:lang w:eastAsia="zh-CN" w:bidi="ar-SA"/>
              </w:rPr>
              <w:t xml:space="preserve">                  </w:t>
            </w:r>
            <w:r>
              <w:rPr>
                <w:rFonts w:hAnsi="宋体" w:eastAsia="宋体"/>
                <w:color w:val="auto"/>
                <w:sz w:val="21"/>
                <w:szCs w:val="21"/>
                <w:lang w:eastAsia="zh-CN" w:bidi="ar-SA"/>
              </w:rPr>
              <w:t>等级：</w:t>
            </w:r>
            <w:r>
              <w:rPr>
                <w:rFonts w:hint="eastAsia" w:hAnsi="宋体" w:eastAsia="宋体"/>
                <w:color w:val="auto"/>
                <w:sz w:val="21"/>
                <w:szCs w:val="21"/>
                <w:lang w:eastAsia="zh-CN" w:bidi="ar-SA"/>
              </w:rPr>
              <w:t xml:space="preserve">                              </w:t>
            </w:r>
            <w:r>
              <w:rPr>
                <w:rFonts w:hAnsi="宋体" w:eastAsia="宋体"/>
                <w:color w:val="auto"/>
                <w:sz w:val="21"/>
                <w:szCs w:val="21"/>
                <w:lang w:eastAsia="zh-CN" w:bidi="ar-SA"/>
              </w:rPr>
              <w:t>证书号：</w:t>
            </w:r>
            <w:r>
              <w:rPr>
                <w:rFonts w:hint="eastAsia" w:hAnsi="宋体" w:eastAsia="宋体"/>
                <w:color w:val="auto"/>
                <w:sz w:val="21"/>
                <w:szCs w:val="21"/>
                <w:lang w:eastAsia="zh-CN" w:bidi="ar-SA"/>
              </w:rPr>
              <w:t xml:space="preserve">      </w:t>
            </w:r>
          </w:p>
        </w:tc>
      </w:tr>
      <w:tr w14:paraId="4DBADB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exact"/>
        </w:trPr>
        <w:tc>
          <w:tcPr>
            <w:tcW w:w="2047" w:type="dxa"/>
            <w:vAlign w:val="center"/>
          </w:tcPr>
          <w:p w14:paraId="42FA223D">
            <w:pPr>
              <w:jc w:val="center"/>
              <w:rPr>
                <w:rFonts w:eastAsia="宋体"/>
                <w:color w:val="auto"/>
                <w:sz w:val="21"/>
                <w:szCs w:val="21"/>
                <w:lang w:eastAsia="zh-CN" w:bidi="ar-SA"/>
              </w:rPr>
            </w:pPr>
            <w:r>
              <w:rPr>
                <w:rFonts w:hAnsi="宋体" w:eastAsia="宋体"/>
                <w:color w:val="auto"/>
                <w:sz w:val="21"/>
                <w:szCs w:val="21"/>
                <w:lang w:eastAsia="zh-CN" w:bidi="ar-SA"/>
              </w:rPr>
              <w:t>营业执照号</w:t>
            </w:r>
          </w:p>
        </w:tc>
        <w:tc>
          <w:tcPr>
            <w:tcW w:w="3212" w:type="dxa"/>
            <w:gridSpan w:val="3"/>
          </w:tcPr>
          <w:p w14:paraId="1100444C">
            <w:pPr>
              <w:jc w:val="both"/>
              <w:rPr>
                <w:rFonts w:eastAsia="宋体"/>
                <w:color w:val="auto"/>
                <w:sz w:val="21"/>
                <w:szCs w:val="21"/>
                <w:lang w:eastAsia="zh-CN" w:bidi="ar-SA"/>
              </w:rPr>
            </w:pPr>
          </w:p>
        </w:tc>
        <w:tc>
          <w:tcPr>
            <w:tcW w:w="3629" w:type="dxa"/>
            <w:gridSpan w:val="5"/>
            <w:vAlign w:val="center"/>
          </w:tcPr>
          <w:p w14:paraId="5248CBAF">
            <w:pPr>
              <w:jc w:val="center"/>
              <w:rPr>
                <w:rFonts w:eastAsia="宋体"/>
                <w:color w:val="auto"/>
                <w:sz w:val="21"/>
                <w:szCs w:val="21"/>
                <w:lang w:eastAsia="zh-CN" w:bidi="ar-SA"/>
              </w:rPr>
            </w:pPr>
            <w:r>
              <w:rPr>
                <w:rFonts w:hAnsi="宋体" w:eastAsia="宋体"/>
                <w:color w:val="auto"/>
                <w:sz w:val="21"/>
                <w:szCs w:val="21"/>
                <w:lang w:eastAsia="zh-CN" w:bidi="ar-SA"/>
              </w:rPr>
              <w:t>员工总人数：</w:t>
            </w:r>
          </w:p>
        </w:tc>
      </w:tr>
      <w:tr w14:paraId="7A1207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exact"/>
        </w:trPr>
        <w:tc>
          <w:tcPr>
            <w:tcW w:w="2047" w:type="dxa"/>
            <w:vAlign w:val="center"/>
          </w:tcPr>
          <w:p w14:paraId="14888E47">
            <w:pPr>
              <w:jc w:val="center"/>
              <w:rPr>
                <w:rFonts w:eastAsia="宋体"/>
                <w:color w:val="auto"/>
                <w:sz w:val="21"/>
                <w:szCs w:val="21"/>
                <w:lang w:eastAsia="zh-CN" w:bidi="ar-SA"/>
              </w:rPr>
            </w:pPr>
            <w:r>
              <w:rPr>
                <w:rFonts w:hAnsi="宋体" w:eastAsia="宋体"/>
                <w:color w:val="auto"/>
                <w:sz w:val="21"/>
                <w:szCs w:val="21"/>
                <w:lang w:eastAsia="zh-CN" w:bidi="ar-SA"/>
              </w:rPr>
              <w:t>注册资本</w:t>
            </w:r>
          </w:p>
        </w:tc>
        <w:tc>
          <w:tcPr>
            <w:tcW w:w="3212" w:type="dxa"/>
            <w:gridSpan w:val="3"/>
          </w:tcPr>
          <w:p w14:paraId="55C6E4A7">
            <w:pPr>
              <w:jc w:val="both"/>
              <w:rPr>
                <w:rFonts w:eastAsia="宋体"/>
                <w:color w:val="auto"/>
                <w:sz w:val="21"/>
                <w:szCs w:val="21"/>
                <w:lang w:eastAsia="zh-CN" w:bidi="ar-SA"/>
              </w:rPr>
            </w:pPr>
          </w:p>
        </w:tc>
        <w:tc>
          <w:tcPr>
            <w:tcW w:w="413" w:type="dxa"/>
            <w:vMerge w:val="restart"/>
            <w:vAlign w:val="center"/>
          </w:tcPr>
          <w:p w14:paraId="4A3EB09C">
            <w:pPr>
              <w:jc w:val="center"/>
              <w:rPr>
                <w:rFonts w:eastAsia="宋体"/>
                <w:color w:val="auto"/>
                <w:sz w:val="21"/>
                <w:szCs w:val="21"/>
                <w:lang w:eastAsia="zh-CN" w:bidi="ar-SA"/>
              </w:rPr>
            </w:pPr>
            <w:r>
              <w:rPr>
                <w:rFonts w:hAnsi="宋体" w:eastAsia="宋体"/>
                <w:color w:val="auto"/>
                <w:sz w:val="21"/>
                <w:szCs w:val="21"/>
                <w:lang w:eastAsia="zh-CN" w:bidi="ar-SA"/>
              </w:rPr>
              <w:t>其中</w:t>
            </w:r>
          </w:p>
        </w:tc>
        <w:tc>
          <w:tcPr>
            <w:tcW w:w="1702" w:type="dxa"/>
            <w:gridSpan w:val="2"/>
            <w:vAlign w:val="center"/>
          </w:tcPr>
          <w:p w14:paraId="620A379F">
            <w:pPr>
              <w:jc w:val="center"/>
              <w:rPr>
                <w:rFonts w:eastAsia="宋体"/>
                <w:color w:val="auto"/>
                <w:sz w:val="21"/>
                <w:szCs w:val="21"/>
                <w:lang w:eastAsia="zh-CN" w:bidi="ar-SA"/>
              </w:rPr>
            </w:pPr>
            <w:r>
              <w:rPr>
                <w:rFonts w:hAnsi="宋体" w:eastAsia="宋体"/>
                <w:color w:val="auto"/>
                <w:sz w:val="21"/>
                <w:szCs w:val="21"/>
                <w:lang w:eastAsia="zh-CN" w:bidi="ar-SA"/>
              </w:rPr>
              <w:t>高级职称人员</w:t>
            </w:r>
          </w:p>
        </w:tc>
        <w:tc>
          <w:tcPr>
            <w:tcW w:w="1514" w:type="dxa"/>
            <w:gridSpan w:val="2"/>
          </w:tcPr>
          <w:p w14:paraId="3D04BEA1">
            <w:pPr>
              <w:jc w:val="both"/>
              <w:rPr>
                <w:rFonts w:eastAsia="宋体"/>
                <w:color w:val="auto"/>
                <w:sz w:val="21"/>
                <w:szCs w:val="21"/>
                <w:lang w:eastAsia="zh-CN" w:bidi="ar-SA"/>
              </w:rPr>
            </w:pPr>
          </w:p>
        </w:tc>
      </w:tr>
      <w:tr w14:paraId="7CFAF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exact"/>
        </w:trPr>
        <w:tc>
          <w:tcPr>
            <w:tcW w:w="2047" w:type="dxa"/>
            <w:vAlign w:val="center"/>
          </w:tcPr>
          <w:p w14:paraId="20BA3BA5">
            <w:pPr>
              <w:jc w:val="center"/>
              <w:rPr>
                <w:rFonts w:eastAsia="宋体"/>
                <w:color w:val="auto"/>
                <w:sz w:val="21"/>
                <w:szCs w:val="21"/>
                <w:lang w:eastAsia="zh-CN" w:bidi="ar-SA"/>
              </w:rPr>
            </w:pPr>
            <w:r>
              <w:rPr>
                <w:rFonts w:hAnsi="宋体" w:eastAsia="宋体"/>
                <w:color w:val="auto"/>
                <w:sz w:val="21"/>
                <w:szCs w:val="21"/>
                <w:lang w:eastAsia="zh-CN" w:bidi="ar-SA"/>
              </w:rPr>
              <w:t>成立日期</w:t>
            </w:r>
          </w:p>
        </w:tc>
        <w:tc>
          <w:tcPr>
            <w:tcW w:w="3212" w:type="dxa"/>
            <w:gridSpan w:val="3"/>
          </w:tcPr>
          <w:p w14:paraId="238EF24C">
            <w:pPr>
              <w:jc w:val="both"/>
              <w:rPr>
                <w:rFonts w:eastAsia="宋体"/>
                <w:color w:val="auto"/>
                <w:sz w:val="21"/>
                <w:szCs w:val="21"/>
                <w:lang w:eastAsia="zh-CN" w:bidi="ar-SA"/>
              </w:rPr>
            </w:pPr>
          </w:p>
        </w:tc>
        <w:tc>
          <w:tcPr>
            <w:tcW w:w="413" w:type="dxa"/>
            <w:vMerge w:val="continue"/>
          </w:tcPr>
          <w:p w14:paraId="3DF220C8">
            <w:pPr>
              <w:jc w:val="both"/>
              <w:rPr>
                <w:rFonts w:eastAsia="宋体"/>
                <w:color w:val="auto"/>
                <w:sz w:val="21"/>
                <w:szCs w:val="21"/>
                <w:lang w:eastAsia="zh-CN" w:bidi="ar-SA"/>
              </w:rPr>
            </w:pPr>
          </w:p>
        </w:tc>
        <w:tc>
          <w:tcPr>
            <w:tcW w:w="1702" w:type="dxa"/>
            <w:gridSpan w:val="2"/>
            <w:vAlign w:val="center"/>
          </w:tcPr>
          <w:p w14:paraId="0CE063F6">
            <w:pPr>
              <w:jc w:val="center"/>
              <w:rPr>
                <w:rFonts w:eastAsia="宋体"/>
                <w:color w:val="auto"/>
                <w:sz w:val="21"/>
                <w:szCs w:val="21"/>
                <w:lang w:eastAsia="zh-CN" w:bidi="ar-SA"/>
              </w:rPr>
            </w:pPr>
            <w:r>
              <w:rPr>
                <w:rFonts w:hAnsi="宋体" w:eastAsia="宋体"/>
                <w:color w:val="auto"/>
                <w:sz w:val="21"/>
                <w:szCs w:val="21"/>
                <w:lang w:eastAsia="zh-CN" w:bidi="ar-SA"/>
              </w:rPr>
              <w:t>中级职称人员</w:t>
            </w:r>
          </w:p>
        </w:tc>
        <w:tc>
          <w:tcPr>
            <w:tcW w:w="1514" w:type="dxa"/>
            <w:gridSpan w:val="2"/>
          </w:tcPr>
          <w:p w14:paraId="17679CE7">
            <w:pPr>
              <w:jc w:val="both"/>
              <w:rPr>
                <w:rFonts w:eastAsia="宋体"/>
                <w:color w:val="auto"/>
                <w:sz w:val="21"/>
                <w:szCs w:val="21"/>
                <w:lang w:eastAsia="zh-CN" w:bidi="ar-SA"/>
              </w:rPr>
            </w:pPr>
          </w:p>
        </w:tc>
      </w:tr>
      <w:tr w14:paraId="2DD078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exact"/>
        </w:trPr>
        <w:tc>
          <w:tcPr>
            <w:tcW w:w="2047" w:type="dxa"/>
            <w:vAlign w:val="center"/>
          </w:tcPr>
          <w:p w14:paraId="42DAE8BE">
            <w:pPr>
              <w:jc w:val="center"/>
              <w:rPr>
                <w:rFonts w:eastAsia="宋体"/>
                <w:color w:val="auto"/>
                <w:sz w:val="21"/>
                <w:szCs w:val="21"/>
                <w:lang w:eastAsia="zh-CN" w:bidi="ar-SA"/>
              </w:rPr>
            </w:pPr>
            <w:r>
              <w:rPr>
                <w:rFonts w:hAnsi="宋体" w:eastAsia="宋体"/>
                <w:color w:val="auto"/>
                <w:sz w:val="21"/>
                <w:szCs w:val="21"/>
                <w:lang w:eastAsia="zh-CN" w:bidi="ar-SA"/>
              </w:rPr>
              <w:t>基本账户开户银行</w:t>
            </w:r>
          </w:p>
        </w:tc>
        <w:tc>
          <w:tcPr>
            <w:tcW w:w="3212" w:type="dxa"/>
            <w:gridSpan w:val="3"/>
          </w:tcPr>
          <w:p w14:paraId="631FABF2">
            <w:pPr>
              <w:jc w:val="both"/>
              <w:rPr>
                <w:rFonts w:eastAsia="宋体"/>
                <w:color w:val="auto"/>
                <w:sz w:val="21"/>
                <w:szCs w:val="21"/>
                <w:lang w:eastAsia="zh-CN" w:bidi="ar-SA"/>
              </w:rPr>
            </w:pPr>
          </w:p>
        </w:tc>
        <w:tc>
          <w:tcPr>
            <w:tcW w:w="413" w:type="dxa"/>
            <w:vMerge w:val="continue"/>
          </w:tcPr>
          <w:p w14:paraId="51144478">
            <w:pPr>
              <w:jc w:val="both"/>
              <w:rPr>
                <w:rFonts w:eastAsia="宋体"/>
                <w:color w:val="auto"/>
                <w:sz w:val="21"/>
                <w:szCs w:val="21"/>
                <w:lang w:eastAsia="zh-CN" w:bidi="ar-SA"/>
              </w:rPr>
            </w:pPr>
          </w:p>
        </w:tc>
        <w:tc>
          <w:tcPr>
            <w:tcW w:w="1702" w:type="dxa"/>
            <w:gridSpan w:val="2"/>
            <w:vAlign w:val="center"/>
          </w:tcPr>
          <w:p w14:paraId="11939C78">
            <w:pPr>
              <w:jc w:val="center"/>
              <w:rPr>
                <w:rFonts w:eastAsia="宋体"/>
                <w:color w:val="auto"/>
                <w:sz w:val="21"/>
                <w:szCs w:val="21"/>
                <w:lang w:eastAsia="zh-CN" w:bidi="ar-SA"/>
              </w:rPr>
            </w:pPr>
            <w:r>
              <w:rPr>
                <w:rFonts w:hAnsi="宋体" w:eastAsia="宋体"/>
                <w:color w:val="auto"/>
                <w:sz w:val="21"/>
                <w:szCs w:val="21"/>
                <w:lang w:eastAsia="zh-CN" w:bidi="ar-SA"/>
              </w:rPr>
              <w:t>技术人员数量</w:t>
            </w:r>
          </w:p>
        </w:tc>
        <w:tc>
          <w:tcPr>
            <w:tcW w:w="1514" w:type="dxa"/>
            <w:gridSpan w:val="2"/>
          </w:tcPr>
          <w:p w14:paraId="66E65825">
            <w:pPr>
              <w:jc w:val="both"/>
              <w:rPr>
                <w:rFonts w:eastAsia="宋体"/>
                <w:color w:val="auto"/>
                <w:sz w:val="21"/>
                <w:szCs w:val="21"/>
                <w:lang w:eastAsia="zh-CN" w:bidi="ar-SA"/>
              </w:rPr>
            </w:pPr>
          </w:p>
        </w:tc>
      </w:tr>
      <w:tr w14:paraId="5C8CD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exact"/>
        </w:trPr>
        <w:tc>
          <w:tcPr>
            <w:tcW w:w="2047" w:type="dxa"/>
            <w:vAlign w:val="center"/>
          </w:tcPr>
          <w:p w14:paraId="31A23646">
            <w:pPr>
              <w:jc w:val="center"/>
              <w:rPr>
                <w:rFonts w:eastAsia="宋体"/>
                <w:color w:val="auto"/>
                <w:sz w:val="21"/>
                <w:szCs w:val="21"/>
                <w:lang w:eastAsia="zh-CN" w:bidi="ar-SA"/>
              </w:rPr>
            </w:pPr>
            <w:r>
              <w:rPr>
                <w:rFonts w:hAnsi="宋体" w:eastAsia="宋体"/>
                <w:color w:val="auto"/>
                <w:sz w:val="21"/>
                <w:szCs w:val="21"/>
                <w:lang w:eastAsia="zh-CN" w:bidi="ar-SA"/>
              </w:rPr>
              <w:t>基本账户银行账号</w:t>
            </w:r>
          </w:p>
        </w:tc>
        <w:tc>
          <w:tcPr>
            <w:tcW w:w="3212" w:type="dxa"/>
            <w:gridSpan w:val="3"/>
          </w:tcPr>
          <w:p w14:paraId="3708DB0B">
            <w:pPr>
              <w:jc w:val="both"/>
              <w:rPr>
                <w:rFonts w:eastAsia="宋体"/>
                <w:color w:val="auto"/>
                <w:sz w:val="21"/>
                <w:szCs w:val="21"/>
                <w:lang w:eastAsia="zh-CN" w:bidi="ar-SA"/>
              </w:rPr>
            </w:pPr>
          </w:p>
        </w:tc>
        <w:tc>
          <w:tcPr>
            <w:tcW w:w="413" w:type="dxa"/>
            <w:vMerge w:val="continue"/>
          </w:tcPr>
          <w:p w14:paraId="69C81700">
            <w:pPr>
              <w:jc w:val="both"/>
              <w:rPr>
                <w:rFonts w:eastAsia="宋体"/>
                <w:color w:val="auto"/>
                <w:sz w:val="21"/>
                <w:szCs w:val="21"/>
                <w:lang w:eastAsia="zh-CN" w:bidi="ar-SA"/>
              </w:rPr>
            </w:pPr>
          </w:p>
        </w:tc>
        <w:tc>
          <w:tcPr>
            <w:tcW w:w="1702" w:type="dxa"/>
            <w:gridSpan w:val="2"/>
            <w:vAlign w:val="center"/>
          </w:tcPr>
          <w:p w14:paraId="3C274B51">
            <w:pPr>
              <w:jc w:val="center"/>
              <w:rPr>
                <w:rFonts w:eastAsia="宋体"/>
                <w:color w:val="auto"/>
                <w:sz w:val="21"/>
                <w:szCs w:val="21"/>
                <w:lang w:eastAsia="zh-CN" w:bidi="ar-SA"/>
              </w:rPr>
            </w:pPr>
            <w:r>
              <w:rPr>
                <w:rFonts w:hAnsi="宋体" w:eastAsia="宋体"/>
                <w:color w:val="auto"/>
                <w:sz w:val="21"/>
                <w:szCs w:val="21"/>
                <w:lang w:eastAsia="zh-CN" w:bidi="ar-SA"/>
              </w:rPr>
              <w:t>各类注册人员</w:t>
            </w:r>
          </w:p>
        </w:tc>
        <w:tc>
          <w:tcPr>
            <w:tcW w:w="1514" w:type="dxa"/>
            <w:gridSpan w:val="2"/>
          </w:tcPr>
          <w:p w14:paraId="4A8146FB">
            <w:pPr>
              <w:jc w:val="both"/>
              <w:rPr>
                <w:rFonts w:eastAsia="宋体"/>
                <w:color w:val="auto"/>
                <w:sz w:val="21"/>
                <w:szCs w:val="21"/>
                <w:lang w:eastAsia="zh-CN" w:bidi="ar-SA"/>
              </w:rPr>
            </w:pPr>
          </w:p>
        </w:tc>
      </w:tr>
      <w:tr w14:paraId="316E2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5" w:hRule="exact"/>
        </w:trPr>
        <w:tc>
          <w:tcPr>
            <w:tcW w:w="2047" w:type="dxa"/>
            <w:vAlign w:val="center"/>
          </w:tcPr>
          <w:p w14:paraId="22DC38A2">
            <w:pPr>
              <w:jc w:val="center"/>
              <w:rPr>
                <w:rFonts w:eastAsia="宋体"/>
                <w:color w:val="auto"/>
                <w:sz w:val="21"/>
                <w:szCs w:val="21"/>
                <w:lang w:eastAsia="zh-CN" w:bidi="ar-SA"/>
              </w:rPr>
            </w:pPr>
            <w:r>
              <w:rPr>
                <w:rFonts w:hAnsi="宋体" w:eastAsia="宋体"/>
                <w:color w:val="auto"/>
                <w:sz w:val="21"/>
                <w:szCs w:val="21"/>
                <w:lang w:eastAsia="zh-CN" w:bidi="ar-SA"/>
              </w:rPr>
              <w:t>经营范围</w:t>
            </w:r>
          </w:p>
        </w:tc>
        <w:tc>
          <w:tcPr>
            <w:tcW w:w="6841" w:type="dxa"/>
            <w:gridSpan w:val="8"/>
          </w:tcPr>
          <w:p w14:paraId="757555EC">
            <w:pPr>
              <w:jc w:val="both"/>
              <w:rPr>
                <w:rFonts w:eastAsia="宋体"/>
                <w:color w:val="auto"/>
                <w:sz w:val="21"/>
                <w:szCs w:val="21"/>
                <w:lang w:eastAsia="zh-CN" w:bidi="ar-SA"/>
              </w:rPr>
            </w:pPr>
          </w:p>
        </w:tc>
      </w:tr>
      <w:tr w14:paraId="72B4CC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8" w:hRule="exact"/>
        </w:trPr>
        <w:tc>
          <w:tcPr>
            <w:tcW w:w="2047" w:type="dxa"/>
            <w:vAlign w:val="center"/>
          </w:tcPr>
          <w:p w14:paraId="6A9A0FBA">
            <w:pPr>
              <w:jc w:val="center"/>
              <w:rPr>
                <w:rFonts w:eastAsia="宋体"/>
                <w:color w:val="auto"/>
                <w:sz w:val="21"/>
                <w:szCs w:val="21"/>
                <w:lang w:eastAsia="zh-CN" w:bidi="ar-SA"/>
              </w:rPr>
            </w:pPr>
            <w:r>
              <w:rPr>
                <w:rFonts w:hAnsi="宋体" w:eastAsia="宋体"/>
                <w:color w:val="auto"/>
                <w:sz w:val="21"/>
                <w:szCs w:val="21"/>
                <w:lang w:eastAsia="zh-CN" w:bidi="ar-SA"/>
              </w:rPr>
              <w:t>投标人关联企业情况</w:t>
            </w:r>
          </w:p>
        </w:tc>
        <w:tc>
          <w:tcPr>
            <w:tcW w:w="6841" w:type="dxa"/>
            <w:gridSpan w:val="8"/>
            <w:vAlign w:val="center"/>
          </w:tcPr>
          <w:p w14:paraId="335A40B7">
            <w:pPr>
              <w:rPr>
                <w:rFonts w:eastAsia="宋体"/>
                <w:color w:val="auto"/>
                <w:sz w:val="21"/>
                <w:szCs w:val="21"/>
                <w:lang w:eastAsia="zh-CN" w:bidi="ar-SA"/>
              </w:rPr>
            </w:pPr>
            <w:r>
              <w:rPr>
                <w:rFonts w:hAnsi="宋体" w:eastAsia="宋体"/>
                <w:color w:val="auto"/>
                <w:sz w:val="21"/>
                <w:szCs w:val="21"/>
                <w:lang w:eastAsia="zh-CN" w:bidi="ar-SA"/>
              </w:rPr>
              <w:t>投标人应提供关联企业情况，包括：</w:t>
            </w:r>
          </w:p>
          <w:p w14:paraId="287186C5">
            <w:pPr>
              <w:rPr>
                <w:rFonts w:eastAsia="宋体"/>
                <w:color w:val="auto"/>
                <w:sz w:val="21"/>
                <w:szCs w:val="21"/>
                <w:lang w:eastAsia="zh-CN" w:bidi="ar-SA"/>
              </w:rPr>
            </w:pPr>
            <w:r>
              <w:rPr>
                <w:rFonts w:hint="eastAsia" w:hAnsi="宋体" w:eastAsia="宋体"/>
                <w:color w:val="auto"/>
                <w:sz w:val="21"/>
                <w:szCs w:val="21"/>
                <w:lang w:eastAsia="zh-CN" w:bidi="ar-SA"/>
              </w:rPr>
              <w:t>（1）</w:t>
            </w:r>
            <w:r>
              <w:rPr>
                <w:rFonts w:hAnsi="宋体" w:eastAsia="宋体"/>
                <w:color w:val="auto"/>
                <w:sz w:val="21"/>
                <w:szCs w:val="21"/>
                <w:lang w:eastAsia="zh-CN" w:bidi="ar-SA"/>
              </w:rPr>
              <w:t>投标人的所有股东名称及相应股权（出资额）比例：如投标人为上市公司，投标人应提供股权占公司股份总数</w:t>
            </w:r>
            <w:r>
              <w:rPr>
                <w:rFonts w:hint="eastAsia" w:eastAsia="宋体"/>
                <w:color w:val="auto"/>
                <w:sz w:val="21"/>
                <w:szCs w:val="21"/>
                <w:u w:val="single"/>
                <w:lang w:eastAsia="zh-CN" w:bidi="ar-SA"/>
              </w:rPr>
              <w:t>10</w:t>
            </w:r>
            <w:r>
              <w:rPr>
                <w:rFonts w:eastAsia="宋体"/>
                <w:color w:val="auto"/>
                <w:sz w:val="21"/>
                <w:szCs w:val="21"/>
                <w:u w:val="single"/>
                <w:lang w:eastAsia="zh-CN" w:bidi="ar-SA"/>
              </w:rPr>
              <w:t xml:space="preserve"> </w:t>
            </w:r>
            <w:r>
              <w:rPr>
                <w:rFonts w:eastAsia="宋体"/>
                <w:color w:val="auto"/>
                <w:sz w:val="21"/>
                <w:szCs w:val="21"/>
                <w:lang w:eastAsia="zh-CN" w:bidi="ar-SA"/>
              </w:rPr>
              <w:t>%</w:t>
            </w:r>
            <w:r>
              <w:rPr>
                <w:rFonts w:hAnsi="宋体" w:eastAsia="宋体"/>
                <w:color w:val="auto"/>
                <w:sz w:val="21"/>
                <w:szCs w:val="21"/>
                <w:lang w:eastAsia="zh-CN" w:bidi="ar-SA"/>
              </w:rPr>
              <w:t>以上的所有股东名称及相应股权比例</w:t>
            </w:r>
            <w:r>
              <w:rPr>
                <w:rFonts w:hint="eastAsia" w:hAnsi="宋体" w:eastAsia="宋体"/>
                <w:color w:val="auto"/>
                <w:sz w:val="21"/>
                <w:szCs w:val="21"/>
                <w:lang w:eastAsia="zh-CN" w:bidi="ar-SA"/>
              </w:rPr>
              <w:t>；</w:t>
            </w:r>
          </w:p>
          <w:p w14:paraId="264C08B0">
            <w:pPr>
              <w:rPr>
                <w:rFonts w:eastAsia="宋体"/>
                <w:color w:val="auto"/>
                <w:sz w:val="21"/>
                <w:szCs w:val="21"/>
                <w:lang w:eastAsia="zh-CN" w:bidi="ar-SA"/>
              </w:rPr>
            </w:pPr>
            <w:r>
              <w:rPr>
                <w:rFonts w:hint="eastAsia" w:hAnsi="宋体" w:eastAsia="宋体"/>
                <w:color w:val="auto"/>
                <w:sz w:val="21"/>
                <w:szCs w:val="21"/>
                <w:lang w:eastAsia="zh-CN" w:bidi="ar-SA"/>
              </w:rPr>
              <w:t>（2）</w:t>
            </w:r>
            <w:r>
              <w:rPr>
                <w:rFonts w:hAnsi="宋体" w:eastAsia="宋体"/>
                <w:color w:val="auto"/>
                <w:sz w:val="21"/>
                <w:szCs w:val="21"/>
                <w:lang w:eastAsia="zh-CN" w:bidi="ar-SA"/>
              </w:rPr>
              <w:t>投标人投资（控股）或管理的下属企业名称、持有股权（出资额）比例；</w:t>
            </w:r>
          </w:p>
          <w:p w14:paraId="4DF6089A">
            <w:pPr>
              <w:rPr>
                <w:rFonts w:eastAsia="宋体"/>
                <w:color w:val="auto"/>
                <w:sz w:val="21"/>
                <w:szCs w:val="21"/>
                <w:lang w:eastAsia="zh-CN" w:bidi="ar-SA"/>
              </w:rPr>
            </w:pPr>
            <w:r>
              <w:rPr>
                <w:rFonts w:hint="eastAsia" w:hAnsi="宋体" w:eastAsia="宋体"/>
                <w:color w:val="auto"/>
                <w:sz w:val="21"/>
                <w:szCs w:val="21"/>
                <w:lang w:eastAsia="zh-CN" w:bidi="ar-SA"/>
              </w:rPr>
              <w:t>（3）</w:t>
            </w:r>
            <w:r>
              <w:rPr>
                <w:rFonts w:hAnsi="宋体" w:eastAsia="宋体"/>
                <w:color w:val="auto"/>
                <w:sz w:val="21"/>
                <w:szCs w:val="21"/>
                <w:lang w:eastAsia="zh-CN" w:bidi="ar-SA"/>
              </w:rPr>
              <w:t>与投标人单位负责人（即法定代表人）为同一人的其他单位名称</w:t>
            </w:r>
          </w:p>
        </w:tc>
      </w:tr>
      <w:tr w14:paraId="5F2527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6" w:hRule="exact"/>
        </w:trPr>
        <w:tc>
          <w:tcPr>
            <w:tcW w:w="2047" w:type="dxa"/>
            <w:vAlign w:val="center"/>
          </w:tcPr>
          <w:p w14:paraId="1D1301DC">
            <w:pPr>
              <w:jc w:val="center"/>
              <w:rPr>
                <w:rFonts w:eastAsia="宋体"/>
                <w:color w:val="auto"/>
                <w:sz w:val="21"/>
                <w:szCs w:val="21"/>
                <w:lang w:eastAsia="zh-CN" w:bidi="ar-SA"/>
              </w:rPr>
            </w:pPr>
            <w:r>
              <w:rPr>
                <w:rFonts w:hAnsi="宋体" w:eastAsia="宋体"/>
                <w:color w:val="auto"/>
                <w:sz w:val="21"/>
                <w:szCs w:val="21"/>
                <w:lang w:eastAsia="zh-CN" w:bidi="ar-SA"/>
              </w:rPr>
              <w:t>备注</w:t>
            </w:r>
          </w:p>
        </w:tc>
        <w:tc>
          <w:tcPr>
            <w:tcW w:w="6841" w:type="dxa"/>
            <w:gridSpan w:val="8"/>
            <w:vAlign w:val="center"/>
          </w:tcPr>
          <w:p w14:paraId="7D3B186E">
            <w:pPr>
              <w:jc w:val="both"/>
              <w:rPr>
                <w:rFonts w:eastAsia="宋体"/>
                <w:color w:val="auto"/>
                <w:sz w:val="21"/>
                <w:szCs w:val="21"/>
                <w:lang w:eastAsia="zh-CN" w:bidi="ar-SA"/>
              </w:rPr>
            </w:pPr>
          </w:p>
        </w:tc>
      </w:tr>
    </w:tbl>
    <w:p w14:paraId="2F57F790">
      <w:pPr>
        <w:widowControl/>
        <w:wordWrap w:val="0"/>
        <w:autoSpaceDE w:val="0"/>
        <w:autoSpaceDN w:val="0"/>
        <w:jc w:val="both"/>
        <w:textAlignment w:val="bottom"/>
        <w:rPr>
          <w:rFonts w:hint="eastAsia" w:ascii="宋体" w:hAnsi="宋体" w:eastAsia="宋体" w:cs="宋体"/>
          <w:color w:val="auto"/>
          <w:sz w:val="21"/>
          <w:szCs w:val="21"/>
          <w:lang w:eastAsia="zh-CN" w:bidi="ar-SA"/>
        </w:rPr>
      </w:pPr>
    </w:p>
    <w:p w14:paraId="5CC120FC">
      <w:pPr>
        <w:widowControl/>
        <w:wordWrap w:val="0"/>
        <w:autoSpaceDE w:val="0"/>
        <w:autoSpaceDN w:val="0"/>
        <w:jc w:val="both"/>
        <w:textAlignment w:val="bottom"/>
        <w:rPr>
          <w:rFonts w:hint="eastAsia" w:ascii="宋体" w:hAnsi="宋体" w:eastAsia="宋体" w:cs="宋体"/>
          <w:color w:val="auto"/>
          <w:sz w:val="21"/>
          <w:szCs w:val="21"/>
          <w:lang w:eastAsia="zh-CN" w:bidi="ar-SA"/>
        </w:rPr>
      </w:pPr>
    </w:p>
    <w:p w14:paraId="781B3CEF">
      <w:pPr>
        <w:widowControl/>
        <w:wordWrap w:val="0"/>
        <w:autoSpaceDE w:val="0"/>
        <w:autoSpaceDN w:val="0"/>
        <w:spacing w:line="276" w:lineRule="auto"/>
        <w:jc w:val="both"/>
        <w:textAlignment w:val="bottom"/>
        <w:rPr>
          <w:rFonts w:hint="eastAsia" w:ascii="宋体" w:hAnsi="宋体" w:eastAsia="宋体" w:cs="宋体"/>
          <w:color w:val="auto"/>
          <w:sz w:val="21"/>
          <w:szCs w:val="21"/>
          <w:lang w:eastAsia="zh-CN" w:bidi="ar-SA"/>
        </w:rPr>
      </w:pPr>
      <w:r>
        <w:rPr>
          <w:rFonts w:hint="eastAsia" w:ascii="宋体" w:hAnsi="宋体" w:eastAsia="宋体" w:cs="宋体"/>
          <w:color w:val="auto"/>
          <w:sz w:val="21"/>
          <w:szCs w:val="21"/>
          <w:lang w:eastAsia="zh-CN" w:bidi="ar-SA"/>
        </w:rPr>
        <w:t xml:space="preserve">注： </w:t>
      </w:r>
    </w:p>
    <w:p w14:paraId="47FD916A">
      <w:pPr>
        <w:widowControl/>
        <w:wordWrap w:val="0"/>
        <w:autoSpaceDE w:val="0"/>
        <w:autoSpaceDN w:val="0"/>
        <w:spacing w:line="276" w:lineRule="auto"/>
        <w:jc w:val="both"/>
        <w:textAlignment w:val="bottom"/>
        <w:rPr>
          <w:rFonts w:hint="eastAsia" w:ascii="宋体" w:hAnsi="宋体" w:eastAsia="宋体" w:cs="宋体"/>
          <w:color w:val="auto"/>
          <w:sz w:val="21"/>
          <w:szCs w:val="21"/>
          <w:lang w:eastAsia="zh-CN" w:bidi="ar-SA"/>
        </w:rPr>
      </w:pPr>
      <w:r>
        <w:rPr>
          <w:rFonts w:hint="eastAsia" w:ascii="宋体" w:hAnsi="宋体" w:eastAsia="宋体" w:cs="宋体"/>
          <w:color w:val="auto"/>
          <w:sz w:val="21"/>
          <w:szCs w:val="21"/>
          <w:lang w:eastAsia="zh-CN" w:bidi="ar-SA"/>
        </w:rPr>
        <w:t>1.投标人应按招标文件第二章“投标人须知前附表”第3</w:t>
      </w:r>
      <w:r>
        <w:rPr>
          <w:rFonts w:ascii="宋体" w:hAnsi="宋体" w:eastAsia="宋体" w:cs="宋体"/>
          <w:color w:val="auto"/>
          <w:sz w:val="21"/>
          <w:szCs w:val="21"/>
          <w:lang w:eastAsia="zh-CN" w:bidi="ar-SA"/>
        </w:rPr>
        <w:t>.5.1</w:t>
      </w:r>
      <w:r>
        <w:rPr>
          <w:rFonts w:hint="eastAsia" w:ascii="宋体" w:hAnsi="宋体" w:eastAsia="宋体" w:cs="宋体"/>
          <w:color w:val="auto"/>
          <w:sz w:val="21"/>
          <w:szCs w:val="21"/>
          <w:lang w:eastAsia="zh-CN" w:bidi="ar-SA"/>
        </w:rPr>
        <w:t>款要求附相关证明材料，并逐页加盖投标人单位公章。</w:t>
      </w:r>
    </w:p>
    <w:p w14:paraId="65C05B42">
      <w:pPr>
        <w:widowControl/>
        <w:wordWrap w:val="0"/>
        <w:autoSpaceDE w:val="0"/>
        <w:autoSpaceDN w:val="0"/>
        <w:spacing w:line="276" w:lineRule="auto"/>
        <w:jc w:val="both"/>
        <w:textAlignment w:val="bottom"/>
        <w:rPr>
          <w:rFonts w:hint="eastAsia" w:ascii="宋体" w:hAnsi="宋体" w:eastAsia="宋体" w:cs="宋体"/>
          <w:color w:val="auto"/>
          <w:sz w:val="21"/>
          <w:szCs w:val="21"/>
          <w:lang w:eastAsia="zh-CN" w:bidi="ar-SA"/>
        </w:rPr>
      </w:pPr>
      <w:r>
        <w:rPr>
          <w:rFonts w:hint="eastAsia" w:ascii="宋体" w:hAnsi="宋体" w:eastAsia="宋体" w:cs="宋体"/>
          <w:color w:val="auto"/>
          <w:sz w:val="21"/>
          <w:szCs w:val="21"/>
          <w:lang w:eastAsia="zh-CN" w:bidi="ar-SA"/>
        </w:rPr>
        <w:t>2.如投标人近五年内发生法人合法变更或重组，应提供相关部门的合法批件或其他证明材料。</w:t>
      </w:r>
      <w:bookmarkStart w:id="946" w:name="_Hlk60992791"/>
    </w:p>
    <w:bookmarkEnd w:id="946"/>
    <w:p w14:paraId="1F79E552">
      <w:pPr>
        <w:widowControl/>
        <w:wordWrap w:val="0"/>
        <w:autoSpaceDE w:val="0"/>
        <w:autoSpaceDN w:val="0"/>
        <w:ind w:left="734" w:leftChars="221" w:hanging="204" w:hangingChars="85"/>
        <w:jc w:val="both"/>
        <w:textAlignment w:val="bottom"/>
        <w:rPr>
          <w:rFonts w:eastAsia="宋体" w:cs="宋体"/>
          <w:color w:val="auto"/>
          <w:lang w:eastAsia="zh-CN" w:bidi="ar-SA"/>
        </w:rPr>
      </w:pPr>
    </w:p>
    <w:p w14:paraId="225F354F">
      <w:pPr>
        <w:spacing w:line="360" w:lineRule="auto"/>
        <w:ind w:firstLine="3456" w:firstLineChars="1440"/>
        <w:jc w:val="both"/>
        <w:rPr>
          <w:rFonts w:hint="eastAsia" w:ascii="宋体" w:hAnsi="宋体" w:eastAsia="宋体"/>
          <w:color w:val="auto"/>
          <w:kern w:val="2"/>
          <w:lang w:eastAsia="zh-CN" w:bidi="ar-SA"/>
        </w:rPr>
      </w:pPr>
    </w:p>
    <w:p w14:paraId="398CEC38">
      <w:pPr>
        <w:spacing w:line="360" w:lineRule="auto"/>
        <w:ind w:firstLine="3456" w:firstLineChars="1440"/>
        <w:jc w:val="both"/>
        <w:rPr>
          <w:rFonts w:hint="eastAsia" w:ascii="宋体" w:hAnsi="宋体" w:eastAsia="宋体"/>
          <w:color w:val="auto"/>
          <w:kern w:val="2"/>
          <w:lang w:eastAsia="zh-CN" w:bidi="ar-SA"/>
        </w:rPr>
      </w:pPr>
      <w:bookmarkStart w:id="947" w:name="_Hlk44494990"/>
      <w:r>
        <w:rPr>
          <w:rFonts w:ascii="宋体" w:hAnsi="宋体" w:eastAsia="宋体"/>
          <w:color w:val="auto"/>
          <w:kern w:val="2"/>
          <w:lang w:eastAsia="zh-CN" w:bidi="ar-SA"/>
        </w:rPr>
        <w:t>投 标 人：</w:t>
      </w:r>
      <w:r>
        <w:rPr>
          <w:rFonts w:ascii="宋体" w:hAnsi="宋体" w:eastAsia="宋体"/>
          <w:color w:val="auto"/>
          <w:kern w:val="2"/>
          <w:u w:val="single"/>
          <w:lang w:eastAsia="zh-CN" w:bidi="ar-SA"/>
        </w:rPr>
        <w:t xml:space="preserve">   </w:t>
      </w:r>
      <w:r>
        <w:rPr>
          <w:rFonts w:hint="eastAsia" w:ascii="宋体" w:hAnsi="宋体" w:eastAsia="宋体"/>
          <w:color w:val="auto"/>
          <w:kern w:val="2"/>
          <w:u w:val="single"/>
          <w:lang w:eastAsia="zh-CN" w:bidi="ar-SA"/>
        </w:rPr>
        <w:t>（加盖投标人单位电子公章）</w:t>
      </w:r>
      <w:r>
        <w:rPr>
          <w:rFonts w:ascii="宋体" w:hAnsi="宋体" w:eastAsia="宋体"/>
          <w:color w:val="auto"/>
          <w:kern w:val="2"/>
          <w:u w:val="single"/>
          <w:lang w:eastAsia="zh-CN" w:bidi="ar-SA"/>
        </w:rPr>
        <w:t xml:space="preserve">     </w:t>
      </w:r>
    </w:p>
    <w:p w14:paraId="6E4EF5FC">
      <w:pPr>
        <w:topLinePunct/>
        <w:spacing w:line="360" w:lineRule="auto"/>
        <w:ind w:left="334" w:firstLine="3084" w:firstLineChars="1285"/>
        <w:jc w:val="both"/>
        <w:rPr>
          <w:rFonts w:eastAsia="宋体"/>
          <w:color w:val="auto"/>
          <w:kern w:val="2"/>
          <w:lang w:eastAsia="zh-CN" w:bidi="ar-SA"/>
        </w:rPr>
      </w:pPr>
      <w:r>
        <w:rPr>
          <w:rFonts w:ascii="宋体" w:hAnsi="宋体" w:eastAsia="宋体"/>
          <w:color w:val="auto"/>
          <w:kern w:val="2"/>
          <w:lang w:eastAsia="zh-CN" w:bidi="ar-SA"/>
        </w:rPr>
        <w:t>法定代表人：</w:t>
      </w:r>
      <w:r>
        <w:rPr>
          <w:rFonts w:ascii="宋体" w:hAnsi="宋体" w:eastAsia="宋体"/>
          <w:color w:val="auto"/>
          <w:kern w:val="2"/>
          <w:u w:val="single"/>
          <w:lang w:eastAsia="zh-CN" w:bidi="ar-SA"/>
        </w:rPr>
        <w:t xml:space="preserve"> </w:t>
      </w:r>
      <w:r>
        <w:rPr>
          <w:rFonts w:hint="eastAsia" w:ascii="宋体" w:hAnsi="宋体" w:eastAsia="宋体"/>
          <w:color w:val="auto"/>
          <w:kern w:val="2"/>
          <w:u w:val="single"/>
          <w:lang w:eastAsia="zh-CN" w:bidi="ar-SA"/>
        </w:rPr>
        <w:t xml:space="preserve">（加盖法定代表人电子签名） </w:t>
      </w:r>
      <w:r>
        <w:rPr>
          <w:rFonts w:ascii="宋体" w:hAnsi="宋体" w:eastAsia="宋体"/>
          <w:color w:val="auto"/>
          <w:kern w:val="2"/>
          <w:u w:val="single"/>
          <w:lang w:eastAsia="zh-CN" w:bidi="ar-SA"/>
        </w:rPr>
        <w:t xml:space="preserve">   </w:t>
      </w:r>
      <w:bookmarkEnd w:id="947"/>
      <w:r>
        <w:rPr>
          <w:rFonts w:ascii="宋体" w:hAnsi="宋体" w:eastAsia="宋体"/>
          <w:color w:val="auto"/>
          <w:kern w:val="2"/>
          <w:u w:val="single"/>
          <w:lang w:eastAsia="zh-CN" w:bidi="ar-SA"/>
        </w:rPr>
        <w:t xml:space="preserve"> </w:t>
      </w:r>
    </w:p>
    <w:p w14:paraId="76DFE79C">
      <w:pPr>
        <w:wordWrap w:val="0"/>
        <w:spacing w:line="360" w:lineRule="auto"/>
        <w:jc w:val="center"/>
        <w:rPr>
          <w:rFonts w:eastAsia="宋体" w:cs="宋体"/>
          <w:b/>
          <w:color w:val="auto"/>
          <w:lang w:eastAsia="zh-CN" w:bidi="ar-SA"/>
        </w:rPr>
        <w:sectPr>
          <w:footnotePr>
            <w:numFmt w:val="decimalEnclosedCircleChinese"/>
            <w:numRestart w:val="eachPage"/>
          </w:footnotePr>
          <w:pgSz w:w="11906" w:h="16838"/>
          <w:pgMar w:top="1418" w:right="1588" w:bottom="1418" w:left="1588" w:header="680" w:footer="992" w:gutter="0"/>
          <w:cols w:space="720" w:num="1"/>
          <w:docGrid w:linePitch="326" w:charSpace="0"/>
        </w:sectPr>
      </w:pPr>
    </w:p>
    <w:p w14:paraId="3535850D">
      <w:pPr>
        <w:pStyle w:val="7"/>
        <w:jc w:val="center"/>
        <w:rPr>
          <w:rFonts w:eastAsia="宋体" w:cs="宋体"/>
          <w:bCs w:val="0"/>
          <w:color w:val="auto"/>
          <w:sz w:val="24"/>
          <w:szCs w:val="24"/>
          <w:lang w:eastAsia="zh-CN" w:bidi="ar-SA"/>
        </w:rPr>
      </w:pPr>
      <w:bookmarkStart w:id="948" w:name="_Toc28099"/>
      <w:r>
        <w:rPr>
          <w:rFonts w:eastAsia="宋体" w:cs="宋体"/>
          <w:bCs w:val="0"/>
          <w:color w:val="auto"/>
          <w:sz w:val="24"/>
          <w:szCs w:val="24"/>
          <w:lang w:eastAsia="zh-CN" w:bidi="ar-SA"/>
        </w:rPr>
        <w:t>（二）近年</w:t>
      </w:r>
      <w:r>
        <w:rPr>
          <w:rFonts w:hint="eastAsia" w:eastAsia="宋体" w:cs="宋体"/>
          <w:bCs w:val="0"/>
          <w:color w:val="auto"/>
          <w:sz w:val="24"/>
          <w:szCs w:val="24"/>
          <w:lang w:eastAsia="zh-CN" w:bidi="ar-SA"/>
        </w:rPr>
        <w:t>完成</w:t>
      </w:r>
      <w:r>
        <w:rPr>
          <w:rFonts w:eastAsia="宋体" w:cs="宋体"/>
          <w:bCs w:val="0"/>
          <w:color w:val="auto"/>
          <w:sz w:val="24"/>
          <w:szCs w:val="24"/>
          <w:lang w:eastAsia="zh-CN" w:bidi="ar-SA"/>
        </w:rPr>
        <w:t>的类似项目情况表</w:t>
      </w:r>
      <w:bookmarkEnd w:id="948"/>
    </w:p>
    <w:p w14:paraId="613E0AE7">
      <w:pPr>
        <w:jc w:val="center"/>
        <w:rPr>
          <w:rFonts w:hint="eastAsia" w:cs="宋体" w:asciiTheme="minorEastAsia" w:hAnsiTheme="minorEastAsia" w:eastAsiaTheme="minorEastAsia"/>
          <w:b/>
          <w:bCs/>
          <w:color w:val="auto"/>
          <w:lang w:eastAsia="zh-CN" w:bidi="ar-SA"/>
        </w:rPr>
      </w:pPr>
      <w:r>
        <w:rPr>
          <w:rFonts w:hint="eastAsia" w:cs="宋体" w:asciiTheme="minorEastAsia" w:hAnsiTheme="minorEastAsia" w:eastAsiaTheme="minorEastAsia"/>
          <w:b/>
          <w:bCs/>
          <w:color w:val="auto"/>
          <w:lang w:eastAsia="zh-CN" w:bidi="ar-SA"/>
        </w:rPr>
        <w:t xml:space="preserve">2-1 </w:t>
      </w:r>
      <w:r>
        <w:rPr>
          <w:rFonts w:cs="宋体" w:asciiTheme="minorEastAsia" w:hAnsiTheme="minorEastAsia" w:eastAsiaTheme="minorEastAsia"/>
          <w:b/>
          <w:bCs/>
          <w:color w:val="auto"/>
          <w:lang w:eastAsia="zh-CN" w:bidi="ar-SA"/>
        </w:rPr>
        <w:t>近年</w:t>
      </w:r>
      <w:r>
        <w:rPr>
          <w:rFonts w:hint="eastAsia" w:cs="宋体" w:asciiTheme="minorEastAsia" w:hAnsiTheme="minorEastAsia" w:eastAsiaTheme="minorEastAsia"/>
          <w:b/>
          <w:bCs/>
          <w:color w:val="auto"/>
          <w:lang w:eastAsia="zh-CN" w:bidi="ar-SA"/>
        </w:rPr>
        <w:t>完成的类似</w:t>
      </w:r>
      <w:r>
        <w:rPr>
          <w:rFonts w:cs="宋体" w:asciiTheme="minorEastAsia" w:hAnsiTheme="minorEastAsia" w:eastAsiaTheme="minorEastAsia"/>
          <w:b/>
          <w:bCs/>
          <w:color w:val="auto"/>
          <w:lang w:eastAsia="zh-CN" w:bidi="ar-SA"/>
        </w:rPr>
        <w:t>项目</w:t>
      </w:r>
      <w:r>
        <w:rPr>
          <w:rFonts w:hint="eastAsia" w:cs="宋体" w:asciiTheme="minorEastAsia" w:hAnsiTheme="minorEastAsia" w:eastAsiaTheme="minorEastAsia"/>
          <w:b/>
          <w:bCs/>
          <w:color w:val="auto"/>
          <w:lang w:eastAsia="zh-CN" w:bidi="ar-SA"/>
        </w:rPr>
        <w:t>业绩汇总</w:t>
      </w:r>
      <w:r>
        <w:rPr>
          <w:rFonts w:cs="宋体" w:asciiTheme="minorEastAsia" w:hAnsiTheme="minorEastAsia" w:eastAsiaTheme="minorEastAsia"/>
          <w:b/>
          <w:bCs/>
          <w:color w:val="auto"/>
          <w:lang w:eastAsia="zh-CN" w:bidi="ar-SA"/>
        </w:rPr>
        <w:t>表</w:t>
      </w:r>
    </w:p>
    <w:tbl>
      <w:tblPr>
        <w:tblStyle w:val="47"/>
        <w:tblW w:w="87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2"/>
        <w:gridCol w:w="2434"/>
        <w:gridCol w:w="1445"/>
        <w:gridCol w:w="1701"/>
        <w:gridCol w:w="1134"/>
        <w:gridCol w:w="1230"/>
      </w:tblGrid>
      <w:tr w14:paraId="3DFBFF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12" w:type="dxa"/>
            <w:vMerge w:val="restart"/>
            <w:vAlign w:val="center"/>
          </w:tcPr>
          <w:p w14:paraId="24352F30">
            <w:pPr>
              <w:spacing w:line="280" w:lineRule="exact"/>
              <w:rPr>
                <w:color w:val="auto"/>
                <w:sz w:val="22"/>
                <w:szCs w:val="22"/>
              </w:rPr>
            </w:pPr>
            <w:r>
              <w:rPr>
                <w:rFonts w:hint="eastAsia"/>
                <w:color w:val="auto"/>
                <w:sz w:val="22"/>
                <w:szCs w:val="22"/>
              </w:rPr>
              <w:t>序号</w:t>
            </w:r>
          </w:p>
        </w:tc>
        <w:tc>
          <w:tcPr>
            <w:tcW w:w="2434" w:type="dxa"/>
            <w:vMerge w:val="restart"/>
            <w:vAlign w:val="center"/>
          </w:tcPr>
          <w:p w14:paraId="2760142A">
            <w:pPr>
              <w:spacing w:line="280" w:lineRule="exact"/>
              <w:jc w:val="center"/>
              <w:rPr>
                <w:color w:val="auto"/>
                <w:sz w:val="22"/>
                <w:szCs w:val="22"/>
              </w:rPr>
            </w:pPr>
            <w:r>
              <w:rPr>
                <w:rFonts w:hint="eastAsia"/>
                <w:color w:val="auto"/>
                <w:sz w:val="22"/>
                <w:szCs w:val="22"/>
              </w:rPr>
              <w:t>项目及标段名称</w:t>
            </w:r>
          </w:p>
        </w:tc>
        <w:tc>
          <w:tcPr>
            <w:tcW w:w="4280" w:type="dxa"/>
            <w:gridSpan w:val="3"/>
            <w:vAlign w:val="center"/>
          </w:tcPr>
          <w:p w14:paraId="2BF24CED">
            <w:pPr>
              <w:spacing w:line="280" w:lineRule="exact"/>
              <w:ind w:firstLine="480"/>
              <w:jc w:val="center"/>
              <w:rPr>
                <w:color w:val="auto"/>
                <w:sz w:val="22"/>
                <w:szCs w:val="22"/>
              </w:rPr>
            </w:pPr>
            <w:r>
              <w:rPr>
                <w:rFonts w:hint="eastAsia"/>
                <w:color w:val="auto"/>
                <w:sz w:val="22"/>
                <w:szCs w:val="22"/>
              </w:rPr>
              <w:t>项目基本情况</w:t>
            </w:r>
          </w:p>
        </w:tc>
        <w:tc>
          <w:tcPr>
            <w:tcW w:w="1230" w:type="dxa"/>
            <w:vMerge w:val="restart"/>
            <w:vAlign w:val="center"/>
          </w:tcPr>
          <w:p w14:paraId="097DE662">
            <w:pPr>
              <w:spacing w:line="280" w:lineRule="exact"/>
              <w:jc w:val="center"/>
              <w:rPr>
                <w:color w:val="auto"/>
                <w:sz w:val="22"/>
                <w:szCs w:val="22"/>
              </w:rPr>
            </w:pPr>
            <w:r>
              <w:rPr>
                <w:rFonts w:hint="eastAsia"/>
                <w:color w:val="auto"/>
                <w:sz w:val="22"/>
                <w:szCs w:val="22"/>
              </w:rPr>
              <w:t>证明材料所在页码</w:t>
            </w:r>
          </w:p>
        </w:tc>
      </w:tr>
      <w:tr w14:paraId="54B3DF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6" w:hRule="exact"/>
          <w:jc w:val="center"/>
        </w:trPr>
        <w:tc>
          <w:tcPr>
            <w:tcW w:w="812" w:type="dxa"/>
            <w:vMerge w:val="continue"/>
            <w:vAlign w:val="center"/>
          </w:tcPr>
          <w:p w14:paraId="078A04DA">
            <w:pPr>
              <w:spacing w:line="280" w:lineRule="exact"/>
              <w:ind w:firstLine="480"/>
              <w:jc w:val="center"/>
              <w:rPr>
                <w:color w:val="auto"/>
              </w:rPr>
            </w:pPr>
          </w:p>
        </w:tc>
        <w:tc>
          <w:tcPr>
            <w:tcW w:w="2434" w:type="dxa"/>
            <w:vMerge w:val="continue"/>
            <w:vAlign w:val="center"/>
          </w:tcPr>
          <w:p w14:paraId="54E8D85D">
            <w:pPr>
              <w:spacing w:line="280" w:lineRule="exact"/>
              <w:ind w:firstLine="480"/>
              <w:jc w:val="center"/>
              <w:rPr>
                <w:color w:val="auto"/>
              </w:rPr>
            </w:pPr>
          </w:p>
        </w:tc>
        <w:tc>
          <w:tcPr>
            <w:tcW w:w="1445" w:type="dxa"/>
            <w:vAlign w:val="center"/>
          </w:tcPr>
          <w:p w14:paraId="03C15855">
            <w:pPr>
              <w:spacing w:line="280" w:lineRule="exact"/>
              <w:jc w:val="center"/>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交工时间</w:t>
            </w:r>
          </w:p>
        </w:tc>
        <w:tc>
          <w:tcPr>
            <w:tcW w:w="1701" w:type="dxa"/>
            <w:vAlign w:val="center"/>
          </w:tcPr>
          <w:p w14:paraId="2B66619D">
            <w:pPr>
              <w:spacing w:line="280" w:lineRule="exact"/>
              <w:jc w:val="center"/>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项目性质：例如码头类型</w:t>
            </w:r>
          </w:p>
          <w:p w14:paraId="11BB885F">
            <w:pPr>
              <w:spacing w:line="280" w:lineRule="exact"/>
              <w:rPr>
                <w:color w:val="auto"/>
                <w:sz w:val="22"/>
                <w:szCs w:val="22"/>
                <w:lang w:eastAsia="zh-CN"/>
              </w:rPr>
            </w:pPr>
            <w:r>
              <w:rPr>
                <w:rFonts w:hint="eastAsia" w:ascii="宋体" w:hAnsi="宋体" w:eastAsia="宋体" w:cs="宋体"/>
                <w:color w:val="auto"/>
                <w:sz w:val="22"/>
                <w:szCs w:val="22"/>
                <w:lang w:eastAsia="zh-CN"/>
              </w:rPr>
              <w:t>（内河或沿海）</w:t>
            </w:r>
          </w:p>
        </w:tc>
        <w:tc>
          <w:tcPr>
            <w:tcW w:w="1134" w:type="dxa"/>
            <w:vAlign w:val="center"/>
          </w:tcPr>
          <w:p w14:paraId="626B7129">
            <w:pPr>
              <w:spacing w:line="280" w:lineRule="exact"/>
              <w:jc w:val="center"/>
              <w:rPr>
                <w:rFonts w:hint="eastAsia" w:ascii="宋体" w:hAnsi="宋体" w:eastAsia="宋体" w:cs="宋体"/>
                <w:color w:val="auto"/>
                <w:sz w:val="22"/>
                <w:szCs w:val="22"/>
                <w:lang w:eastAsia="zh-CN"/>
              </w:rPr>
            </w:pPr>
            <w:r>
              <w:rPr>
                <w:rFonts w:hint="eastAsia" w:ascii="宋体" w:hAnsi="宋体" w:eastAsia="宋体" w:cs="宋体"/>
                <w:color w:val="auto"/>
                <w:sz w:val="22"/>
                <w:szCs w:val="22"/>
                <w:lang w:eastAsia="zh-CN"/>
              </w:rPr>
              <w:t>项目性质：例如码头</w:t>
            </w:r>
          </w:p>
          <w:p w14:paraId="4EE12B21">
            <w:pPr>
              <w:spacing w:line="280" w:lineRule="exact"/>
              <w:jc w:val="center"/>
              <w:rPr>
                <w:color w:val="auto"/>
                <w:sz w:val="22"/>
                <w:szCs w:val="22"/>
                <w:lang w:eastAsia="zh-CN"/>
              </w:rPr>
            </w:pPr>
            <w:r>
              <w:rPr>
                <w:rFonts w:hint="eastAsia" w:ascii="宋体" w:hAnsi="宋体" w:eastAsia="宋体" w:cs="宋体"/>
                <w:color w:val="auto"/>
                <w:sz w:val="22"/>
                <w:szCs w:val="22"/>
                <w:lang w:eastAsia="zh-CN"/>
              </w:rPr>
              <w:t>吨位（吨）</w:t>
            </w:r>
          </w:p>
        </w:tc>
        <w:tc>
          <w:tcPr>
            <w:tcW w:w="1230" w:type="dxa"/>
            <w:vMerge w:val="continue"/>
            <w:vAlign w:val="center"/>
          </w:tcPr>
          <w:p w14:paraId="2F4066C8">
            <w:pPr>
              <w:spacing w:line="280" w:lineRule="exact"/>
              <w:ind w:firstLine="480"/>
              <w:jc w:val="center"/>
              <w:rPr>
                <w:color w:val="auto"/>
                <w:lang w:eastAsia="zh-CN"/>
              </w:rPr>
            </w:pPr>
          </w:p>
        </w:tc>
      </w:tr>
      <w:tr w14:paraId="2BCC5A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jc w:val="center"/>
        </w:trPr>
        <w:tc>
          <w:tcPr>
            <w:tcW w:w="812" w:type="dxa"/>
            <w:vAlign w:val="center"/>
          </w:tcPr>
          <w:p w14:paraId="13989B3C">
            <w:pPr>
              <w:jc w:val="center"/>
              <w:rPr>
                <w:rFonts w:ascii="Verdana" w:hAnsi="Verdana"/>
                <w:color w:val="auto"/>
                <w:sz w:val="18"/>
                <w:szCs w:val="18"/>
              </w:rPr>
            </w:pPr>
            <w:bookmarkStart w:id="949" w:name="_Hlk331057317"/>
            <w:r>
              <w:rPr>
                <w:rFonts w:hint="eastAsia" w:ascii="Verdana" w:hAnsi="Verdana"/>
                <w:color w:val="auto"/>
                <w:sz w:val="18"/>
                <w:szCs w:val="18"/>
              </w:rPr>
              <w:t>1</w:t>
            </w:r>
          </w:p>
        </w:tc>
        <w:tc>
          <w:tcPr>
            <w:tcW w:w="2434" w:type="dxa"/>
            <w:vAlign w:val="center"/>
          </w:tcPr>
          <w:p w14:paraId="608806CA">
            <w:pPr>
              <w:ind w:firstLine="480"/>
              <w:jc w:val="center"/>
              <w:rPr>
                <w:rFonts w:ascii="宋体" w:hAnsi="宋体"/>
                <w:color w:val="auto"/>
                <w:szCs w:val="21"/>
              </w:rPr>
            </w:pPr>
          </w:p>
        </w:tc>
        <w:tc>
          <w:tcPr>
            <w:tcW w:w="1445" w:type="dxa"/>
            <w:vAlign w:val="center"/>
          </w:tcPr>
          <w:p w14:paraId="5D7963D9">
            <w:pPr>
              <w:ind w:firstLine="360"/>
              <w:jc w:val="center"/>
              <w:rPr>
                <w:rFonts w:ascii="Verdana" w:hAnsi="Verdana"/>
                <w:color w:val="auto"/>
                <w:sz w:val="18"/>
                <w:szCs w:val="18"/>
              </w:rPr>
            </w:pPr>
          </w:p>
        </w:tc>
        <w:tc>
          <w:tcPr>
            <w:tcW w:w="1701" w:type="dxa"/>
            <w:vAlign w:val="center"/>
          </w:tcPr>
          <w:p w14:paraId="14F86E53">
            <w:pPr>
              <w:ind w:firstLine="360"/>
              <w:jc w:val="center"/>
              <w:rPr>
                <w:rFonts w:ascii="Verdana" w:hAnsi="Verdana"/>
                <w:color w:val="auto"/>
                <w:sz w:val="18"/>
                <w:szCs w:val="18"/>
              </w:rPr>
            </w:pPr>
          </w:p>
        </w:tc>
        <w:tc>
          <w:tcPr>
            <w:tcW w:w="1134" w:type="dxa"/>
            <w:vAlign w:val="center"/>
          </w:tcPr>
          <w:p w14:paraId="19AD2E9C">
            <w:pPr>
              <w:ind w:firstLine="360"/>
              <w:jc w:val="center"/>
              <w:rPr>
                <w:rFonts w:ascii="Verdana" w:hAnsi="Verdana"/>
                <w:color w:val="auto"/>
                <w:sz w:val="18"/>
                <w:szCs w:val="18"/>
              </w:rPr>
            </w:pPr>
          </w:p>
        </w:tc>
        <w:tc>
          <w:tcPr>
            <w:tcW w:w="1230" w:type="dxa"/>
            <w:vAlign w:val="center"/>
          </w:tcPr>
          <w:p w14:paraId="23E1E2F3">
            <w:pPr>
              <w:ind w:firstLine="360"/>
              <w:jc w:val="center"/>
              <w:rPr>
                <w:rFonts w:ascii="Verdana" w:hAnsi="Verdana"/>
                <w:color w:val="auto"/>
                <w:sz w:val="18"/>
                <w:szCs w:val="18"/>
              </w:rPr>
            </w:pPr>
          </w:p>
        </w:tc>
      </w:tr>
      <w:tr w14:paraId="62EE15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jc w:val="center"/>
        </w:trPr>
        <w:tc>
          <w:tcPr>
            <w:tcW w:w="812" w:type="dxa"/>
            <w:vAlign w:val="center"/>
          </w:tcPr>
          <w:p w14:paraId="59BF3C85">
            <w:pPr>
              <w:jc w:val="center"/>
              <w:rPr>
                <w:rFonts w:ascii="Verdana" w:hAnsi="Verdana"/>
                <w:color w:val="auto"/>
                <w:sz w:val="18"/>
                <w:szCs w:val="18"/>
              </w:rPr>
            </w:pPr>
            <w:r>
              <w:rPr>
                <w:rFonts w:hint="eastAsia" w:ascii="Verdana" w:hAnsi="Verdana"/>
                <w:color w:val="auto"/>
                <w:sz w:val="18"/>
                <w:szCs w:val="18"/>
              </w:rPr>
              <w:t>2</w:t>
            </w:r>
          </w:p>
        </w:tc>
        <w:tc>
          <w:tcPr>
            <w:tcW w:w="2434" w:type="dxa"/>
            <w:vAlign w:val="center"/>
          </w:tcPr>
          <w:p w14:paraId="18819176">
            <w:pPr>
              <w:ind w:firstLine="360"/>
              <w:jc w:val="center"/>
              <w:rPr>
                <w:rFonts w:ascii="Verdana" w:hAnsi="Verdana"/>
                <w:color w:val="auto"/>
                <w:sz w:val="18"/>
                <w:szCs w:val="18"/>
              </w:rPr>
            </w:pPr>
          </w:p>
        </w:tc>
        <w:tc>
          <w:tcPr>
            <w:tcW w:w="1445" w:type="dxa"/>
            <w:vAlign w:val="center"/>
          </w:tcPr>
          <w:p w14:paraId="3DB618DC">
            <w:pPr>
              <w:ind w:firstLine="360"/>
              <w:jc w:val="center"/>
              <w:rPr>
                <w:rFonts w:ascii="Verdana" w:hAnsi="Verdana"/>
                <w:color w:val="auto"/>
                <w:sz w:val="18"/>
                <w:szCs w:val="18"/>
              </w:rPr>
            </w:pPr>
          </w:p>
        </w:tc>
        <w:tc>
          <w:tcPr>
            <w:tcW w:w="1701" w:type="dxa"/>
            <w:vAlign w:val="center"/>
          </w:tcPr>
          <w:p w14:paraId="0DE48438">
            <w:pPr>
              <w:ind w:firstLine="360"/>
              <w:jc w:val="center"/>
              <w:rPr>
                <w:rFonts w:ascii="Verdana" w:hAnsi="Verdana"/>
                <w:color w:val="auto"/>
                <w:sz w:val="18"/>
                <w:szCs w:val="18"/>
              </w:rPr>
            </w:pPr>
          </w:p>
        </w:tc>
        <w:tc>
          <w:tcPr>
            <w:tcW w:w="1134" w:type="dxa"/>
            <w:vAlign w:val="center"/>
          </w:tcPr>
          <w:p w14:paraId="12B11916">
            <w:pPr>
              <w:ind w:firstLine="360"/>
              <w:jc w:val="center"/>
              <w:rPr>
                <w:rFonts w:ascii="Verdana" w:hAnsi="Verdana"/>
                <w:color w:val="auto"/>
                <w:sz w:val="18"/>
                <w:szCs w:val="18"/>
              </w:rPr>
            </w:pPr>
          </w:p>
        </w:tc>
        <w:tc>
          <w:tcPr>
            <w:tcW w:w="1230" w:type="dxa"/>
            <w:vAlign w:val="center"/>
          </w:tcPr>
          <w:p w14:paraId="2F1C1212">
            <w:pPr>
              <w:ind w:firstLine="360"/>
              <w:jc w:val="center"/>
              <w:rPr>
                <w:rFonts w:ascii="Verdana" w:hAnsi="Verdana"/>
                <w:color w:val="auto"/>
                <w:sz w:val="18"/>
                <w:szCs w:val="18"/>
              </w:rPr>
            </w:pPr>
          </w:p>
        </w:tc>
      </w:tr>
      <w:tr w14:paraId="5A170A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jc w:val="center"/>
        </w:trPr>
        <w:tc>
          <w:tcPr>
            <w:tcW w:w="812" w:type="dxa"/>
            <w:vAlign w:val="center"/>
          </w:tcPr>
          <w:p w14:paraId="62B7FA97">
            <w:pPr>
              <w:jc w:val="center"/>
              <w:rPr>
                <w:rFonts w:ascii="Verdana" w:hAnsi="Verdana"/>
                <w:color w:val="auto"/>
                <w:sz w:val="18"/>
                <w:szCs w:val="18"/>
              </w:rPr>
            </w:pPr>
            <w:r>
              <w:rPr>
                <w:rFonts w:hint="eastAsia" w:ascii="Verdana" w:hAnsi="Verdana"/>
                <w:color w:val="auto"/>
                <w:sz w:val="18"/>
                <w:szCs w:val="18"/>
              </w:rPr>
              <w:t>3</w:t>
            </w:r>
          </w:p>
        </w:tc>
        <w:tc>
          <w:tcPr>
            <w:tcW w:w="2434" w:type="dxa"/>
            <w:vAlign w:val="center"/>
          </w:tcPr>
          <w:p w14:paraId="47155B75">
            <w:pPr>
              <w:ind w:firstLine="360"/>
              <w:jc w:val="center"/>
              <w:rPr>
                <w:rFonts w:ascii="Verdana" w:hAnsi="Verdana"/>
                <w:color w:val="auto"/>
                <w:sz w:val="18"/>
                <w:szCs w:val="18"/>
              </w:rPr>
            </w:pPr>
          </w:p>
        </w:tc>
        <w:tc>
          <w:tcPr>
            <w:tcW w:w="1445" w:type="dxa"/>
            <w:vAlign w:val="center"/>
          </w:tcPr>
          <w:p w14:paraId="196260DD">
            <w:pPr>
              <w:ind w:firstLine="360"/>
              <w:jc w:val="center"/>
              <w:rPr>
                <w:rFonts w:ascii="Verdana" w:hAnsi="Verdana"/>
                <w:color w:val="auto"/>
                <w:sz w:val="18"/>
                <w:szCs w:val="18"/>
              </w:rPr>
            </w:pPr>
          </w:p>
        </w:tc>
        <w:tc>
          <w:tcPr>
            <w:tcW w:w="1701" w:type="dxa"/>
            <w:vAlign w:val="center"/>
          </w:tcPr>
          <w:p w14:paraId="6E2AAB17">
            <w:pPr>
              <w:ind w:firstLine="360"/>
              <w:jc w:val="center"/>
              <w:rPr>
                <w:rFonts w:ascii="Verdana" w:hAnsi="Verdana"/>
                <w:color w:val="auto"/>
                <w:sz w:val="18"/>
                <w:szCs w:val="18"/>
              </w:rPr>
            </w:pPr>
          </w:p>
        </w:tc>
        <w:tc>
          <w:tcPr>
            <w:tcW w:w="1134" w:type="dxa"/>
            <w:vAlign w:val="center"/>
          </w:tcPr>
          <w:p w14:paraId="75F28305">
            <w:pPr>
              <w:ind w:firstLine="360"/>
              <w:jc w:val="center"/>
              <w:rPr>
                <w:rFonts w:ascii="Verdana" w:hAnsi="Verdana"/>
                <w:color w:val="auto"/>
                <w:sz w:val="18"/>
                <w:szCs w:val="18"/>
              </w:rPr>
            </w:pPr>
          </w:p>
        </w:tc>
        <w:tc>
          <w:tcPr>
            <w:tcW w:w="1230" w:type="dxa"/>
            <w:vAlign w:val="center"/>
          </w:tcPr>
          <w:p w14:paraId="739945C8">
            <w:pPr>
              <w:ind w:firstLine="360"/>
              <w:jc w:val="center"/>
              <w:rPr>
                <w:rFonts w:ascii="Verdana" w:hAnsi="Verdana"/>
                <w:color w:val="auto"/>
                <w:sz w:val="18"/>
                <w:szCs w:val="18"/>
              </w:rPr>
            </w:pPr>
          </w:p>
        </w:tc>
      </w:tr>
      <w:tr w14:paraId="4151AE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jc w:val="center"/>
        </w:trPr>
        <w:tc>
          <w:tcPr>
            <w:tcW w:w="812" w:type="dxa"/>
            <w:vAlign w:val="center"/>
          </w:tcPr>
          <w:p w14:paraId="40F34DE5">
            <w:pPr>
              <w:jc w:val="center"/>
              <w:rPr>
                <w:rFonts w:ascii="Verdana" w:hAnsi="Verdana"/>
                <w:color w:val="auto"/>
                <w:sz w:val="18"/>
                <w:szCs w:val="18"/>
              </w:rPr>
            </w:pPr>
            <w:r>
              <w:rPr>
                <w:rFonts w:hint="eastAsia" w:ascii="Verdana" w:hAnsi="Verdana"/>
                <w:color w:val="auto"/>
                <w:sz w:val="18"/>
                <w:szCs w:val="18"/>
              </w:rPr>
              <w:t>4</w:t>
            </w:r>
          </w:p>
        </w:tc>
        <w:tc>
          <w:tcPr>
            <w:tcW w:w="2434" w:type="dxa"/>
            <w:vAlign w:val="center"/>
          </w:tcPr>
          <w:p w14:paraId="510011D2">
            <w:pPr>
              <w:ind w:firstLine="360"/>
              <w:jc w:val="center"/>
              <w:rPr>
                <w:rFonts w:ascii="Verdana" w:hAnsi="Verdana"/>
                <w:color w:val="auto"/>
                <w:sz w:val="18"/>
                <w:szCs w:val="18"/>
              </w:rPr>
            </w:pPr>
          </w:p>
        </w:tc>
        <w:tc>
          <w:tcPr>
            <w:tcW w:w="1445" w:type="dxa"/>
            <w:vAlign w:val="center"/>
          </w:tcPr>
          <w:p w14:paraId="0AB89802">
            <w:pPr>
              <w:ind w:firstLine="360"/>
              <w:jc w:val="center"/>
              <w:rPr>
                <w:rFonts w:ascii="Verdana" w:hAnsi="Verdana"/>
                <w:color w:val="auto"/>
                <w:sz w:val="18"/>
                <w:szCs w:val="18"/>
              </w:rPr>
            </w:pPr>
          </w:p>
        </w:tc>
        <w:tc>
          <w:tcPr>
            <w:tcW w:w="1701" w:type="dxa"/>
            <w:vAlign w:val="center"/>
          </w:tcPr>
          <w:p w14:paraId="66AC3BB9">
            <w:pPr>
              <w:ind w:firstLine="360"/>
              <w:jc w:val="center"/>
              <w:rPr>
                <w:rFonts w:ascii="Verdana" w:hAnsi="Verdana"/>
                <w:color w:val="auto"/>
                <w:sz w:val="18"/>
                <w:szCs w:val="18"/>
              </w:rPr>
            </w:pPr>
          </w:p>
        </w:tc>
        <w:tc>
          <w:tcPr>
            <w:tcW w:w="1134" w:type="dxa"/>
            <w:vAlign w:val="center"/>
          </w:tcPr>
          <w:p w14:paraId="787C0E7B">
            <w:pPr>
              <w:ind w:firstLine="360"/>
              <w:jc w:val="center"/>
              <w:rPr>
                <w:rFonts w:ascii="Verdana" w:hAnsi="Verdana"/>
                <w:color w:val="auto"/>
                <w:sz w:val="18"/>
                <w:szCs w:val="18"/>
              </w:rPr>
            </w:pPr>
          </w:p>
        </w:tc>
        <w:tc>
          <w:tcPr>
            <w:tcW w:w="1230" w:type="dxa"/>
            <w:vAlign w:val="center"/>
          </w:tcPr>
          <w:p w14:paraId="4A448290">
            <w:pPr>
              <w:ind w:firstLine="360"/>
              <w:jc w:val="center"/>
              <w:rPr>
                <w:rFonts w:ascii="Verdana" w:hAnsi="Verdana"/>
                <w:color w:val="auto"/>
                <w:sz w:val="18"/>
                <w:szCs w:val="18"/>
              </w:rPr>
            </w:pPr>
          </w:p>
        </w:tc>
      </w:tr>
      <w:tr w14:paraId="368DE2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jc w:val="center"/>
        </w:trPr>
        <w:tc>
          <w:tcPr>
            <w:tcW w:w="812" w:type="dxa"/>
            <w:vAlign w:val="center"/>
          </w:tcPr>
          <w:p w14:paraId="7592A77E">
            <w:pPr>
              <w:jc w:val="center"/>
              <w:rPr>
                <w:rFonts w:ascii="Verdana" w:hAnsi="Verdana"/>
                <w:color w:val="auto"/>
                <w:sz w:val="18"/>
                <w:szCs w:val="18"/>
              </w:rPr>
            </w:pPr>
            <w:r>
              <w:rPr>
                <w:rFonts w:hint="eastAsia" w:ascii="Verdana" w:hAnsi="Verdana"/>
                <w:color w:val="auto"/>
                <w:sz w:val="18"/>
                <w:szCs w:val="18"/>
              </w:rPr>
              <w:t>5</w:t>
            </w:r>
          </w:p>
        </w:tc>
        <w:tc>
          <w:tcPr>
            <w:tcW w:w="2434" w:type="dxa"/>
            <w:vAlign w:val="center"/>
          </w:tcPr>
          <w:p w14:paraId="163075C0">
            <w:pPr>
              <w:ind w:firstLine="360"/>
              <w:jc w:val="center"/>
              <w:rPr>
                <w:rFonts w:ascii="Verdana" w:hAnsi="Verdana"/>
                <w:color w:val="auto"/>
                <w:sz w:val="18"/>
                <w:szCs w:val="18"/>
              </w:rPr>
            </w:pPr>
          </w:p>
        </w:tc>
        <w:tc>
          <w:tcPr>
            <w:tcW w:w="1445" w:type="dxa"/>
            <w:vAlign w:val="center"/>
          </w:tcPr>
          <w:p w14:paraId="5C220CA8">
            <w:pPr>
              <w:ind w:firstLine="360"/>
              <w:jc w:val="center"/>
              <w:rPr>
                <w:rFonts w:ascii="Verdana" w:hAnsi="Verdana"/>
                <w:color w:val="auto"/>
                <w:sz w:val="18"/>
                <w:szCs w:val="18"/>
              </w:rPr>
            </w:pPr>
          </w:p>
        </w:tc>
        <w:tc>
          <w:tcPr>
            <w:tcW w:w="1701" w:type="dxa"/>
            <w:vAlign w:val="center"/>
          </w:tcPr>
          <w:p w14:paraId="214C74EE">
            <w:pPr>
              <w:ind w:firstLine="360"/>
              <w:jc w:val="center"/>
              <w:rPr>
                <w:rFonts w:ascii="Verdana" w:hAnsi="Verdana"/>
                <w:color w:val="auto"/>
                <w:sz w:val="18"/>
                <w:szCs w:val="18"/>
              </w:rPr>
            </w:pPr>
          </w:p>
        </w:tc>
        <w:tc>
          <w:tcPr>
            <w:tcW w:w="1134" w:type="dxa"/>
            <w:vAlign w:val="center"/>
          </w:tcPr>
          <w:p w14:paraId="0D2E9785">
            <w:pPr>
              <w:ind w:firstLine="360"/>
              <w:jc w:val="center"/>
              <w:rPr>
                <w:rFonts w:ascii="Verdana" w:hAnsi="Verdana"/>
                <w:color w:val="auto"/>
                <w:sz w:val="18"/>
                <w:szCs w:val="18"/>
              </w:rPr>
            </w:pPr>
          </w:p>
        </w:tc>
        <w:tc>
          <w:tcPr>
            <w:tcW w:w="1230" w:type="dxa"/>
            <w:vAlign w:val="center"/>
          </w:tcPr>
          <w:p w14:paraId="4F77809D">
            <w:pPr>
              <w:ind w:firstLine="360"/>
              <w:jc w:val="center"/>
              <w:rPr>
                <w:rFonts w:ascii="Verdana" w:hAnsi="Verdana"/>
                <w:color w:val="auto"/>
                <w:sz w:val="18"/>
                <w:szCs w:val="18"/>
              </w:rPr>
            </w:pPr>
          </w:p>
        </w:tc>
      </w:tr>
      <w:tr w14:paraId="6EC0D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jc w:val="center"/>
        </w:trPr>
        <w:tc>
          <w:tcPr>
            <w:tcW w:w="812" w:type="dxa"/>
            <w:vAlign w:val="center"/>
          </w:tcPr>
          <w:p w14:paraId="7C437FAE">
            <w:pPr>
              <w:jc w:val="center"/>
              <w:rPr>
                <w:rFonts w:ascii="Verdana" w:hAnsi="Verdana"/>
                <w:color w:val="auto"/>
                <w:sz w:val="18"/>
                <w:szCs w:val="18"/>
              </w:rPr>
            </w:pPr>
            <w:r>
              <w:rPr>
                <w:rFonts w:hint="eastAsia" w:ascii="Verdana" w:hAnsi="Verdana"/>
                <w:color w:val="auto"/>
                <w:sz w:val="18"/>
                <w:szCs w:val="18"/>
              </w:rPr>
              <w:t>……</w:t>
            </w:r>
          </w:p>
        </w:tc>
        <w:tc>
          <w:tcPr>
            <w:tcW w:w="2434" w:type="dxa"/>
            <w:vAlign w:val="center"/>
          </w:tcPr>
          <w:p w14:paraId="44863DE8">
            <w:pPr>
              <w:ind w:firstLine="360"/>
              <w:jc w:val="center"/>
              <w:rPr>
                <w:rFonts w:ascii="Verdana" w:hAnsi="Verdana"/>
                <w:color w:val="auto"/>
                <w:sz w:val="18"/>
                <w:szCs w:val="18"/>
              </w:rPr>
            </w:pPr>
          </w:p>
        </w:tc>
        <w:tc>
          <w:tcPr>
            <w:tcW w:w="1445" w:type="dxa"/>
            <w:vAlign w:val="center"/>
          </w:tcPr>
          <w:p w14:paraId="6D01C552">
            <w:pPr>
              <w:ind w:firstLine="360"/>
              <w:jc w:val="center"/>
              <w:rPr>
                <w:rFonts w:ascii="Verdana" w:hAnsi="Verdana"/>
                <w:color w:val="auto"/>
                <w:sz w:val="18"/>
                <w:szCs w:val="18"/>
              </w:rPr>
            </w:pPr>
          </w:p>
        </w:tc>
        <w:tc>
          <w:tcPr>
            <w:tcW w:w="1701" w:type="dxa"/>
            <w:vAlign w:val="center"/>
          </w:tcPr>
          <w:p w14:paraId="77FBC509">
            <w:pPr>
              <w:ind w:firstLine="360"/>
              <w:jc w:val="center"/>
              <w:rPr>
                <w:rFonts w:ascii="Verdana" w:hAnsi="Verdana"/>
                <w:color w:val="auto"/>
                <w:sz w:val="18"/>
                <w:szCs w:val="18"/>
              </w:rPr>
            </w:pPr>
          </w:p>
        </w:tc>
        <w:tc>
          <w:tcPr>
            <w:tcW w:w="1134" w:type="dxa"/>
            <w:vAlign w:val="center"/>
          </w:tcPr>
          <w:p w14:paraId="10C2D9FE">
            <w:pPr>
              <w:ind w:firstLine="360"/>
              <w:jc w:val="center"/>
              <w:rPr>
                <w:rFonts w:ascii="Verdana" w:hAnsi="Verdana"/>
                <w:color w:val="auto"/>
                <w:sz w:val="18"/>
                <w:szCs w:val="18"/>
              </w:rPr>
            </w:pPr>
          </w:p>
        </w:tc>
        <w:tc>
          <w:tcPr>
            <w:tcW w:w="1230" w:type="dxa"/>
            <w:vAlign w:val="center"/>
          </w:tcPr>
          <w:p w14:paraId="1E319228">
            <w:pPr>
              <w:ind w:firstLine="360"/>
              <w:jc w:val="center"/>
              <w:rPr>
                <w:rFonts w:ascii="Verdana" w:hAnsi="Verdana"/>
                <w:color w:val="auto"/>
                <w:sz w:val="18"/>
                <w:szCs w:val="18"/>
              </w:rPr>
            </w:pPr>
          </w:p>
        </w:tc>
      </w:tr>
      <w:tr w14:paraId="7F88AB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jc w:val="center"/>
        </w:trPr>
        <w:tc>
          <w:tcPr>
            <w:tcW w:w="812" w:type="dxa"/>
            <w:vAlign w:val="center"/>
          </w:tcPr>
          <w:p w14:paraId="7796D53E">
            <w:pPr>
              <w:ind w:firstLine="360"/>
              <w:jc w:val="center"/>
              <w:rPr>
                <w:rFonts w:ascii="Verdana" w:hAnsi="Verdana"/>
                <w:color w:val="auto"/>
                <w:sz w:val="18"/>
                <w:szCs w:val="18"/>
              </w:rPr>
            </w:pPr>
          </w:p>
        </w:tc>
        <w:tc>
          <w:tcPr>
            <w:tcW w:w="2434" w:type="dxa"/>
            <w:vAlign w:val="center"/>
          </w:tcPr>
          <w:p w14:paraId="707FA594">
            <w:pPr>
              <w:ind w:firstLine="360"/>
              <w:jc w:val="center"/>
              <w:rPr>
                <w:rFonts w:ascii="Verdana" w:hAnsi="Verdana"/>
                <w:color w:val="auto"/>
                <w:sz w:val="18"/>
                <w:szCs w:val="18"/>
              </w:rPr>
            </w:pPr>
          </w:p>
        </w:tc>
        <w:tc>
          <w:tcPr>
            <w:tcW w:w="1445" w:type="dxa"/>
            <w:vAlign w:val="center"/>
          </w:tcPr>
          <w:p w14:paraId="6C001AEB">
            <w:pPr>
              <w:ind w:firstLine="360"/>
              <w:jc w:val="center"/>
              <w:rPr>
                <w:rFonts w:ascii="Verdana" w:hAnsi="Verdana"/>
                <w:color w:val="auto"/>
                <w:sz w:val="18"/>
                <w:szCs w:val="18"/>
              </w:rPr>
            </w:pPr>
          </w:p>
        </w:tc>
        <w:tc>
          <w:tcPr>
            <w:tcW w:w="1701" w:type="dxa"/>
            <w:vAlign w:val="center"/>
          </w:tcPr>
          <w:p w14:paraId="5B15A8D3">
            <w:pPr>
              <w:ind w:firstLine="360"/>
              <w:jc w:val="center"/>
              <w:rPr>
                <w:rFonts w:ascii="Verdana" w:hAnsi="Verdana"/>
                <w:color w:val="auto"/>
                <w:sz w:val="18"/>
                <w:szCs w:val="18"/>
              </w:rPr>
            </w:pPr>
          </w:p>
        </w:tc>
        <w:tc>
          <w:tcPr>
            <w:tcW w:w="1134" w:type="dxa"/>
            <w:vAlign w:val="center"/>
          </w:tcPr>
          <w:p w14:paraId="68FA7F71">
            <w:pPr>
              <w:ind w:firstLine="360"/>
              <w:jc w:val="center"/>
              <w:rPr>
                <w:rFonts w:ascii="Verdana" w:hAnsi="Verdana"/>
                <w:color w:val="auto"/>
                <w:sz w:val="18"/>
                <w:szCs w:val="18"/>
              </w:rPr>
            </w:pPr>
          </w:p>
        </w:tc>
        <w:tc>
          <w:tcPr>
            <w:tcW w:w="1230" w:type="dxa"/>
            <w:vAlign w:val="center"/>
          </w:tcPr>
          <w:p w14:paraId="6CF7F541">
            <w:pPr>
              <w:ind w:firstLine="360"/>
              <w:jc w:val="center"/>
              <w:rPr>
                <w:rFonts w:ascii="Verdana" w:hAnsi="Verdana"/>
                <w:color w:val="auto"/>
                <w:sz w:val="18"/>
                <w:szCs w:val="18"/>
              </w:rPr>
            </w:pPr>
          </w:p>
        </w:tc>
      </w:tr>
      <w:tr w14:paraId="6C19B6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jc w:val="center"/>
        </w:trPr>
        <w:tc>
          <w:tcPr>
            <w:tcW w:w="812" w:type="dxa"/>
            <w:vAlign w:val="center"/>
          </w:tcPr>
          <w:p w14:paraId="3921CB4C">
            <w:pPr>
              <w:ind w:firstLine="360"/>
              <w:jc w:val="center"/>
              <w:rPr>
                <w:rFonts w:ascii="Verdana" w:hAnsi="Verdana"/>
                <w:color w:val="auto"/>
                <w:sz w:val="18"/>
                <w:szCs w:val="18"/>
              </w:rPr>
            </w:pPr>
          </w:p>
        </w:tc>
        <w:tc>
          <w:tcPr>
            <w:tcW w:w="2434" w:type="dxa"/>
            <w:vAlign w:val="center"/>
          </w:tcPr>
          <w:p w14:paraId="60810058">
            <w:pPr>
              <w:ind w:firstLine="360"/>
              <w:jc w:val="center"/>
              <w:rPr>
                <w:rFonts w:ascii="Verdana" w:hAnsi="Verdana"/>
                <w:color w:val="auto"/>
                <w:sz w:val="18"/>
                <w:szCs w:val="18"/>
              </w:rPr>
            </w:pPr>
          </w:p>
        </w:tc>
        <w:tc>
          <w:tcPr>
            <w:tcW w:w="1445" w:type="dxa"/>
            <w:vAlign w:val="center"/>
          </w:tcPr>
          <w:p w14:paraId="4FF712B9">
            <w:pPr>
              <w:ind w:firstLine="360"/>
              <w:jc w:val="center"/>
              <w:rPr>
                <w:rFonts w:ascii="Verdana" w:hAnsi="Verdana"/>
                <w:color w:val="auto"/>
                <w:sz w:val="18"/>
                <w:szCs w:val="18"/>
              </w:rPr>
            </w:pPr>
          </w:p>
        </w:tc>
        <w:tc>
          <w:tcPr>
            <w:tcW w:w="1701" w:type="dxa"/>
            <w:vAlign w:val="center"/>
          </w:tcPr>
          <w:p w14:paraId="54962C7B">
            <w:pPr>
              <w:ind w:firstLine="360"/>
              <w:jc w:val="center"/>
              <w:rPr>
                <w:rFonts w:ascii="Verdana" w:hAnsi="Verdana"/>
                <w:color w:val="auto"/>
                <w:sz w:val="18"/>
                <w:szCs w:val="18"/>
              </w:rPr>
            </w:pPr>
          </w:p>
        </w:tc>
        <w:tc>
          <w:tcPr>
            <w:tcW w:w="1134" w:type="dxa"/>
            <w:vAlign w:val="center"/>
          </w:tcPr>
          <w:p w14:paraId="20354C64">
            <w:pPr>
              <w:ind w:firstLine="360"/>
              <w:jc w:val="center"/>
              <w:rPr>
                <w:rFonts w:ascii="Verdana" w:hAnsi="Verdana"/>
                <w:color w:val="auto"/>
                <w:sz w:val="18"/>
                <w:szCs w:val="18"/>
              </w:rPr>
            </w:pPr>
          </w:p>
        </w:tc>
        <w:tc>
          <w:tcPr>
            <w:tcW w:w="1230" w:type="dxa"/>
            <w:vAlign w:val="center"/>
          </w:tcPr>
          <w:p w14:paraId="37C06CC6">
            <w:pPr>
              <w:ind w:firstLine="360"/>
              <w:jc w:val="center"/>
              <w:rPr>
                <w:rFonts w:ascii="Verdana" w:hAnsi="Verdana"/>
                <w:color w:val="auto"/>
                <w:sz w:val="18"/>
                <w:szCs w:val="18"/>
              </w:rPr>
            </w:pPr>
          </w:p>
        </w:tc>
      </w:tr>
      <w:tr w14:paraId="329F7B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jc w:val="center"/>
        </w:trPr>
        <w:tc>
          <w:tcPr>
            <w:tcW w:w="812" w:type="dxa"/>
            <w:vAlign w:val="center"/>
          </w:tcPr>
          <w:p w14:paraId="317F2782">
            <w:pPr>
              <w:ind w:firstLine="360"/>
              <w:jc w:val="center"/>
              <w:rPr>
                <w:rFonts w:ascii="Verdana" w:hAnsi="Verdana"/>
                <w:color w:val="auto"/>
                <w:sz w:val="18"/>
                <w:szCs w:val="18"/>
              </w:rPr>
            </w:pPr>
          </w:p>
        </w:tc>
        <w:tc>
          <w:tcPr>
            <w:tcW w:w="2434" w:type="dxa"/>
            <w:vAlign w:val="center"/>
          </w:tcPr>
          <w:p w14:paraId="761B7FEA">
            <w:pPr>
              <w:ind w:firstLine="360"/>
              <w:jc w:val="center"/>
              <w:rPr>
                <w:rFonts w:ascii="Verdana" w:hAnsi="Verdana"/>
                <w:color w:val="auto"/>
                <w:sz w:val="18"/>
                <w:szCs w:val="18"/>
              </w:rPr>
            </w:pPr>
          </w:p>
        </w:tc>
        <w:tc>
          <w:tcPr>
            <w:tcW w:w="1445" w:type="dxa"/>
            <w:vAlign w:val="center"/>
          </w:tcPr>
          <w:p w14:paraId="18071E1C">
            <w:pPr>
              <w:ind w:firstLine="360"/>
              <w:jc w:val="center"/>
              <w:rPr>
                <w:rFonts w:ascii="Verdana" w:hAnsi="Verdana"/>
                <w:color w:val="auto"/>
                <w:sz w:val="18"/>
                <w:szCs w:val="18"/>
              </w:rPr>
            </w:pPr>
          </w:p>
        </w:tc>
        <w:tc>
          <w:tcPr>
            <w:tcW w:w="1701" w:type="dxa"/>
            <w:vAlign w:val="center"/>
          </w:tcPr>
          <w:p w14:paraId="641AD370">
            <w:pPr>
              <w:ind w:firstLine="360"/>
              <w:jc w:val="center"/>
              <w:rPr>
                <w:rFonts w:ascii="Verdana" w:hAnsi="Verdana"/>
                <w:color w:val="auto"/>
                <w:sz w:val="18"/>
                <w:szCs w:val="18"/>
              </w:rPr>
            </w:pPr>
          </w:p>
        </w:tc>
        <w:tc>
          <w:tcPr>
            <w:tcW w:w="1134" w:type="dxa"/>
            <w:vAlign w:val="center"/>
          </w:tcPr>
          <w:p w14:paraId="742E6386">
            <w:pPr>
              <w:ind w:firstLine="360"/>
              <w:jc w:val="center"/>
              <w:rPr>
                <w:rFonts w:ascii="Verdana" w:hAnsi="Verdana"/>
                <w:color w:val="auto"/>
                <w:sz w:val="18"/>
                <w:szCs w:val="18"/>
              </w:rPr>
            </w:pPr>
          </w:p>
        </w:tc>
        <w:tc>
          <w:tcPr>
            <w:tcW w:w="1230" w:type="dxa"/>
            <w:vAlign w:val="center"/>
          </w:tcPr>
          <w:p w14:paraId="32AD04D7">
            <w:pPr>
              <w:ind w:firstLine="360"/>
              <w:jc w:val="center"/>
              <w:rPr>
                <w:rFonts w:ascii="Verdana" w:hAnsi="Verdana"/>
                <w:color w:val="auto"/>
                <w:sz w:val="18"/>
                <w:szCs w:val="18"/>
              </w:rPr>
            </w:pPr>
          </w:p>
        </w:tc>
      </w:tr>
      <w:tr w14:paraId="276B39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jc w:val="center"/>
        </w:trPr>
        <w:tc>
          <w:tcPr>
            <w:tcW w:w="812" w:type="dxa"/>
            <w:vAlign w:val="center"/>
          </w:tcPr>
          <w:p w14:paraId="2B3EB978">
            <w:pPr>
              <w:ind w:firstLine="360"/>
              <w:jc w:val="center"/>
              <w:rPr>
                <w:rFonts w:ascii="Verdana" w:hAnsi="Verdana"/>
                <w:color w:val="auto"/>
                <w:sz w:val="18"/>
                <w:szCs w:val="18"/>
              </w:rPr>
            </w:pPr>
          </w:p>
        </w:tc>
        <w:tc>
          <w:tcPr>
            <w:tcW w:w="2434" w:type="dxa"/>
            <w:vAlign w:val="center"/>
          </w:tcPr>
          <w:p w14:paraId="205DFDD9">
            <w:pPr>
              <w:ind w:firstLine="360"/>
              <w:jc w:val="center"/>
              <w:rPr>
                <w:rFonts w:ascii="Verdana" w:hAnsi="Verdana"/>
                <w:color w:val="auto"/>
                <w:sz w:val="18"/>
                <w:szCs w:val="18"/>
              </w:rPr>
            </w:pPr>
          </w:p>
        </w:tc>
        <w:tc>
          <w:tcPr>
            <w:tcW w:w="1445" w:type="dxa"/>
            <w:vAlign w:val="center"/>
          </w:tcPr>
          <w:p w14:paraId="50E02BB9">
            <w:pPr>
              <w:ind w:firstLine="360"/>
              <w:jc w:val="center"/>
              <w:rPr>
                <w:rFonts w:ascii="Verdana" w:hAnsi="Verdana"/>
                <w:color w:val="auto"/>
                <w:sz w:val="18"/>
                <w:szCs w:val="18"/>
              </w:rPr>
            </w:pPr>
          </w:p>
        </w:tc>
        <w:tc>
          <w:tcPr>
            <w:tcW w:w="1701" w:type="dxa"/>
            <w:vAlign w:val="center"/>
          </w:tcPr>
          <w:p w14:paraId="42FA3365">
            <w:pPr>
              <w:ind w:firstLine="360"/>
              <w:jc w:val="center"/>
              <w:rPr>
                <w:rFonts w:ascii="Verdana" w:hAnsi="Verdana"/>
                <w:color w:val="auto"/>
                <w:sz w:val="18"/>
                <w:szCs w:val="18"/>
              </w:rPr>
            </w:pPr>
          </w:p>
        </w:tc>
        <w:tc>
          <w:tcPr>
            <w:tcW w:w="1134" w:type="dxa"/>
            <w:vAlign w:val="center"/>
          </w:tcPr>
          <w:p w14:paraId="139285B5">
            <w:pPr>
              <w:ind w:firstLine="360"/>
              <w:jc w:val="center"/>
              <w:rPr>
                <w:rFonts w:ascii="Verdana" w:hAnsi="Verdana"/>
                <w:color w:val="auto"/>
                <w:sz w:val="18"/>
                <w:szCs w:val="18"/>
              </w:rPr>
            </w:pPr>
          </w:p>
        </w:tc>
        <w:tc>
          <w:tcPr>
            <w:tcW w:w="1230" w:type="dxa"/>
            <w:vAlign w:val="center"/>
          </w:tcPr>
          <w:p w14:paraId="77202653">
            <w:pPr>
              <w:ind w:firstLine="360"/>
              <w:jc w:val="center"/>
              <w:rPr>
                <w:rFonts w:ascii="Verdana" w:hAnsi="Verdana"/>
                <w:color w:val="auto"/>
                <w:sz w:val="18"/>
                <w:szCs w:val="18"/>
              </w:rPr>
            </w:pPr>
          </w:p>
        </w:tc>
      </w:tr>
      <w:bookmarkEnd w:id="949"/>
      <w:tr w14:paraId="55A8F8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jc w:val="center"/>
        </w:trPr>
        <w:tc>
          <w:tcPr>
            <w:tcW w:w="812" w:type="dxa"/>
            <w:vAlign w:val="center"/>
          </w:tcPr>
          <w:p w14:paraId="57892349">
            <w:pPr>
              <w:ind w:firstLine="480"/>
              <w:jc w:val="center"/>
              <w:rPr>
                <w:color w:val="auto"/>
              </w:rPr>
            </w:pPr>
          </w:p>
        </w:tc>
        <w:tc>
          <w:tcPr>
            <w:tcW w:w="2434" w:type="dxa"/>
            <w:vAlign w:val="center"/>
          </w:tcPr>
          <w:p w14:paraId="431B8E2C">
            <w:pPr>
              <w:ind w:firstLine="360"/>
              <w:jc w:val="center"/>
              <w:rPr>
                <w:rFonts w:ascii="Verdana" w:hAnsi="Verdana"/>
                <w:color w:val="auto"/>
                <w:sz w:val="18"/>
                <w:szCs w:val="18"/>
              </w:rPr>
            </w:pPr>
          </w:p>
        </w:tc>
        <w:tc>
          <w:tcPr>
            <w:tcW w:w="1445" w:type="dxa"/>
            <w:vAlign w:val="center"/>
          </w:tcPr>
          <w:p w14:paraId="132A01FB">
            <w:pPr>
              <w:ind w:firstLine="360"/>
              <w:jc w:val="center"/>
              <w:rPr>
                <w:rFonts w:ascii="Verdana" w:hAnsi="Verdana"/>
                <w:color w:val="auto"/>
                <w:sz w:val="18"/>
                <w:szCs w:val="18"/>
              </w:rPr>
            </w:pPr>
          </w:p>
        </w:tc>
        <w:tc>
          <w:tcPr>
            <w:tcW w:w="1701" w:type="dxa"/>
            <w:vAlign w:val="center"/>
          </w:tcPr>
          <w:p w14:paraId="4D9AC569">
            <w:pPr>
              <w:ind w:firstLine="360"/>
              <w:jc w:val="center"/>
              <w:rPr>
                <w:rFonts w:ascii="Verdana" w:hAnsi="Verdana"/>
                <w:color w:val="auto"/>
                <w:sz w:val="18"/>
                <w:szCs w:val="18"/>
              </w:rPr>
            </w:pPr>
          </w:p>
        </w:tc>
        <w:tc>
          <w:tcPr>
            <w:tcW w:w="1134" w:type="dxa"/>
            <w:vAlign w:val="center"/>
          </w:tcPr>
          <w:p w14:paraId="45943512">
            <w:pPr>
              <w:ind w:firstLine="360"/>
              <w:jc w:val="center"/>
              <w:rPr>
                <w:rFonts w:ascii="Verdana" w:hAnsi="Verdana"/>
                <w:color w:val="auto"/>
                <w:sz w:val="18"/>
                <w:szCs w:val="18"/>
              </w:rPr>
            </w:pPr>
          </w:p>
        </w:tc>
        <w:tc>
          <w:tcPr>
            <w:tcW w:w="1230" w:type="dxa"/>
            <w:vAlign w:val="center"/>
          </w:tcPr>
          <w:p w14:paraId="61C4CAE7">
            <w:pPr>
              <w:ind w:firstLine="360"/>
              <w:jc w:val="center"/>
              <w:rPr>
                <w:rFonts w:ascii="Verdana" w:hAnsi="Verdana"/>
                <w:color w:val="auto"/>
                <w:sz w:val="18"/>
                <w:szCs w:val="18"/>
              </w:rPr>
            </w:pPr>
          </w:p>
        </w:tc>
      </w:tr>
    </w:tbl>
    <w:p w14:paraId="4E45C4A4">
      <w:pPr>
        <w:tabs>
          <w:tab w:val="left" w:pos="900"/>
        </w:tabs>
        <w:wordWrap w:val="0"/>
        <w:spacing w:line="320" w:lineRule="exact"/>
        <w:ind w:left="735" w:hanging="735" w:hangingChars="350"/>
        <w:rPr>
          <w:rFonts w:hint="eastAsia" w:ascii="宋体" w:hAnsi="宋体" w:eastAsia="宋体" w:cs="宋体"/>
          <w:color w:val="auto"/>
          <w:sz w:val="21"/>
          <w:szCs w:val="21"/>
          <w:lang w:eastAsia="zh-CN" w:bidi="ar-SA"/>
        </w:rPr>
      </w:pPr>
      <w:r>
        <w:rPr>
          <w:rFonts w:hint="eastAsia" w:ascii="宋体" w:hAnsi="宋体" w:eastAsia="宋体" w:cs="宋体"/>
          <w:color w:val="auto"/>
          <w:sz w:val="21"/>
          <w:szCs w:val="21"/>
          <w:lang w:eastAsia="zh-CN" w:bidi="ar-SA"/>
        </w:rPr>
        <w:t>注：1、本表所列数据应与表2-2中数据相一致，若不一致，以表2-2中所列数据为准。</w:t>
      </w:r>
    </w:p>
    <w:p w14:paraId="6595AFCD">
      <w:pPr>
        <w:tabs>
          <w:tab w:val="left" w:pos="900"/>
        </w:tabs>
        <w:wordWrap w:val="0"/>
        <w:spacing w:line="320" w:lineRule="exact"/>
        <w:ind w:left="735" w:hanging="735" w:hangingChars="350"/>
        <w:rPr>
          <w:rFonts w:hint="eastAsia" w:ascii="宋体" w:hAnsi="宋体" w:eastAsia="宋体" w:cs="宋体"/>
          <w:color w:val="auto"/>
          <w:sz w:val="21"/>
          <w:szCs w:val="21"/>
          <w:lang w:eastAsia="zh-CN" w:bidi="ar-SA"/>
        </w:rPr>
      </w:pPr>
      <w:r>
        <w:rPr>
          <w:rFonts w:ascii="宋体" w:hAnsi="宋体" w:eastAsia="宋体" w:cs="宋体"/>
          <w:color w:val="auto"/>
          <w:sz w:val="21"/>
          <w:szCs w:val="21"/>
          <w:lang w:eastAsia="zh-CN" w:bidi="ar-SA"/>
        </w:rPr>
        <w:t xml:space="preserve">   </w:t>
      </w:r>
    </w:p>
    <w:p w14:paraId="3A863EB7">
      <w:pPr>
        <w:wordWrap w:val="0"/>
        <w:spacing w:line="440" w:lineRule="exact"/>
        <w:ind w:firstLine="480" w:firstLineChars="200"/>
        <w:jc w:val="right"/>
        <w:rPr>
          <w:rFonts w:eastAsia="宋体" w:cs="宋体"/>
          <w:color w:val="auto"/>
          <w:lang w:eastAsia="zh-CN" w:bidi="ar-SA"/>
        </w:rPr>
      </w:pPr>
    </w:p>
    <w:p w14:paraId="4B20B3E4">
      <w:pPr>
        <w:spacing w:line="360" w:lineRule="auto"/>
        <w:ind w:firstLine="3456" w:firstLineChars="1440"/>
        <w:jc w:val="both"/>
        <w:rPr>
          <w:rFonts w:hint="eastAsia" w:ascii="宋体" w:hAnsi="宋体" w:eastAsia="宋体"/>
          <w:color w:val="auto"/>
          <w:kern w:val="2"/>
          <w:lang w:eastAsia="zh-CN" w:bidi="ar-SA"/>
        </w:rPr>
      </w:pPr>
      <w:r>
        <w:rPr>
          <w:rFonts w:ascii="宋体" w:hAnsi="宋体" w:eastAsia="宋体"/>
          <w:color w:val="auto"/>
          <w:kern w:val="2"/>
          <w:lang w:eastAsia="zh-CN" w:bidi="ar-SA"/>
        </w:rPr>
        <w:t>投 标 人：</w:t>
      </w:r>
      <w:r>
        <w:rPr>
          <w:rFonts w:ascii="宋体" w:hAnsi="宋体" w:eastAsia="宋体"/>
          <w:color w:val="auto"/>
          <w:kern w:val="2"/>
          <w:u w:val="single"/>
          <w:lang w:eastAsia="zh-CN" w:bidi="ar-SA"/>
        </w:rPr>
        <w:t xml:space="preserve">   </w:t>
      </w:r>
      <w:r>
        <w:rPr>
          <w:rFonts w:hint="eastAsia" w:ascii="宋体" w:hAnsi="宋体" w:eastAsia="宋体"/>
          <w:color w:val="auto"/>
          <w:kern w:val="2"/>
          <w:u w:val="single"/>
          <w:lang w:eastAsia="zh-CN" w:bidi="ar-SA"/>
        </w:rPr>
        <w:t>（加盖投标人单位电子公章）</w:t>
      </w:r>
      <w:r>
        <w:rPr>
          <w:rFonts w:ascii="宋体" w:hAnsi="宋体" w:eastAsia="宋体"/>
          <w:color w:val="auto"/>
          <w:kern w:val="2"/>
          <w:u w:val="single"/>
          <w:lang w:eastAsia="zh-CN" w:bidi="ar-SA"/>
        </w:rPr>
        <w:t xml:space="preserve">     </w:t>
      </w:r>
    </w:p>
    <w:p w14:paraId="40A2219F">
      <w:pPr>
        <w:wordWrap w:val="0"/>
        <w:spacing w:line="360" w:lineRule="auto"/>
        <w:ind w:firstLine="3360" w:firstLineChars="1400"/>
        <w:jc w:val="both"/>
        <w:rPr>
          <w:rFonts w:eastAsia="宋体" w:cs="宋体"/>
          <w:color w:val="auto"/>
          <w:lang w:eastAsia="zh-CN" w:bidi="ar-SA"/>
        </w:rPr>
      </w:pPr>
      <w:r>
        <w:rPr>
          <w:rFonts w:ascii="宋体" w:hAnsi="宋体" w:eastAsia="宋体"/>
          <w:color w:val="auto"/>
          <w:kern w:val="2"/>
          <w:lang w:eastAsia="zh-CN" w:bidi="ar-SA"/>
        </w:rPr>
        <w:t>法定代表人：</w:t>
      </w:r>
      <w:r>
        <w:rPr>
          <w:rFonts w:ascii="宋体" w:hAnsi="宋体" w:eastAsia="宋体"/>
          <w:color w:val="auto"/>
          <w:kern w:val="2"/>
          <w:u w:val="single"/>
          <w:lang w:eastAsia="zh-CN" w:bidi="ar-SA"/>
        </w:rPr>
        <w:t xml:space="preserve"> </w:t>
      </w:r>
      <w:r>
        <w:rPr>
          <w:rFonts w:hint="eastAsia" w:ascii="宋体" w:hAnsi="宋体" w:eastAsia="宋体"/>
          <w:color w:val="auto"/>
          <w:kern w:val="2"/>
          <w:u w:val="single"/>
          <w:lang w:eastAsia="zh-CN" w:bidi="ar-SA"/>
        </w:rPr>
        <w:t xml:space="preserve">（加盖法定代表人电子签名） </w:t>
      </w:r>
      <w:r>
        <w:rPr>
          <w:rFonts w:ascii="宋体" w:hAnsi="宋体" w:eastAsia="宋体"/>
          <w:color w:val="auto"/>
          <w:kern w:val="2"/>
          <w:u w:val="single"/>
          <w:lang w:eastAsia="zh-CN" w:bidi="ar-SA"/>
        </w:rPr>
        <w:t xml:space="preserve">   </w:t>
      </w:r>
    </w:p>
    <w:p w14:paraId="26F0AAE7">
      <w:pPr>
        <w:widowControl/>
        <w:rPr>
          <w:rFonts w:hint="eastAsia" w:ascii="宋体" w:hAnsi="宋体" w:eastAsia="宋体" w:cs="宋体"/>
          <w:b/>
          <w:color w:val="auto"/>
          <w:szCs w:val="50"/>
          <w:lang w:eastAsia="zh-CN" w:bidi="ar-SA"/>
        </w:rPr>
      </w:pPr>
      <w:r>
        <w:rPr>
          <w:rFonts w:eastAsia="宋体" w:cs="宋体"/>
          <w:color w:val="auto"/>
          <w:lang w:eastAsia="zh-CN" w:bidi="ar-SA"/>
        </w:rPr>
        <w:br w:type="page"/>
      </w:r>
    </w:p>
    <w:p w14:paraId="79D92719">
      <w:pPr>
        <w:jc w:val="center"/>
        <w:rPr>
          <w:rFonts w:hint="eastAsia" w:cs="宋体" w:asciiTheme="minorEastAsia" w:hAnsiTheme="minorEastAsia" w:eastAsiaTheme="minorEastAsia"/>
          <w:b/>
          <w:bCs/>
          <w:color w:val="auto"/>
          <w:lang w:eastAsia="zh-CN" w:bidi="ar-SA"/>
        </w:rPr>
      </w:pPr>
      <w:r>
        <w:rPr>
          <w:rFonts w:hint="eastAsia" w:cs="宋体" w:asciiTheme="minorEastAsia" w:hAnsiTheme="minorEastAsia" w:eastAsiaTheme="minorEastAsia"/>
          <w:b/>
          <w:bCs/>
          <w:color w:val="auto"/>
          <w:lang w:eastAsia="zh-CN" w:bidi="ar-SA"/>
        </w:rPr>
        <w:t xml:space="preserve">2-2 </w:t>
      </w:r>
      <w:r>
        <w:rPr>
          <w:rFonts w:cs="宋体" w:asciiTheme="minorEastAsia" w:hAnsiTheme="minorEastAsia" w:eastAsiaTheme="minorEastAsia"/>
          <w:b/>
          <w:bCs/>
          <w:color w:val="auto"/>
          <w:lang w:eastAsia="zh-CN" w:bidi="ar-SA"/>
        </w:rPr>
        <w:t>近年</w:t>
      </w:r>
      <w:r>
        <w:rPr>
          <w:rFonts w:hint="eastAsia" w:cs="宋体" w:asciiTheme="minorEastAsia" w:hAnsiTheme="minorEastAsia" w:eastAsiaTheme="minorEastAsia"/>
          <w:b/>
          <w:bCs/>
          <w:color w:val="auto"/>
          <w:lang w:eastAsia="zh-CN" w:bidi="ar-SA"/>
        </w:rPr>
        <w:t>完成的类似</w:t>
      </w:r>
      <w:r>
        <w:rPr>
          <w:rFonts w:cs="宋体" w:asciiTheme="minorEastAsia" w:hAnsiTheme="minorEastAsia" w:eastAsiaTheme="minorEastAsia"/>
          <w:b/>
          <w:bCs/>
          <w:color w:val="auto"/>
          <w:lang w:eastAsia="zh-CN" w:bidi="ar-SA"/>
        </w:rPr>
        <w:t>项目</w:t>
      </w:r>
      <w:r>
        <w:rPr>
          <w:rFonts w:hint="eastAsia" w:cs="宋体" w:asciiTheme="minorEastAsia" w:hAnsiTheme="minorEastAsia" w:eastAsiaTheme="minorEastAsia"/>
          <w:b/>
          <w:bCs/>
          <w:color w:val="auto"/>
          <w:lang w:eastAsia="zh-CN" w:bidi="ar-SA"/>
        </w:rPr>
        <w:t>业绩</w:t>
      </w:r>
      <w:r>
        <w:rPr>
          <w:rFonts w:cs="宋体" w:asciiTheme="minorEastAsia" w:hAnsiTheme="minorEastAsia" w:eastAsiaTheme="minorEastAsia"/>
          <w:b/>
          <w:bCs/>
          <w:color w:val="auto"/>
          <w:lang w:eastAsia="zh-CN" w:bidi="ar-SA"/>
        </w:rPr>
        <w:t>情况表</w:t>
      </w:r>
    </w:p>
    <w:tbl>
      <w:tblPr>
        <w:tblStyle w:val="47"/>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6A39C9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14:paraId="1ABDD95A">
            <w:pPr>
              <w:topLinePunct/>
              <w:spacing w:line="440" w:lineRule="exact"/>
              <w:jc w:val="center"/>
              <w:rPr>
                <w:color w:val="auto"/>
                <w:szCs w:val="22"/>
              </w:rPr>
            </w:pPr>
            <w:r>
              <w:rPr>
                <w:color w:val="auto"/>
                <w:szCs w:val="22"/>
              </w:rPr>
              <w:t>项目名称</w:t>
            </w:r>
          </w:p>
        </w:tc>
        <w:tc>
          <w:tcPr>
            <w:tcW w:w="6253" w:type="dxa"/>
            <w:tcBorders>
              <w:top w:val="single" w:color="auto" w:sz="4" w:space="0"/>
              <w:left w:val="single" w:color="auto" w:sz="4" w:space="0"/>
              <w:bottom w:val="single" w:color="auto" w:sz="4" w:space="0"/>
              <w:right w:val="single" w:color="auto" w:sz="4" w:space="0"/>
            </w:tcBorders>
          </w:tcPr>
          <w:p w14:paraId="00482180">
            <w:pPr>
              <w:topLinePunct/>
              <w:spacing w:line="440" w:lineRule="exact"/>
              <w:rPr>
                <w:color w:val="auto"/>
                <w:szCs w:val="22"/>
              </w:rPr>
            </w:pPr>
          </w:p>
        </w:tc>
      </w:tr>
      <w:tr w14:paraId="7C5B24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14:paraId="45FE7318">
            <w:pPr>
              <w:topLinePunct/>
              <w:spacing w:line="440" w:lineRule="exact"/>
              <w:jc w:val="center"/>
              <w:rPr>
                <w:color w:val="auto"/>
                <w:szCs w:val="22"/>
              </w:rPr>
            </w:pPr>
            <w:r>
              <w:rPr>
                <w:color w:val="auto"/>
                <w:szCs w:val="22"/>
              </w:rPr>
              <w:t>项目所在地</w:t>
            </w:r>
          </w:p>
        </w:tc>
        <w:tc>
          <w:tcPr>
            <w:tcW w:w="6253" w:type="dxa"/>
            <w:tcBorders>
              <w:top w:val="single" w:color="auto" w:sz="4" w:space="0"/>
              <w:left w:val="single" w:color="auto" w:sz="4" w:space="0"/>
              <w:bottom w:val="single" w:color="auto" w:sz="4" w:space="0"/>
              <w:right w:val="single" w:color="auto" w:sz="4" w:space="0"/>
            </w:tcBorders>
          </w:tcPr>
          <w:p w14:paraId="4D92307E">
            <w:pPr>
              <w:topLinePunct/>
              <w:spacing w:line="440" w:lineRule="exact"/>
              <w:rPr>
                <w:color w:val="auto"/>
                <w:szCs w:val="22"/>
              </w:rPr>
            </w:pPr>
          </w:p>
        </w:tc>
      </w:tr>
      <w:tr w14:paraId="093809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14:paraId="4F8B4461">
            <w:pPr>
              <w:topLinePunct/>
              <w:spacing w:line="440" w:lineRule="exact"/>
              <w:jc w:val="center"/>
              <w:rPr>
                <w:color w:val="auto"/>
                <w:szCs w:val="22"/>
              </w:rPr>
            </w:pPr>
            <w:r>
              <w:rPr>
                <w:color w:val="auto"/>
                <w:szCs w:val="22"/>
              </w:rPr>
              <w:t>委托人名称</w:t>
            </w:r>
          </w:p>
        </w:tc>
        <w:tc>
          <w:tcPr>
            <w:tcW w:w="6253" w:type="dxa"/>
            <w:tcBorders>
              <w:top w:val="single" w:color="auto" w:sz="4" w:space="0"/>
              <w:left w:val="single" w:color="auto" w:sz="4" w:space="0"/>
              <w:bottom w:val="single" w:color="auto" w:sz="4" w:space="0"/>
              <w:right w:val="single" w:color="auto" w:sz="4" w:space="0"/>
            </w:tcBorders>
          </w:tcPr>
          <w:p w14:paraId="2CCB2ADC">
            <w:pPr>
              <w:topLinePunct/>
              <w:spacing w:line="440" w:lineRule="exact"/>
              <w:rPr>
                <w:color w:val="auto"/>
                <w:szCs w:val="22"/>
              </w:rPr>
            </w:pPr>
          </w:p>
        </w:tc>
      </w:tr>
      <w:tr w14:paraId="0AC94B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14:paraId="45DCA2B6">
            <w:pPr>
              <w:topLinePunct/>
              <w:spacing w:line="440" w:lineRule="exact"/>
              <w:jc w:val="center"/>
              <w:rPr>
                <w:color w:val="auto"/>
                <w:szCs w:val="22"/>
              </w:rPr>
            </w:pPr>
            <w:r>
              <w:rPr>
                <w:color w:val="auto"/>
                <w:szCs w:val="22"/>
              </w:rPr>
              <w:t>委托人地址</w:t>
            </w:r>
          </w:p>
        </w:tc>
        <w:tc>
          <w:tcPr>
            <w:tcW w:w="6253" w:type="dxa"/>
            <w:tcBorders>
              <w:top w:val="single" w:color="auto" w:sz="4" w:space="0"/>
              <w:left w:val="single" w:color="auto" w:sz="4" w:space="0"/>
              <w:bottom w:val="single" w:color="auto" w:sz="4" w:space="0"/>
              <w:right w:val="single" w:color="auto" w:sz="4" w:space="0"/>
            </w:tcBorders>
          </w:tcPr>
          <w:p w14:paraId="3C5B0486">
            <w:pPr>
              <w:topLinePunct/>
              <w:spacing w:line="440" w:lineRule="exact"/>
              <w:rPr>
                <w:color w:val="auto"/>
                <w:szCs w:val="22"/>
              </w:rPr>
            </w:pPr>
          </w:p>
        </w:tc>
      </w:tr>
      <w:tr w14:paraId="58E291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14:paraId="676001D2">
            <w:pPr>
              <w:topLinePunct/>
              <w:spacing w:line="440" w:lineRule="exact"/>
              <w:jc w:val="center"/>
              <w:rPr>
                <w:color w:val="auto"/>
                <w:szCs w:val="22"/>
              </w:rPr>
            </w:pPr>
            <w:r>
              <w:rPr>
                <w:color w:val="auto"/>
                <w:szCs w:val="22"/>
              </w:rPr>
              <w:t>委托人电话</w:t>
            </w:r>
          </w:p>
        </w:tc>
        <w:tc>
          <w:tcPr>
            <w:tcW w:w="6253" w:type="dxa"/>
            <w:tcBorders>
              <w:top w:val="single" w:color="auto" w:sz="4" w:space="0"/>
              <w:left w:val="single" w:color="auto" w:sz="4" w:space="0"/>
              <w:bottom w:val="single" w:color="auto" w:sz="4" w:space="0"/>
              <w:right w:val="single" w:color="auto" w:sz="4" w:space="0"/>
            </w:tcBorders>
          </w:tcPr>
          <w:p w14:paraId="6932B1F9">
            <w:pPr>
              <w:topLinePunct/>
              <w:spacing w:line="440" w:lineRule="exact"/>
              <w:rPr>
                <w:color w:val="auto"/>
                <w:szCs w:val="22"/>
              </w:rPr>
            </w:pPr>
          </w:p>
        </w:tc>
      </w:tr>
      <w:tr w14:paraId="6FAB87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14:paraId="06FE22A2">
            <w:pPr>
              <w:topLinePunct/>
              <w:spacing w:line="440" w:lineRule="exact"/>
              <w:jc w:val="center"/>
              <w:rPr>
                <w:color w:val="auto"/>
                <w:szCs w:val="22"/>
              </w:rPr>
            </w:pPr>
            <w:r>
              <w:rPr>
                <w:color w:val="auto"/>
                <w:szCs w:val="22"/>
              </w:rPr>
              <w:t>合同价格</w:t>
            </w:r>
          </w:p>
        </w:tc>
        <w:tc>
          <w:tcPr>
            <w:tcW w:w="6253" w:type="dxa"/>
            <w:tcBorders>
              <w:top w:val="single" w:color="auto" w:sz="4" w:space="0"/>
              <w:left w:val="single" w:color="auto" w:sz="4" w:space="0"/>
              <w:bottom w:val="single" w:color="auto" w:sz="4" w:space="0"/>
              <w:right w:val="single" w:color="auto" w:sz="4" w:space="0"/>
            </w:tcBorders>
          </w:tcPr>
          <w:p w14:paraId="5E8356F3">
            <w:pPr>
              <w:topLinePunct/>
              <w:spacing w:line="440" w:lineRule="exact"/>
              <w:rPr>
                <w:color w:val="auto"/>
                <w:szCs w:val="22"/>
              </w:rPr>
            </w:pPr>
          </w:p>
        </w:tc>
      </w:tr>
      <w:tr w14:paraId="1CF765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14:paraId="22804101">
            <w:pPr>
              <w:topLinePunct/>
              <w:spacing w:line="440" w:lineRule="exact"/>
              <w:jc w:val="center"/>
              <w:rPr>
                <w:color w:val="auto"/>
                <w:szCs w:val="22"/>
              </w:rPr>
            </w:pPr>
            <w:r>
              <w:rPr>
                <w:color w:val="auto"/>
                <w:szCs w:val="22"/>
              </w:rPr>
              <w:t>监理服务期限</w:t>
            </w:r>
          </w:p>
        </w:tc>
        <w:tc>
          <w:tcPr>
            <w:tcW w:w="6253" w:type="dxa"/>
            <w:tcBorders>
              <w:top w:val="single" w:color="auto" w:sz="4" w:space="0"/>
              <w:left w:val="single" w:color="auto" w:sz="4" w:space="0"/>
              <w:bottom w:val="single" w:color="auto" w:sz="4" w:space="0"/>
              <w:right w:val="single" w:color="auto" w:sz="4" w:space="0"/>
            </w:tcBorders>
          </w:tcPr>
          <w:p w14:paraId="2D4A7857">
            <w:pPr>
              <w:topLinePunct/>
              <w:spacing w:line="440" w:lineRule="exact"/>
              <w:rPr>
                <w:color w:val="auto"/>
                <w:szCs w:val="22"/>
              </w:rPr>
            </w:pPr>
          </w:p>
        </w:tc>
      </w:tr>
      <w:tr w14:paraId="02E0A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14:paraId="59F1DC7F">
            <w:pPr>
              <w:topLinePunct/>
              <w:spacing w:line="440" w:lineRule="exact"/>
              <w:jc w:val="center"/>
              <w:rPr>
                <w:color w:val="auto"/>
                <w:szCs w:val="22"/>
              </w:rPr>
            </w:pPr>
            <w:r>
              <w:rPr>
                <w:color w:val="auto"/>
                <w:szCs w:val="22"/>
              </w:rPr>
              <w:t>监理内容</w:t>
            </w:r>
          </w:p>
        </w:tc>
        <w:tc>
          <w:tcPr>
            <w:tcW w:w="6253" w:type="dxa"/>
            <w:tcBorders>
              <w:top w:val="single" w:color="auto" w:sz="4" w:space="0"/>
              <w:left w:val="single" w:color="auto" w:sz="4" w:space="0"/>
              <w:bottom w:val="single" w:color="auto" w:sz="4" w:space="0"/>
              <w:right w:val="single" w:color="auto" w:sz="4" w:space="0"/>
            </w:tcBorders>
          </w:tcPr>
          <w:p w14:paraId="2EA4C9DB">
            <w:pPr>
              <w:topLinePunct/>
              <w:spacing w:line="440" w:lineRule="exact"/>
              <w:rPr>
                <w:color w:val="auto"/>
                <w:szCs w:val="22"/>
              </w:rPr>
            </w:pPr>
          </w:p>
        </w:tc>
      </w:tr>
      <w:tr w14:paraId="4371DF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14:paraId="7FB1182C">
            <w:pPr>
              <w:topLinePunct/>
              <w:spacing w:line="440" w:lineRule="exact"/>
              <w:jc w:val="center"/>
              <w:rPr>
                <w:color w:val="auto"/>
                <w:szCs w:val="22"/>
              </w:rPr>
            </w:pPr>
            <w:r>
              <w:rPr>
                <w:color w:val="auto"/>
                <w:szCs w:val="22"/>
              </w:rPr>
              <w:t>总监理工程师</w:t>
            </w:r>
          </w:p>
        </w:tc>
        <w:tc>
          <w:tcPr>
            <w:tcW w:w="6253" w:type="dxa"/>
            <w:tcBorders>
              <w:top w:val="single" w:color="auto" w:sz="4" w:space="0"/>
              <w:left w:val="single" w:color="auto" w:sz="4" w:space="0"/>
              <w:bottom w:val="single" w:color="auto" w:sz="4" w:space="0"/>
              <w:right w:val="single" w:color="auto" w:sz="4" w:space="0"/>
            </w:tcBorders>
          </w:tcPr>
          <w:p w14:paraId="47F95655">
            <w:pPr>
              <w:topLinePunct/>
              <w:spacing w:line="440" w:lineRule="exact"/>
              <w:rPr>
                <w:color w:val="auto"/>
                <w:szCs w:val="22"/>
              </w:rPr>
            </w:pPr>
          </w:p>
        </w:tc>
      </w:tr>
      <w:tr w14:paraId="5C7B6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14:paraId="029855E6">
            <w:pPr>
              <w:topLinePunct/>
              <w:spacing w:line="440" w:lineRule="exact"/>
              <w:jc w:val="center"/>
              <w:rPr>
                <w:color w:val="auto"/>
                <w:szCs w:val="22"/>
              </w:rPr>
            </w:pPr>
            <w:r>
              <w:rPr>
                <w:color w:val="auto"/>
                <w:szCs w:val="22"/>
              </w:rPr>
              <w:t>项目描述</w:t>
            </w:r>
          </w:p>
        </w:tc>
        <w:tc>
          <w:tcPr>
            <w:tcW w:w="6253" w:type="dxa"/>
            <w:tcBorders>
              <w:top w:val="single" w:color="auto" w:sz="4" w:space="0"/>
              <w:left w:val="single" w:color="auto" w:sz="4" w:space="0"/>
              <w:bottom w:val="single" w:color="auto" w:sz="4" w:space="0"/>
              <w:right w:val="single" w:color="auto" w:sz="4" w:space="0"/>
            </w:tcBorders>
          </w:tcPr>
          <w:p w14:paraId="2923F99A">
            <w:pPr>
              <w:topLinePunct/>
              <w:spacing w:line="440" w:lineRule="exact"/>
              <w:rPr>
                <w:color w:val="auto"/>
                <w:szCs w:val="22"/>
                <w:lang w:eastAsia="zh-CN"/>
              </w:rPr>
            </w:pPr>
            <w:r>
              <w:rPr>
                <w:rFonts w:hint="eastAsia"/>
                <w:color w:val="auto"/>
                <w:szCs w:val="22"/>
                <w:lang w:eastAsia="zh-CN"/>
              </w:rPr>
              <w:t>工程造价：</w:t>
            </w:r>
            <w:r>
              <w:rPr>
                <w:rFonts w:hint="eastAsia"/>
                <w:color w:val="auto"/>
                <w:szCs w:val="22"/>
                <w:u w:val="single"/>
                <w:lang w:eastAsia="zh-CN"/>
              </w:rPr>
              <w:t xml:space="preserve">             </w:t>
            </w:r>
            <w:r>
              <w:rPr>
                <w:color w:val="auto"/>
                <w:szCs w:val="22"/>
                <w:u w:val="single"/>
                <w:lang w:eastAsia="zh-CN"/>
              </w:rPr>
              <w:t xml:space="preserve">  </w:t>
            </w:r>
            <w:r>
              <w:rPr>
                <w:rFonts w:hint="eastAsia"/>
                <w:color w:val="auto"/>
                <w:szCs w:val="22"/>
                <w:u w:val="single"/>
                <w:lang w:eastAsia="zh-CN"/>
              </w:rPr>
              <w:t xml:space="preserve">   </w:t>
            </w:r>
            <w:r>
              <w:rPr>
                <w:color w:val="auto"/>
                <w:szCs w:val="22"/>
                <w:u w:val="single"/>
                <w:lang w:eastAsia="zh-CN"/>
              </w:rPr>
              <w:t xml:space="preserve">  </w:t>
            </w:r>
            <w:r>
              <w:rPr>
                <w:rFonts w:hint="eastAsia"/>
                <w:color w:val="auto"/>
                <w:szCs w:val="22"/>
                <w:lang w:eastAsia="zh-CN"/>
              </w:rPr>
              <w:t>；</w:t>
            </w:r>
          </w:p>
          <w:p w14:paraId="642B4065">
            <w:pPr>
              <w:topLinePunct/>
              <w:spacing w:line="440" w:lineRule="exact"/>
              <w:rPr>
                <w:color w:val="auto"/>
                <w:szCs w:val="22"/>
                <w:u w:val="single"/>
                <w:lang w:eastAsia="zh-CN"/>
              </w:rPr>
            </w:pPr>
            <w:r>
              <w:rPr>
                <w:rFonts w:hint="eastAsia"/>
                <w:color w:val="auto"/>
                <w:szCs w:val="22"/>
                <w:lang w:eastAsia="zh-CN"/>
              </w:rPr>
              <w:t>主要工程内容：</w:t>
            </w:r>
            <w:r>
              <w:rPr>
                <w:rFonts w:hint="eastAsia"/>
                <w:color w:val="auto"/>
                <w:szCs w:val="22"/>
                <w:u w:val="single"/>
                <w:lang w:eastAsia="zh-CN"/>
              </w:rPr>
              <w:t xml:space="preserve">          </w:t>
            </w:r>
            <w:r>
              <w:rPr>
                <w:color w:val="auto"/>
                <w:szCs w:val="22"/>
                <w:u w:val="single"/>
                <w:lang w:eastAsia="zh-CN"/>
              </w:rPr>
              <w:t xml:space="preserve">   </w:t>
            </w:r>
            <w:r>
              <w:rPr>
                <w:rFonts w:hint="eastAsia"/>
                <w:color w:val="auto"/>
                <w:szCs w:val="22"/>
                <w:u w:val="single"/>
                <w:lang w:eastAsia="zh-CN"/>
              </w:rPr>
              <w:t xml:space="preserve">          </w:t>
            </w:r>
            <w:r>
              <w:rPr>
                <w:color w:val="auto"/>
                <w:szCs w:val="22"/>
                <w:u w:val="single"/>
                <w:lang w:eastAsia="zh-CN"/>
              </w:rPr>
              <w:t xml:space="preserve"> </w:t>
            </w:r>
            <w:r>
              <w:rPr>
                <w:rFonts w:hint="eastAsia"/>
                <w:color w:val="auto"/>
                <w:szCs w:val="22"/>
                <w:lang w:eastAsia="zh-CN"/>
              </w:rPr>
              <w:t>；</w:t>
            </w:r>
          </w:p>
          <w:p w14:paraId="6A523D0D">
            <w:pPr>
              <w:topLinePunct/>
              <w:spacing w:line="440" w:lineRule="exact"/>
              <w:rPr>
                <w:color w:val="auto"/>
                <w:szCs w:val="22"/>
                <w:lang w:eastAsia="zh-CN"/>
              </w:rPr>
            </w:pPr>
            <w:r>
              <w:rPr>
                <w:rFonts w:hint="eastAsia"/>
                <w:color w:val="auto"/>
                <w:szCs w:val="22"/>
                <w:lang w:eastAsia="zh-CN"/>
              </w:rPr>
              <w:t xml:space="preserve">   </w:t>
            </w:r>
            <w:r>
              <w:rPr>
                <w:color w:val="auto"/>
                <w:szCs w:val="22"/>
                <w:lang w:eastAsia="zh-CN"/>
              </w:rPr>
              <w:t xml:space="preserve">    </w:t>
            </w:r>
            <w:r>
              <w:rPr>
                <w:rFonts w:hint="eastAsia"/>
                <w:color w:val="auto"/>
                <w:szCs w:val="22"/>
                <w:lang w:eastAsia="zh-CN"/>
              </w:rPr>
              <w:t>……；</w:t>
            </w:r>
          </w:p>
          <w:p w14:paraId="6FFD1E2C">
            <w:pPr>
              <w:topLinePunct/>
              <w:spacing w:line="440" w:lineRule="exact"/>
              <w:ind w:firstLine="960" w:firstLineChars="400"/>
              <w:rPr>
                <w:color w:val="auto"/>
                <w:szCs w:val="22"/>
                <w:lang w:eastAsia="zh-CN"/>
              </w:rPr>
            </w:pPr>
          </w:p>
        </w:tc>
      </w:tr>
      <w:tr w14:paraId="572DB3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14:paraId="0440DBAE">
            <w:pPr>
              <w:topLinePunct/>
              <w:spacing w:line="440" w:lineRule="exact"/>
              <w:jc w:val="center"/>
              <w:rPr>
                <w:color w:val="auto"/>
                <w:szCs w:val="22"/>
              </w:rPr>
            </w:pPr>
            <w:r>
              <w:rPr>
                <w:color w:val="auto"/>
                <w:szCs w:val="22"/>
              </w:rPr>
              <w:t>备注</w:t>
            </w:r>
          </w:p>
        </w:tc>
        <w:tc>
          <w:tcPr>
            <w:tcW w:w="6253" w:type="dxa"/>
            <w:tcBorders>
              <w:top w:val="single" w:color="auto" w:sz="4" w:space="0"/>
              <w:left w:val="single" w:color="auto" w:sz="4" w:space="0"/>
              <w:bottom w:val="single" w:color="auto" w:sz="4" w:space="0"/>
              <w:right w:val="single" w:color="auto" w:sz="4" w:space="0"/>
            </w:tcBorders>
          </w:tcPr>
          <w:p w14:paraId="47385550">
            <w:pPr>
              <w:topLinePunct/>
              <w:spacing w:line="440" w:lineRule="exact"/>
              <w:rPr>
                <w:color w:val="auto"/>
                <w:szCs w:val="22"/>
              </w:rPr>
            </w:pPr>
          </w:p>
        </w:tc>
      </w:tr>
    </w:tbl>
    <w:p w14:paraId="0F42B29C">
      <w:pPr>
        <w:wordWrap w:val="0"/>
        <w:spacing w:line="360" w:lineRule="auto"/>
        <w:ind w:left="420" w:hanging="420" w:hangingChars="200"/>
        <w:jc w:val="both"/>
        <w:rPr>
          <w:rFonts w:eastAsia="宋体" w:cs="宋体"/>
          <w:color w:val="auto"/>
          <w:sz w:val="21"/>
          <w:szCs w:val="21"/>
          <w:lang w:eastAsia="zh-CN" w:bidi="ar-SA"/>
        </w:rPr>
      </w:pPr>
      <w:r>
        <w:rPr>
          <w:rFonts w:eastAsia="宋体" w:cs="宋体"/>
          <w:color w:val="auto"/>
          <w:sz w:val="21"/>
          <w:szCs w:val="21"/>
          <w:lang w:eastAsia="zh-CN" w:bidi="ar-SA"/>
        </w:rPr>
        <w:t>注：</w:t>
      </w:r>
    </w:p>
    <w:p w14:paraId="0CCAD707">
      <w:pPr>
        <w:wordWrap w:val="0"/>
        <w:spacing w:line="360" w:lineRule="auto"/>
        <w:ind w:firstLine="420" w:firstLineChars="200"/>
        <w:jc w:val="both"/>
        <w:rPr>
          <w:rFonts w:eastAsia="宋体" w:cs="宋体"/>
          <w:color w:val="auto"/>
          <w:sz w:val="21"/>
          <w:szCs w:val="21"/>
          <w:lang w:eastAsia="zh-CN" w:bidi="ar-SA"/>
        </w:rPr>
      </w:pPr>
      <w:r>
        <w:rPr>
          <w:rFonts w:eastAsia="宋体" w:cs="宋体"/>
          <w:color w:val="auto"/>
          <w:sz w:val="21"/>
          <w:szCs w:val="21"/>
          <w:lang w:eastAsia="zh-CN" w:bidi="ar-SA"/>
        </w:rPr>
        <w:t>1</w:t>
      </w:r>
      <w:r>
        <w:rPr>
          <w:rFonts w:hint="eastAsia" w:eastAsia="宋体" w:cs="宋体"/>
          <w:color w:val="auto"/>
          <w:sz w:val="21"/>
          <w:szCs w:val="21"/>
          <w:lang w:eastAsia="zh-CN" w:bidi="ar-SA"/>
        </w:rPr>
        <w:t>、投标人必须根据项目实际情况填写本表，每张表格只填写一个项目，并标明序号。</w:t>
      </w:r>
    </w:p>
    <w:p w14:paraId="5CA7DE8A">
      <w:pPr>
        <w:wordWrap w:val="0"/>
        <w:spacing w:line="360" w:lineRule="auto"/>
        <w:ind w:firstLine="420" w:firstLineChars="200"/>
        <w:jc w:val="both"/>
        <w:rPr>
          <w:rFonts w:eastAsia="宋体" w:cs="宋体"/>
          <w:color w:val="auto"/>
          <w:sz w:val="21"/>
          <w:szCs w:val="21"/>
          <w:lang w:eastAsia="zh-CN" w:bidi="ar-SA"/>
        </w:rPr>
      </w:pPr>
      <w:r>
        <w:rPr>
          <w:rFonts w:hint="eastAsia" w:eastAsia="宋体" w:cs="宋体"/>
          <w:color w:val="auto"/>
          <w:sz w:val="21"/>
          <w:szCs w:val="21"/>
          <w:lang w:eastAsia="zh-CN" w:bidi="ar-SA"/>
        </w:rPr>
        <w:t>2、</w:t>
      </w:r>
      <w:bookmarkStart w:id="950" w:name="_Hlk53522404"/>
      <w:r>
        <w:rPr>
          <w:rFonts w:hint="eastAsia" w:eastAsia="宋体" w:cs="宋体"/>
          <w:color w:val="auto"/>
          <w:sz w:val="21"/>
          <w:szCs w:val="21"/>
          <w:lang w:eastAsia="zh-CN" w:bidi="ar-SA"/>
        </w:rPr>
        <w:t>投标人应按招标文件第二章“投标人须知前附表”第</w:t>
      </w:r>
      <w:r>
        <w:rPr>
          <w:rFonts w:eastAsia="宋体" w:cs="宋体"/>
          <w:color w:val="auto"/>
          <w:sz w:val="21"/>
          <w:szCs w:val="21"/>
          <w:lang w:eastAsia="zh-CN" w:bidi="ar-SA"/>
        </w:rPr>
        <w:t>3.5.3</w:t>
      </w:r>
      <w:r>
        <w:rPr>
          <w:rFonts w:hint="eastAsia" w:eastAsia="宋体" w:cs="宋体"/>
          <w:color w:val="auto"/>
          <w:sz w:val="21"/>
          <w:szCs w:val="21"/>
          <w:lang w:eastAsia="zh-CN" w:bidi="ar-SA"/>
        </w:rPr>
        <w:t>款要求附相关证明材料，并逐页加盖投标人单位公章。</w:t>
      </w:r>
      <w:bookmarkEnd w:id="950"/>
    </w:p>
    <w:p w14:paraId="2F113A69">
      <w:pPr>
        <w:wordWrap w:val="0"/>
        <w:spacing w:line="360" w:lineRule="auto"/>
        <w:ind w:firstLine="420" w:firstLineChars="200"/>
        <w:jc w:val="both"/>
        <w:rPr>
          <w:rFonts w:eastAsia="宋体" w:cs="宋体"/>
          <w:color w:val="auto"/>
          <w:sz w:val="21"/>
          <w:szCs w:val="21"/>
          <w:lang w:eastAsia="zh-CN" w:bidi="ar-SA"/>
        </w:rPr>
      </w:pPr>
      <w:r>
        <w:rPr>
          <w:rFonts w:hint="eastAsia" w:eastAsia="宋体" w:cs="宋体"/>
          <w:color w:val="auto"/>
          <w:sz w:val="21"/>
          <w:szCs w:val="21"/>
          <w:lang w:eastAsia="zh-CN" w:bidi="ar-SA"/>
        </w:rPr>
        <w:t>3、</w:t>
      </w:r>
      <w:r>
        <w:rPr>
          <w:rFonts w:eastAsia="宋体" w:cs="宋体"/>
          <w:color w:val="auto"/>
          <w:sz w:val="21"/>
          <w:szCs w:val="21"/>
          <w:lang w:eastAsia="zh-CN" w:bidi="ar-SA"/>
        </w:rPr>
        <w:t>如近年来，投标人法人机构发生合法变更或重组或法人名称变更时，应提供相关部门的合法批件或其他相关证明材料来证明其所附业绩的继承性。</w:t>
      </w:r>
    </w:p>
    <w:p w14:paraId="42FAA5A9">
      <w:pPr>
        <w:spacing w:line="360" w:lineRule="auto"/>
        <w:ind w:firstLine="3456" w:firstLineChars="1440"/>
        <w:jc w:val="both"/>
        <w:rPr>
          <w:rFonts w:hint="eastAsia" w:ascii="宋体" w:hAnsi="宋体" w:eastAsia="宋体"/>
          <w:color w:val="auto"/>
          <w:kern w:val="2"/>
          <w:lang w:eastAsia="zh-CN" w:bidi="ar-SA"/>
        </w:rPr>
      </w:pPr>
      <w:r>
        <w:rPr>
          <w:rFonts w:ascii="宋体" w:hAnsi="宋体" w:eastAsia="宋体"/>
          <w:color w:val="auto"/>
          <w:kern w:val="2"/>
          <w:lang w:eastAsia="zh-CN" w:bidi="ar-SA"/>
        </w:rPr>
        <w:t>投 标 人：</w:t>
      </w:r>
      <w:r>
        <w:rPr>
          <w:rFonts w:ascii="宋体" w:hAnsi="宋体" w:eastAsia="宋体"/>
          <w:color w:val="auto"/>
          <w:kern w:val="2"/>
          <w:u w:val="single"/>
          <w:lang w:eastAsia="zh-CN" w:bidi="ar-SA"/>
        </w:rPr>
        <w:t xml:space="preserve">   </w:t>
      </w:r>
      <w:r>
        <w:rPr>
          <w:rFonts w:hint="eastAsia" w:ascii="宋体" w:hAnsi="宋体" w:eastAsia="宋体"/>
          <w:color w:val="auto"/>
          <w:kern w:val="2"/>
          <w:u w:val="single"/>
          <w:lang w:eastAsia="zh-CN" w:bidi="ar-SA"/>
        </w:rPr>
        <w:t>（加盖投标人单位电子公章）</w:t>
      </w:r>
      <w:r>
        <w:rPr>
          <w:rFonts w:ascii="宋体" w:hAnsi="宋体" w:eastAsia="宋体"/>
          <w:color w:val="auto"/>
          <w:kern w:val="2"/>
          <w:u w:val="single"/>
          <w:lang w:eastAsia="zh-CN" w:bidi="ar-SA"/>
        </w:rPr>
        <w:t xml:space="preserve">     </w:t>
      </w:r>
    </w:p>
    <w:p w14:paraId="2840BAD5">
      <w:pPr>
        <w:wordWrap w:val="0"/>
        <w:spacing w:line="360" w:lineRule="auto"/>
        <w:jc w:val="center"/>
        <w:rPr>
          <w:rFonts w:hint="eastAsia" w:ascii="宋体" w:hAnsi="宋体" w:eastAsia="宋体"/>
          <w:color w:val="auto"/>
          <w:kern w:val="2"/>
          <w:u w:val="single"/>
          <w:lang w:eastAsia="zh-CN" w:bidi="ar-SA"/>
        </w:rPr>
        <w:sectPr>
          <w:footnotePr>
            <w:numFmt w:val="decimalEnclosedCircleChinese"/>
            <w:numRestart w:val="eachPage"/>
          </w:footnotePr>
          <w:pgSz w:w="11906" w:h="16838"/>
          <w:pgMar w:top="1418" w:right="1588" w:bottom="1418" w:left="1588" w:header="680" w:footer="992" w:gutter="0"/>
          <w:cols w:space="720" w:num="1"/>
          <w:docGrid w:linePitch="326" w:charSpace="0"/>
        </w:sectPr>
      </w:pPr>
      <w:r>
        <w:rPr>
          <w:rFonts w:hint="eastAsia" w:ascii="宋体" w:hAnsi="宋体" w:eastAsia="宋体"/>
          <w:color w:val="auto"/>
          <w:kern w:val="2"/>
          <w:lang w:eastAsia="zh-CN" w:bidi="ar-SA"/>
        </w:rPr>
        <w:t xml:space="preserve"> </w:t>
      </w:r>
      <w:r>
        <w:rPr>
          <w:rFonts w:ascii="宋体" w:hAnsi="宋体" w:eastAsia="宋体"/>
          <w:color w:val="auto"/>
          <w:kern w:val="2"/>
          <w:lang w:eastAsia="zh-CN" w:bidi="ar-SA"/>
        </w:rPr>
        <w:t xml:space="preserve">                           法定代表人：</w:t>
      </w:r>
      <w:r>
        <w:rPr>
          <w:rFonts w:ascii="宋体" w:hAnsi="宋体" w:eastAsia="宋体"/>
          <w:color w:val="auto"/>
          <w:kern w:val="2"/>
          <w:u w:val="single"/>
          <w:lang w:eastAsia="zh-CN" w:bidi="ar-SA"/>
        </w:rPr>
        <w:t xml:space="preserve"> </w:t>
      </w:r>
      <w:r>
        <w:rPr>
          <w:rFonts w:hint="eastAsia" w:ascii="宋体" w:hAnsi="宋体" w:eastAsia="宋体"/>
          <w:color w:val="auto"/>
          <w:kern w:val="2"/>
          <w:u w:val="single"/>
          <w:lang w:eastAsia="zh-CN" w:bidi="ar-SA"/>
        </w:rPr>
        <w:t xml:space="preserve">（加盖法定代表人电子签名） </w:t>
      </w:r>
      <w:r>
        <w:rPr>
          <w:rFonts w:ascii="宋体" w:hAnsi="宋体" w:eastAsia="宋体"/>
          <w:color w:val="auto"/>
          <w:kern w:val="2"/>
          <w:u w:val="single"/>
          <w:lang w:eastAsia="zh-CN" w:bidi="ar-SA"/>
        </w:rPr>
        <w:t xml:space="preserve">   </w:t>
      </w:r>
    </w:p>
    <w:p w14:paraId="6124AB1F">
      <w:pPr>
        <w:pStyle w:val="7"/>
        <w:jc w:val="center"/>
        <w:rPr>
          <w:rFonts w:eastAsia="宋体" w:cs="宋体"/>
          <w:bCs w:val="0"/>
          <w:color w:val="auto"/>
          <w:sz w:val="24"/>
          <w:szCs w:val="24"/>
          <w:lang w:eastAsia="zh-CN" w:bidi="ar-SA"/>
        </w:rPr>
      </w:pPr>
      <w:bookmarkStart w:id="951" w:name="_Toc29257"/>
      <w:r>
        <w:rPr>
          <w:rFonts w:eastAsia="宋体" w:cs="宋体"/>
          <w:bCs w:val="0"/>
          <w:color w:val="auto"/>
          <w:sz w:val="24"/>
          <w:szCs w:val="24"/>
          <w:lang w:eastAsia="zh-CN" w:bidi="ar-SA"/>
        </w:rPr>
        <w:t>（三） 投标人的信誉情况表</w:t>
      </w:r>
      <w:bookmarkEnd w:id="951"/>
    </w:p>
    <w:tbl>
      <w:tblPr>
        <w:tblStyle w:val="47"/>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29"/>
        <w:gridCol w:w="2410"/>
      </w:tblGrid>
      <w:tr w14:paraId="57AC6F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6629" w:type="dxa"/>
            <w:vAlign w:val="center"/>
          </w:tcPr>
          <w:p w14:paraId="56C5AD3C">
            <w:pPr>
              <w:ind w:firstLine="480" w:firstLineChars="200"/>
              <w:jc w:val="center"/>
              <w:rPr>
                <w:rFonts w:eastAsia="宋体" w:cs="宋体"/>
                <w:color w:val="auto"/>
                <w:szCs w:val="21"/>
                <w:lang w:eastAsia="zh-CN" w:bidi="ar-SA"/>
              </w:rPr>
            </w:pPr>
            <w:bookmarkStart w:id="952" w:name="_Hlk44602581"/>
            <w:r>
              <w:rPr>
                <w:rFonts w:hint="eastAsia" w:eastAsia="宋体" w:cs="宋体"/>
                <w:color w:val="auto"/>
                <w:szCs w:val="21"/>
                <w:lang w:eastAsia="zh-CN" w:bidi="ar-SA"/>
              </w:rPr>
              <w:t>信誉内容</w:t>
            </w:r>
          </w:p>
        </w:tc>
        <w:tc>
          <w:tcPr>
            <w:tcW w:w="2410" w:type="dxa"/>
            <w:vAlign w:val="center"/>
          </w:tcPr>
          <w:p w14:paraId="7893C2FD">
            <w:pPr>
              <w:ind w:firstLine="200"/>
              <w:jc w:val="center"/>
              <w:rPr>
                <w:rFonts w:eastAsia="宋体" w:cs="宋体"/>
                <w:color w:val="auto"/>
                <w:szCs w:val="21"/>
                <w:lang w:eastAsia="zh-CN" w:bidi="ar-SA"/>
              </w:rPr>
            </w:pPr>
            <w:r>
              <w:rPr>
                <w:rFonts w:eastAsia="宋体" w:cs="宋体"/>
                <w:color w:val="auto"/>
                <w:szCs w:val="21"/>
                <w:lang w:eastAsia="zh-CN" w:bidi="ar-SA"/>
              </w:rPr>
              <w:t>投标人</w:t>
            </w:r>
            <w:r>
              <w:rPr>
                <w:rFonts w:hint="eastAsia" w:eastAsia="宋体" w:cs="宋体"/>
                <w:color w:val="auto"/>
                <w:szCs w:val="21"/>
                <w:lang w:eastAsia="zh-CN" w:bidi="ar-SA"/>
              </w:rPr>
              <w:t>情况说明</w:t>
            </w:r>
          </w:p>
        </w:tc>
      </w:tr>
      <w:tr w14:paraId="710DA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6629" w:type="dxa"/>
            <w:vAlign w:val="center"/>
          </w:tcPr>
          <w:p w14:paraId="0D32EB25">
            <w:pPr>
              <w:ind w:firstLine="240" w:firstLineChars="100"/>
              <w:jc w:val="both"/>
              <w:rPr>
                <w:rFonts w:hint="eastAsia" w:ascii="华文细黑" w:hAnsi="华文细黑" w:eastAsia="宋体"/>
                <w:color w:val="auto"/>
                <w:kern w:val="2"/>
                <w:lang w:eastAsia="zh-CN" w:bidi="ar-SA"/>
              </w:rPr>
            </w:pPr>
            <w:r>
              <w:rPr>
                <w:rFonts w:hint="eastAsia" w:ascii="宋体" w:hAnsi="宋体" w:eastAsia="宋体"/>
                <w:color w:val="auto"/>
                <w:kern w:val="2"/>
                <w:lang w:eastAsia="zh-CN" w:bidi="ar-SA"/>
              </w:rPr>
              <w:t>（</w:t>
            </w:r>
            <w:r>
              <w:rPr>
                <w:rFonts w:ascii="宋体" w:hAnsi="宋体" w:eastAsia="宋体"/>
                <w:color w:val="auto"/>
                <w:kern w:val="2"/>
                <w:lang w:eastAsia="zh-CN" w:bidi="ar-SA"/>
              </w:rPr>
              <w:t>1</w:t>
            </w:r>
            <w:r>
              <w:rPr>
                <w:rFonts w:hint="eastAsia" w:ascii="宋体" w:hAnsi="宋体" w:eastAsia="宋体"/>
                <w:color w:val="auto"/>
                <w:kern w:val="2"/>
                <w:lang w:eastAsia="zh-CN" w:bidi="ar-SA"/>
              </w:rPr>
              <w:t>）是否被江西省交通运输厅及其上级单位取消在江西省内的投标资格或禁止进入江西省交通建设市场且处于有效期内</w:t>
            </w:r>
          </w:p>
        </w:tc>
        <w:tc>
          <w:tcPr>
            <w:tcW w:w="2410" w:type="dxa"/>
            <w:vAlign w:val="center"/>
          </w:tcPr>
          <w:p w14:paraId="7573A854">
            <w:pPr>
              <w:ind w:firstLine="480" w:firstLineChars="200"/>
              <w:jc w:val="both"/>
              <w:rPr>
                <w:rFonts w:eastAsia="宋体" w:cs="宋体"/>
                <w:color w:val="auto"/>
                <w:szCs w:val="21"/>
                <w:lang w:eastAsia="zh-CN" w:bidi="ar-SA"/>
              </w:rPr>
            </w:pPr>
          </w:p>
        </w:tc>
      </w:tr>
      <w:tr w14:paraId="4AC002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6629" w:type="dxa"/>
            <w:vAlign w:val="center"/>
          </w:tcPr>
          <w:p w14:paraId="32C28844">
            <w:pPr>
              <w:ind w:firstLine="240" w:firstLineChars="100"/>
              <w:jc w:val="both"/>
              <w:rPr>
                <w:rFonts w:hint="eastAsia" w:ascii="华文细黑" w:hAnsi="华文细黑" w:eastAsia="宋体"/>
                <w:color w:val="auto"/>
                <w:kern w:val="2"/>
                <w:lang w:eastAsia="zh-CN" w:bidi="ar-SA"/>
              </w:rPr>
            </w:pPr>
            <w:r>
              <w:rPr>
                <w:rFonts w:hint="eastAsia" w:ascii="宋体" w:hAnsi="宋体" w:eastAsia="宋体"/>
                <w:color w:val="auto"/>
                <w:kern w:val="2"/>
                <w:lang w:eastAsia="zh-CN" w:bidi="ar-SA"/>
              </w:rPr>
              <w:t>（</w:t>
            </w:r>
            <w:r>
              <w:rPr>
                <w:rFonts w:ascii="宋体" w:hAnsi="宋体" w:eastAsia="宋体"/>
                <w:color w:val="auto"/>
                <w:kern w:val="2"/>
                <w:lang w:eastAsia="zh-CN" w:bidi="ar-SA"/>
              </w:rPr>
              <w:t>2</w:t>
            </w:r>
            <w:r>
              <w:rPr>
                <w:rFonts w:hint="eastAsia" w:ascii="宋体" w:hAnsi="宋体" w:eastAsia="宋体"/>
                <w:color w:val="auto"/>
                <w:kern w:val="2"/>
                <w:lang w:eastAsia="zh-CN" w:bidi="ar-SA"/>
              </w:rPr>
              <w:t>）在江西省交通运输厅发布的2024年度全省公路水运监理信用评价结果中是否被评为D级</w:t>
            </w:r>
          </w:p>
        </w:tc>
        <w:tc>
          <w:tcPr>
            <w:tcW w:w="2410" w:type="dxa"/>
            <w:vAlign w:val="center"/>
          </w:tcPr>
          <w:p w14:paraId="6BF25551">
            <w:pPr>
              <w:ind w:firstLine="480" w:firstLineChars="200"/>
              <w:jc w:val="both"/>
              <w:rPr>
                <w:rFonts w:eastAsia="宋体" w:cs="宋体"/>
                <w:color w:val="auto"/>
                <w:szCs w:val="21"/>
                <w:lang w:eastAsia="zh-CN" w:bidi="ar-SA"/>
              </w:rPr>
            </w:pPr>
          </w:p>
        </w:tc>
      </w:tr>
      <w:tr w14:paraId="5331A5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6629" w:type="dxa"/>
            <w:vAlign w:val="center"/>
          </w:tcPr>
          <w:p w14:paraId="4330C9A7">
            <w:pPr>
              <w:ind w:firstLine="240" w:firstLineChars="100"/>
              <w:jc w:val="both"/>
              <w:rPr>
                <w:rFonts w:hint="eastAsia" w:ascii="华文细黑" w:hAnsi="华文细黑" w:eastAsia="宋体"/>
                <w:color w:val="auto"/>
                <w:kern w:val="2"/>
                <w:lang w:eastAsia="zh-CN" w:bidi="ar-SA"/>
              </w:rPr>
            </w:pPr>
            <w:r>
              <w:rPr>
                <w:rFonts w:hint="eastAsia" w:ascii="宋体" w:hAnsi="宋体" w:eastAsia="宋体"/>
                <w:color w:val="auto"/>
                <w:kern w:val="2"/>
                <w:lang w:eastAsia="zh-CN" w:bidi="ar-SA"/>
              </w:rPr>
              <w:t>（</w:t>
            </w:r>
            <w:r>
              <w:rPr>
                <w:rFonts w:ascii="宋体" w:hAnsi="宋体" w:eastAsia="宋体"/>
                <w:color w:val="auto"/>
                <w:kern w:val="2"/>
                <w:lang w:eastAsia="zh-CN" w:bidi="ar-SA"/>
              </w:rPr>
              <w:t>3</w:t>
            </w:r>
            <w:r>
              <w:rPr>
                <w:rFonts w:hint="eastAsia" w:ascii="宋体" w:hAnsi="宋体" w:eastAsia="宋体"/>
                <w:color w:val="auto"/>
                <w:kern w:val="2"/>
                <w:lang w:eastAsia="zh-CN" w:bidi="ar-SA"/>
              </w:rPr>
              <w:t>）是否被责令停产停业、暂扣或者吊销许可证、暂扣或者吊销执照</w:t>
            </w:r>
          </w:p>
        </w:tc>
        <w:tc>
          <w:tcPr>
            <w:tcW w:w="2410" w:type="dxa"/>
            <w:vAlign w:val="center"/>
          </w:tcPr>
          <w:p w14:paraId="41B4E13C">
            <w:pPr>
              <w:ind w:firstLine="480" w:firstLineChars="200"/>
              <w:jc w:val="both"/>
              <w:rPr>
                <w:rFonts w:eastAsia="宋体" w:cs="宋体"/>
                <w:color w:val="auto"/>
                <w:szCs w:val="21"/>
                <w:lang w:eastAsia="zh-CN" w:bidi="ar-SA"/>
              </w:rPr>
            </w:pPr>
          </w:p>
        </w:tc>
      </w:tr>
      <w:tr w14:paraId="34CB07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6629" w:type="dxa"/>
            <w:vAlign w:val="center"/>
          </w:tcPr>
          <w:p w14:paraId="329E262D">
            <w:pPr>
              <w:ind w:firstLine="240" w:firstLineChars="100"/>
              <w:jc w:val="both"/>
              <w:rPr>
                <w:rFonts w:hint="eastAsia" w:ascii="华文细黑" w:hAnsi="华文细黑" w:eastAsia="宋体"/>
                <w:color w:val="auto"/>
                <w:kern w:val="2"/>
                <w:lang w:eastAsia="zh-CN" w:bidi="ar-SA"/>
              </w:rPr>
            </w:pPr>
            <w:r>
              <w:rPr>
                <w:rFonts w:hint="eastAsia" w:ascii="宋体" w:hAnsi="宋体" w:eastAsia="宋体"/>
                <w:color w:val="auto"/>
                <w:kern w:val="2"/>
                <w:lang w:eastAsia="zh-CN" w:bidi="ar-SA"/>
              </w:rPr>
              <w:t>（</w:t>
            </w:r>
            <w:r>
              <w:rPr>
                <w:rFonts w:ascii="宋体" w:hAnsi="宋体" w:eastAsia="宋体"/>
                <w:color w:val="auto"/>
                <w:kern w:val="2"/>
                <w:lang w:eastAsia="zh-CN" w:bidi="ar-SA"/>
              </w:rPr>
              <w:t>4</w:t>
            </w:r>
            <w:r>
              <w:rPr>
                <w:rFonts w:hint="eastAsia" w:ascii="宋体" w:hAnsi="宋体" w:eastAsia="宋体"/>
                <w:color w:val="auto"/>
                <w:kern w:val="2"/>
                <w:lang w:eastAsia="zh-CN" w:bidi="ar-SA"/>
              </w:rPr>
              <w:t>）是否进入清算程序，或被宣告破产，或存在其他丧失履约能力的情形</w:t>
            </w:r>
          </w:p>
        </w:tc>
        <w:tc>
          <w:tcPr>
            <w:tcW w:w="2410" w:type="dxa"/>
            <w:vAlign w:val="center"/>
          </w:tcPr>
          <w:p w14:paraId="782B6B94">
            <w:pPr>
              <w:ind w:firstLine="480" w:firstLineChars="200"/>
              <w:jc w:val="both"/>
              <w:rPr>
                <w:rFonts w:eastAsia="宋体" w:cs="宋体"/>
                <w:color w:val="auto"/>
                <w:szCs w:val="21"/>
                <w:lang w:eastAsia="zh-CN" w:bidi="ar-SA"/>
              </w:rPr>
            </w:pPr>
          </w:p>
        </w:tc>
      </w:tr>
      <w:tr w14:paraId="49A972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6629" w:type="dxa"/>
            <w:vAlign w:val="center"/>
          </w:tcPr>
          <w:p w14:paraId="6BF700D6">
            <w:pPr>
              <w:adjustRightInd w:val="0"/>
              <w:snapToGrid w:val="0"/>
              <w:ind w:firstLine="240" w:firstLineChars="100"/>
              <w:rPr>
                <w:rFonts w:hint="eastAsia" w:ascii="华文细黑" w:hAnsi="华文细黑" w:eastAsia="宋体"/>
                <w:color w:val="auto"/>
                <w:kern w:val="2"/>
                <w:lang w:eastAsia="zh-CN" w:bidi="ar-SA"/>
              </w:rPr>
            </w:pPr>
            <w:r>
              <w:rPr>
                <w:rFonts w:hint="eastAsia" w:ascii="宋体" w:hAnsi="宋体" w:eastAsia="宋体"/>
                <w:color w:val="auto"/>
                <w:kern w:val="2"/>
                <w:lang w:eastAsia="zh-CN" w:bidi="ar-SA"/>
              </w:rPr>
              <w:t>（5）在国家企业信用信息公示系统（http://www.gsxt.gov.cn/）中是否被列入严重违法失信名单</w:t>
            </w:r>
          </w:p>
        </w:tc>
        <w:tc>
          <w:tcPr>
            <w:tcW w:w="2410" w:type="dxa"/>
          </w:tcPr>
          <w:p w14:paraId="7DE808E0">
            <w:pPr>
              <w:ind w:firstLine="200"/>
              <w:jc w:val="both"/>
              <w:rPr>
                <w:rFonts w:eastAsia="宋体" w:cs="宋体"/>
                <w:color w:val="auto"/>
                <w:sz w:val="22"/>
                <w:szCs w:val="22"/>
                <w:lang w:eastAsia="zh-CN" w:bidi="ar-SA"/>
              </w:rPr>
            </w:pPr>
            <w:r>
              <w:rPr>
                <w:rFonts w:hint="eastAsia" w:ascii="宋体" w:hAnsi="宋体" w:eastAsia="宋体" w:cs="宋体"/>
                <w:color w:val="auto"/>
                <w:sz w:val="22"/>
                <w:szCs w:val="22"/>
                <w:lang w:eastAsia="zh-CN"/>
              </w:rPr>
              <w:t>由投标人自行上网查询，并将查询的本企业</w:t>
            </w:r>
            <w:r>
              <w:rPr>
                <w:color w:val="auto"/>
                <w:sz w:val="22"/>
                <w:szCs w:val="22"/>
                <w:lang w:eastAsia="zh-CN"/>
              </w:rPr>
              <w:t>“</w:t>
            </w:r>
            <w:r>
              <w:rPr>
                <w:rFonts w:hint="eastAsia" w:ascii="宋体" w:hAnsi="宋体" w:eastAsia="宋体" w:cs="宋体"/>
                <w:color w:val="auto"/>
                <w:sz w:val="22"/>
                <w:szCs w:val="22"/>
                <w:lang w:eastAsia="zh-CN"/>
              </w:rPr>
              <w:t>列入严重违法失信名单（黑名单）信息</w:t>
            </w:r>
            <w:r>
              <w:rPr>
                <w:color w:val="auto"/>
                <w:sz w:val="22"/>
                <w:szCs w:val="22"/>
                <w:lang w:eastAsia="zh-CN"/>
              </w:rPr>
              <w:t>”</w:t>
            </w:r>
            <w:r>
              <w:rPr>
                <w:rFonts w:hint="eastAsia" w:ascii="宋体" w:hAnsi="宋体" w:eastAsia="宋体" w:cs="宋体"/>
                <w:color w:val="auto"/>
                <w:sz w:val="22"/>
                <w:szCs w:val="22"/>
                <w:lang w:eastAsia="zh-CN"/>
              </w:rPr>
              <w:t>情况的网页截图附在本表后。</w:t>
            </w:r>
          </w:p>
        </w:tc>
      </w:tr>
      <w:tr w14:paraId="041C91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6629" w:type="dxa"/>
            <w:vAlign w:val="center"/>
          </w:tcPr>
          <w:p w14:paraId="049600EE">
            <w:pPr>
              <w:adjustRightInd w:val="0"/>
              <w:snapToGrid w:val="0"/>
              <w:ind w:firstLine="240" w:firstLineChars="100"/>
              <w:rPr>
                <w:rFonts w:hint="eastAsia" w:ascii="华文细黑" w:hAnsi="华文细黑" w:eastAsia="宋体"/>
                <w:color w:val="auto"/>
                <w:kern w:val="2"/>
                <w:lang w:eastAsia="zh-CN" w:bidi="ar-SA"/>
              </w:rPr>
            </w:pPr>
            <w:r>
              <w:rPr>
                <w:rFonts w:hint="eastAsia" w:ascii="宋体" w:hAnsi="宋体" w:eastAsia="宋体"/>
                <w:color w:val="auto"/>
                <w:kern w:val="2"/>
                <w:lang w:eastAsia="zh-CN" w:bidi="ar-SA"/>
              </w:rPr>
              <w:t>（6）在“信用中国”网站（http://www.creditchina.gov.cn/）中是否被列入失信被执行人名单</w:t>
            </w:r>
          </w:p>
        </w:tc>
        <w:tc>
          <w:tcPr>
            <w:tcW w:w="2410" w:type="dxa"/>
          </w:tcPr>
          <w:p w14:paraId="09AE7073">
            <w:pPr>
              <w:ind w:firstLine="200"/>
              <w:jc w:val="both"/>
              <w:rPr>
                <w:rFonts w:eastAsia="宋体" w:cs="宋体"/>
                <w:color w:val="auto"/>
                <w:sz w:val="22"/>
                <w:szCs w:val="22"/>
                <w:lang w:eastAsia="zh-CN" w:bidi="ar-SA"/>
              </w:rPr>
            </w:pPr>
            <w:r>
              <w:rPr>
                <w:rFonts w:hint="eastAsia" w:ascii="宋体" w:hAnsi="宋体" w:eastAsia="宋体" w:cs="宋体"/>
                <w:color w:val="auto"/>
                <w:sz w:val="22"/>
                <w:szCs w:val="22"/>
                <w:lang w:eastAsia="zh-CN"/>
              </w:rPr>
              <w:t>由投标人自行上网查询，并将在</w:t>
            </w:r>
            <w:r>
              <w:rPr>
                <w:color w:val="auto"/>
                <w:sz w:val="22"/>
                <w:szCs w:val="22"/>
                <w:lang w:eastAsia="zh-CN"/>
              </w:rPr>
              <w:t>“</w:t>
            </w:r>
            <w:r>
              <w:rPr>
                <w:rFonts w:hint="eastAsia" w:ascii="宋体" w:hAnsi="宋体" w:eastAsia="宋体" w:cs="宋体"/>
                <w:color w:val="auto"/>
                <w:sz w:val="22"/>
                <w:szCs w:val="22"/>
                <w:lang w:eastAsia="zh-CN"/>
              </w:rPr>
              <w:t>信用中国</w:t>
            </w:r>
            <w:r>
              <w:rPr>
                <w:color w:val="auto"/>
                <w:sz w:val="22"/>
                <w:szCs w:val="22"/>
                <w:lang w:eastAsia="zh-CN"/>
              </w:rPr>
              <w:t>”</w:t>
            </w:r>
            <w:r>
              <w:rPr>
                <w:rFonts w:hint="eastAsia" w:ascii="宋体" w:hAnsi="宋体" w:eastAsia="宋体" w:cs="宋体"/>
                <w:color w:val="auto"/>
                <w:sz w:val="22"/>
                <w:szCs w:val="22"/>
                <w:lang w:eastAsia="zh-CN"/>
              </w:rPr>
              <w:t>网站中未被列入失信被执行人名单的网页截图附在本表后。</w:t>
            </w:r>
          </w:p>
        </w:tc>
      </w:tr>
      <w:tr w14:paraId="4AAA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8" w:hRule="atLeast"/>
        </w:trPr>
        <w:tc>
          <w:tcPr>
            <w:tcW w:w="6629" w:type="dxa"/>
            <w:vAlign w:val="center"/>
          </w:tcPr>
          <w:p w14:paraId="5716A94E">
            <w:pPr>
              <w:adjustRightInd w:val="0"/>
              <w:snapToGrid w:val="0"/>
              <w:ind w:firstLine="240" w:firstLineChars="100"/>
              <w:jc w:val="both"/>
              <w:rPr>
                <w:rFonts w:hint="eastAsia" w:ascii="宋体" w:hAnsi="宋体" w:eastAsia="宋体"/>
                <w:color w:val="auto"/>
                <w:kern w:val="2"/>
                <w:lang w:eastAsia="zh-CN" w:bidi="ar-SA"/>
              </w:rPr>
            </w:pPr>
            <w:r>
              <w:rPr>
                <w:rFonts w:hint="eastAsia" w:ascii="宋体" w:hAnsi="宋体" w:eastAsia="宋体"/>
                <w:color w:val="auto"/>
                <w:kern w:val="2"/>
                <w:lang w:eastAsia="zh-CN" w:bidi="ar-SA"/>
              </w:rPr>
              <w:t>（</w:t>
            </w:r>
            <w:r>
              <w:rPr>
                <w:rFonts w:ascii="宋体" w:hAnsi="宋体" w:eastAsia="宋体"/>
                <w:color w:val="auto"/>
                <w:kern w:val="2"/>
                <w:lang w:eastAsia="zh-CN" w:bidi="ar-SA"/>
              </w:rPr>
              <w:t>7</w:t>
            </w:r>
            <w:r>
              <w:rPr>
                <w:rFonts w:hint="eastAsia" w:ascii="宋体" w:hAnsi="宋体" w:eastAsia="宋体"/>
                <w:color w:val="auto"/>
                <w:kern w:val="2"/>
                <w:lang w:eastAsia="zh-CN" w:bidi="ar-SA"/>
              </w:rPr>
              <w:t>）投标人及其法定代表人、委托代理人（如有）、拟委任的总监理工程师在近三年内是否存在行贿犯罪行为</w:t>
            </w:r>
          </w:p>
        </w:tc>
        <w:tc>
          <w:tcPr>
            <w:tcW w:w="2410" w:type="dxa"/>
          </w:tcPr>
          <w:p w14:paraId="1B69F360">
            <w:pPr>
              <w:autoSpaceDE w:val="0"/>
              <w:autoSpaceDN w:val="0"/>
              <w:adjustRightInd w:val="0"/>
              <w:ind w:firstLine="200"/>
              <w:rPr>
                <w:rFonts w:eastAsia="宋体" w:cs="宋体"/>
                <w:color w:val="auto"/>
                <w:sz w:val="21"/>
                <w:szCs w:val="21"/>
                <w:lang w:eastAsia="zh-CN" w:bidi="ar-SA"/>
              </w:rPr>
            </w:pPr>
            <w:r>
              <w:rPr>
                <w:rFonts w:hint="eastAsia" w:ascii="宋体" w:hAnsi="宋体" w:eastAsia="宋体" w:cs="宋体"/>
                <w:color w:val="auto"/>
                <w:sz w:val="22"/>
                <w:szCs w:val="22"/>
                <w:lang w:eastAsia="zh-CN"/>
              </w:rPr>
              <w:t>由投标人在本栏进行说明，或附承诺函，格式自拟。</w:t>
            </w:r>
          </w:p>
        </w:tc>
      </w:tr>
    </w:tbl>
    <w:p w14:paraId="048FBA16">
      <w:pPr>
        <w:widowControl/>
        <w:autoSpaceDE w:val="0"/>
        <w:autoSpaceDN w:val="0"/>
        <w:ind w:left="420" w:hanging="420" w:hangingChars="200"/>
        <w:textAlignment w:val="bottom"/>
        <w:rPr>
          <w:rFonts w:hint="eastAsia" w:ascii="宋体" w:hAnsi="宋体" w:eastAsia="宋体" w:cs="宋体"/>
          <w:color w:val="auto"/>
          <w:sz w:val="21"/>
          <w:szCs w:val="21"/>
          <w:lang w:eastAsia="zh-CN" w:bidi="ar-SA"/>
        </w:rPr>
      </w:pPr>
      <w:r>
        <w:rPr>
          <w:rFonts w:hint="eastAsia" w:ascii="宋体" w:hAnsi="宋体" w:eastAsia="宋体" w:cs="宋体"/>
          <w:color w:val="auto"/>
          <w:sz w:val="21"/>
          <w:szCs w:val="21"/>
          <w:lang w:eastAsia="zh-CN" w:bidi="ar-SA"/>
        </w:rPr>
        <w:t>注：</w:t>
      </w:r>
    </w:p>
    <w:p w14:paraId="18E29AD6">
      <w:pPr>
        <w:widowControl/>
        <w:autoSpaceDE w:val="0"/>
        <w:autoSpaceDN w:val="0"/>
        <w:spacing w:line="360" w:lineRule="auto"/>
        <w:ind w:firstLine="420" w:firstLineChars="200"/>
        <w:textAlignment w:val="bottom"/>
        <w:rPr>
          <w:rFonts w:hint="eastAsia" w:ascii="宋体" w:hAnsi="宋体" w:eastAsia="宋体" w:cs="宋体"/>
          <w:color w:val="auto"/>
          <w:sz w:val="21"/>
          <w:szCs w:val="21"/>
          <w:lang w:eastAsia="zh-CN" w:bidi="ar-SA"/>
        </w:rPr>
      </w:pPr>
      <w:r>
        <w:rPr>
          <w:rFonts w:hint="eastAsia" w:ascii="宋体" w:hAnsi="宋体" w:eastAsia="宋体" w:cs="宋体"/>
          <w:color w:val="auto"/>
          <w:sz w:val="21"/>
          <w:szCs w:val="21"/>
          <w:lang w:eastAsia="zh-CN" w:bidi="ar-SA"/>
        </w:rPr>
        <w:t>1.投标人应如实填写本表，如隐瞒真实情况，一旦发现将取消中标资格，并将其弄虚作假行为上报省级交通行政主管部门，作为不良记录纳入交通建设市场信用信息管理系统。</w:t>
      </w:r>
    </w:p>
    <w:p w14:paraId="485ACA1A">
      <w:pPr>
        <w:ind w:left="420" w:hanging="420" w:hangingChars="200"/>
        <w:rPr>
          <w:rFonts w:hint="eastAsia" w:ascii="宋体" w:hAnsi="宋体" w:eastAsia="宋体" w:cs="宋体"/>
          <w:color w:val="auto"/>
          <w:sz w:val="21"/>
          <w:szCs w:val="21"/>
          <w:lang w:eastAsia="zh-CN" w:bidi="ar-SA"/>
        </w:rPr>
      </w:pPr>
    </w:p>
    <w:p w14:paraId="5E08106D">
      <w:pPr>
        <w:spacing w:line="360" w:lineRule="auto"/>
        <w:ind w:firstLine="3456" w:firstLineChars="1440"/>
        <w:jc w:val="both"/>
        <w:rPr>
          <w:rFonts w:hint="eastAsia" w:ascii="宋体" w:hAnsi="宋体" w:eastAsia="宋体"/>
          <w:color w:val="auto"/>
          <w:kern w:val="2"/>
          <w:lang w:eastAsia="zh-CN" w:bidi="ar-SA"/>
        </w:rPr>
      </w:pPr>
      <w:r>
        <w:rPr>
          <w:rFonts w:ascii="宋体" w:hAnsi="宋体" w:eastAsia="宋体"/>
          <w:color w:val="auto"/>
          <w:kern w:val="2"/>
          <w:lang w:eastAsia="zh-CN" w:bidi="ar-SA"/>
        </w:rPr>
        <w:t>投 标 人：</w:t>
      </w:r>
      <w:r>
        <w:rPr>
          <w:rFonts w:ascii="宋体" w:hAnsi="宋体" w:eastAsia="宋体"/>
          <w:color w:val="auto"/>
          <w:kern w:val="2"/>
          <w:u w:val="single"/>
          <w:lang w:eastAsia="zh-CN" w:bidi="ar-SA"/>
        </w:rPr>
        <w:t xml:space="preserve">   </w:t>
      </w:r>
      <w:r>
        <w:rPr>
          <w:rFonts w:hint="eastAsia" w:ascii="宋体" w:hAnsi="宋体" w:eastAsia="宋体"/>
          <w:color w:val="auto"/>
          <w:kern w:val="2"/>
          <w:u w:val="single"/>
          <w:lang w:eastAsia="zh-CN" w:bidi="ar-SA"/>
        </w:rPr>
        <w:t>（加盖投标人单位电子公章）</w:t>
      </w:r>
      <w:r>
        <w:rPr>
          <w:rFonts w:ascii="宋体" w:hAnsi="宋体" w:eastAsia="宋体"/>
          <w:color w:val="auto"/>
          <w:kern w:val="2"/>
          <w:u w:val="single"/>
          <w:lang w:eastAsia="zh-CN" w:bidi="ar-SA"/>
        </w:rPr>
        <w:t xml:space="preserve">     </w:t>
      </w:r>
    </w:p>
    <w:p w14:paraId="530AE629">
      <w:pPr>
        <w:ind w:left="480" w:leftChars="200" w:firstLine="2880" w:firstLineChars="1200"/>
        <w:rPr>
          <w:rFonts w:eastAsia="宋体" w:cs="宋体"/>
          <w:color w:val="auto"/>
          <w:lang w:eastAsia="zh-CN" w:bidi="ar-SA"/>
        </w:rPr>
        <w:sectPr>
          <w:footnotePr>
            <w:numFmt w:val="decimalEnclosedCircleChinese"/>
            <w:numRestart w:val="eachPage"/>
          </w:footnotePr>
          <w:pgSz w:w="11906" w:h="16838"/>
          <w:pgMar w:top="1418" w:right="1588" w:bottom="1418" w:left="1588" w:header="680" w:footer="992" w:gutter="0"/>
          <w:cols w:space="720" w:num="1"/>
          <w:docGrid w:linePitch="326" w:charSpace="0"/>
        </w:sectPr>
      </w:pPr>
      <w:r>
        <w:rPr>
          <w:rFonts w:ascii="宋体" w:hAnsi="宋体" w:eastAsia="宋体"/>
          <w:color w:val="auto"/>
          <w:kern w:val="2"/>
          <w:lang w:eastAsia="zh-CN" w:bidi="ar-SA"/>
        </w:rPr>
        <w:t>法定代表人：</w:t>
      </w:r>
      <w:r>
        <w:rPr>
          <w:rFonts w:ascii="宋体" w:hAnsi="宋体" w:eastAsia="宋体"/>
          <w:color w:val="auto"/>
          <w:kern w:val="2"/>
          <w:u w:val="single"/>
          <w:lang w:eastAsia="zh-CN" w:bidi="ar-SA"/>
        </w:rPr>
        <w:t xml:space="preserve"> </w:t>
      </w:r>
      <w:r>
        <w:rPr>
          <w:rFonts w:hint="eastAsia" w:ascii="宋体" w:hAnsi="宋体" w:eastAsia="宋体"/>
          <w:color w:val="auto"/>
          <w:kern w:val="2"/>
          <w:u w:val="single"/>
          <w:lang w:eastAsia="zh-CN" w:bidi="ar-SA"/>
        </w:rPr>
        <w:t xml:space="preserve">（加盖法定代表人电子签名） </w:t>
      </w:r>
      <w:r>
        <w:rPr>
          <w:rFonts w:ascii="宋体" w:hAnsi="宋体" w:eastAsia="宋体"/>
          <w:color w:val="auto"/>
          <w:kern w:val="2"/>
          <w:u w:val="single"/>
          <w:lang w:eastAsia="zh-CN" w:bidi="ar-SA"/>
        </w:rPr>
        <w:t xml:space="preserve">   </w:t>
      </w:r>
    </w:p>
    <w:bookmarkEnd w:id="952"/>
    <w:p w14:paraId="015D82CC">
      <w:pPr>
        <w:pStyle w:val="7"/>
        <w:jc w:val="center"/>
        <w:rPr>
          <w:color w:val="auto"/>
          <w:sz w:val="28"/>
          <w:szCs w:val="28"/>
          <w:lang w:eastAsia="zh-CN"/>
        </w:rPr>
      </w:pPr>
      <w:bookmarkStart w:id="953" w:name="_Toc492300734"/>
      <w:bookmarkStart w:id="954" w:name="_Toc29834"/>
      <w:bookmarkStart w:id="955" w:name="_Toc482188667"/>
      <w:r>
        <w:rPr>
          <w:color w:val="auto"/>
          <w:sz w:val="28"/>
          <w:szCs w:val="28"/>
          <w:lang w:eastAsia="zh-CN"/>
        </w:rPr>
        <w:t>（</w:t>
      </w:r>
      <w:r>
        <w:rPr>
          <w:rFonts w:hint="eastAsia" w:ascii="宋体" w:hAnsi="宋体" w:eastAsia="宋体" w:cs="宋体"/>
          <w:color w:val="auto"/>
          <w:sz w:val="28"/>
          <w:szCs w:val="28"/>
          <w:lang w:eastAsia="zh-CN"/>
        </w:rPr>
        <w:t>四</w:t>
      </w:r>
      <w:r>
        <w:rPr>
          <w:color w:val="auto"/>
          <w:sz w:val="28"/>
          <w:szCs w:val="28"/>
          <w:lang w:eastAsia="zh-CN"/>
        </w:rPr>
        <w:t>）拟委任的主要人员汇总表</w:t>
      </w:r>
      <w:bookmarkEnd w:id="953"/>
      <w:bookmarkEnd w:id="954"/>
      <w:bookmarkEnd w:id="955"/>
    </w:p>
    <w:tbl>
      <w:tblPr>
        <w:tblStyle w:val="47"/>
        <w:tblW w:w="94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1559"/>
        <w:gridCol w:w="1134"/>
        <w:gridCol w:w="1134"/>
        <w:gridCol w:w="1134"/>
        <w:gridCol w:w="1294"/>
        <w:gridCol w:w="1116"/>
        <w:gridCol w:w="1418"/>
      </w:tblGrid>
      <w:tr w14:paraId="37ED19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Merge w:val="restart"/>
            <w:vAlign w:val="center"/>
          </w:tcPr>
          <w:p w14:paraId="7B6F6C66">
            <w:pPr>
              <w:spacing w:line="440" w:lineRule="exact"/>
              <w:jc w:val="center"/>
              <w:rPr>
                <w:color w:val="auto"/>
                <w:sz w:val="22"/>
                <w:szCs w:val="21"/>
              </w:rPr>
            </w:pPr>
            <w:r>
              <w:rPr>
                <w:color w:val="auto"/>
                <w:sz w:val="22"/>
                <w:szCs w:val="21"/>
              </w:rPr>
              <w:t>序号</w:t>
            </w:r>
          </w:p>
        </w:tc>
        <w:tc>
          <w:tcPr>
            <w:tcW w:w="1559" w:type="dxa"/>
            <w:vMerge w:val="restart"/>
            <w:vAlign w:val="center"/>
          </w:tcPr>
          <w:p w14:paraId="7C9E9045">
            <w:pPr>
              <w:spacing w:line="440" w:lineRule="exact"/>
              <w:jc w:val="center"/>
              <w:rPr>
                <w:color w:val="auto"/>
                <w:sz w:val="22"/>
                <w:szCs w:val="21"/>
              </w:rPr>
            </w:pPr>
            <w:r>
              <w:rPr>
                <w:color w:val="auto"/>
                <w:sz w:val="22"/>
                <w:szCs w:val="21"/>
              </w:rPr>
              <w:t>本项目任职</w:t>
            </w:r>
          </w:p>
        </w:tc>
        <w:tc>
          <w:tcPr>
            <w:tcW w:w="1134" w:type="dxa"/>
            <w:vMerge w:val="restart"/>
            <w:vAlign w:val="center"/>
          </w:tcPr>
          <w:p w14:paraId="6A119F2D">
            <w:pPr>
              <w:spacing w:line="440" w:lineRule="exact"/>
              <w:jc w:val="center"/>
              <w:rPr>
                <w:color w:val="auto"/>
                <w:sz w:val="22"/>
                <w:szCs w:val="21"/>
              </w:rPr>
            </w:pPr>
            <w:r>
              <w:rPr>
                <w:color w:val="auto"/>
                <w:sz w:val="22"/>
                <w:szCs w:val="21"/>
              </w:rPr>
              <w:t>姓名</w:t>
            </w:r>
          </w:p>
        </w:tc>
        <w:tc>
          <w:tcPr>
            <w:tcW w:w="1134" w:type="dxa"/>
            <w:vMerge w:val="restart"/>
            <w:vAlign w:val="center"/>
          </w:tcPr>
          <w:p w14:paraId="411461C8">
            <w:pPr>
              <w:spacing w:line="440" w:lineRule="exact"/>
              <w:jc w:val="center"/>
              <w:rPr>
                <w:color w:val="auto"/>
                <w:sz w:val="22"/>
                <w:szCs w:val="21"/>
              </w:rPr>
            </w:pPr>
            <w:r>
              <w:rPr>
                <w:color w:val="auto"/>
                <w:sz w:val="22"/>
                <w:szCs w:val="21"/>
              </w:rPr>
              <w:t>职称</w:t>
            </w:r>
          </w:p>
        </w:tc>
        <w:tc>
          <w:tcPr>
            <w:tcW w:w="1134" w:type="dxa"/>
            <w:vMerge w:val="restart"/>
            <w:vAlign w:val="center"/>
          </w:tcPr>
          <w:p w14:paraId="45F806BB">
            <w:pPr>
              <w:spacing w:line="440" w:lineRule="exact"/>
              <w:jc w:val="center"/>
              <w:rPr>
                <w:color w:val="auto"/>
                <w:sz w:val="22"/>
                <w:szCs w:val="21"/>
              </w:rPr>
            </w:pPr>
            <w:r>
              <w:rPr>
                <w:color w:val="auto"/>
                <w:sz w:val="22"/>
                <w:szCs w:val="21"/>
              </w:rPr>
              <w:t>专业</w:t>
            </w:r>
          </w:p>
        </w:tc>
        <w:tc>
          <w:tcPr>
            <w:tcW w:w="2410" w:type="dxa"/>
            <w:gridSpan w:val="2"/>
            <w:vAlign w:val="center"/>
          </w:tcPr>
          <w:p w14:paraId="5726FBF0">
            <w:pPr>
              <w:spacing w:line="440" w:lineRule="exact"/>
              <w:jc w:val="center"/>
              <w:rPr>
                <w:color w:val="auto"/>
                <w:sz w:val="22"/>
                <w:szCs w:val="21"/>
              </w:rPr>
            </w:pPr>
            <w:r>
              <w:rPr>
                <w:color w:val="auto"/>
                <w:sz w:val="22"/>
                <w:szCs w:val="21"/>
              </w:rPr>
              <w:t>执业或职业资格证明</w:t>
            </w:r>
          </w:p>
        </w:tc>
        <w:tc>
          <w:tcPr>
            <w:tcW w:w="1418" w:type="dxa"/>
            <w:vMerge w:val="restart"/>
            <w:vAlign w:val="center"/>
          </w:tcPr>
          <w:p w14:paraId="0D9C1562">
            <w:pPr>
              <w:jc w:val="center"/>
              <w:rPr>
                <w:color w:val="auto"/>
                <w:sz w:val="22"/>
                <w:szCs w:val="21"/>
                <w:lang w:eastAsia="zh-CN"/>
              </w:rPr>
            </w:pPr>
            <w:r>
              <w:rPr>
                <w:rFonts w:hint="eastAsia" w:ascii="宋体" w:hAnsi="宋体"/>
                <w:color w:val="auto"/>
                <w:sz w:val="22"/>
                <w:szCs w:val="21"/>
                <w:lang w:eastAsia="zh-CN"/>
              </w:rPr>
              <w:t>监理工程师资格证书登记单位</w:t>
            </w:r>
            <w:r>
              <w:rPr>
                <w:rFonts w:hint="eastAsia"/>
                <w:color w:val="auto"/>
                <w:sz w:val="22"/>
                <w:szCs w:val="21"/>
                <w:lang w:eastAsia="zh-CN"/>
              </w:rPr>
              <w:t>是否为投标单位</w:t>
            </w:r>
          </w:p>
        </w:tc>
      </w:tr>
      <w:tr w14:paraId="3590A9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Merge w:val="continue"/>
            <w:vAlign w:val="center"/>
          </w:tcPr>
          <w:p w14:paraId="1DF2A036">
            <w:pPr>
              <w:rPr>
                <w:color w:val="auto"/>
                <w:sz w:val="22"/>
                <w:szCs w:val="21"/>
                <w:lang w:eastAsia="zh-CN"/>
              </w:rPr>
            </w:pPr>
          </w:p>
        </w:tc>
        <w:tc>
          <w:tcPr>
            <w:tcW w:w="1559" w:type="dxa"/>
            <w:vMerge w:val="continue"/>
          </w:tcPr>
          <w:p w14:paraId="7FF8FD86">
            <w:pPr>
              <w:rPr>
                <w:color w:val="auto"/>
                <w:sz w:val="22"/>
                <w:szCs w:val="21"/>
                <w:lang w:eastAsia="zh-CN"/>
              </w:rPr>
            </w:pPr>
          </w:p>
        </w:tc>
        <w:tc>
          <w:tcPr>
            <w:tcW w:w="1134" w:type="dxa"/>
            <w:vMerge w:val="continue"/>
            <w:vAlign w:val="center"/>
          </w:tcPr>
          <w:p w14:paraId="0E22E994">
            <w:pPr>
              <w:rPr>
                <w:color w:val="auto"/>
                <w:sz w:val="22"/>
                <w:szCs w:val="21"/>
                <w:lang w:eastAsia="zh-CN"/>
              </w:rPr>
            </w:pPr>
          </w:p>
        </w:tc>
        <w:tc>
          <w:tcPr>
            <w:tcW w:w="1134" w:type="dxa"/>
            <w:vMerge w:val="continue"/>
            <w:vAlign w:val="center"/>
          </w:tcPr>
          <w:p w14:paraId="6C679BD1">
            <w:pPr>
              <w:rPr>
                <w:color w:val="auto"/>
                <w:sz w:val="22"/>
                <w:szCs w:val="21"/>
                <w:lang w:eastAsia="zh-CN"/>
              </w:rPr>
            </w:pPr>
          </w:p>
        </w:tc>
        <w:tc>
          <w:tcPr>
            <w:tcW w:w="1134" w:type="dxa"/>
            <w:vMerge w:val="continue"/>
            <w:vAlign w:val="center"/>
          </w:tcPr>
          <w:p w14:paraId="5DD1A4F3">
            <w:pPr>
              <w:spacing w:line="440" w:lineRule="exact"/>
              <w:jc w:val="center"/>
              <w:rPr>
                <w:color w:val="auto"/>
                <w:sz w:val="22"/>
                <w:szCs w:val="21"/>
                <w:lang w:eastAsia="zh-CN"/>
              </w:rPr>
            </w:pPr>
          </w:p>
        </w:tc>
        <w:tc>
          <w:tcPr>
            <w:tcW w:w="1294" w:type="dxa"/>
            <w:vAlign w:val="center"/>
          </w:tcPr>
          <w:p w14:paraId="4EB1DA37">
            <w:pPr>
              <w:spacing w:before="100" w:beforeAutospacing="1" w:after="100" w:afterAutospacing="1" w:line="440" w:lineRule="exact"/>
              <w:jc w:val="center"/>
              <w:rPr>
                <w:color w:val="auto"/>
                <w:sz w:val="22"/>
                <w:szCs w:val="21"/>
              </w:rPr>
            </w:pPr>
            <w:r>
              <w:rPr>
                <w:color w:val="auto"/>
                <w:sz w:val="22"/>
                <w:szCs w:val="21"/>
              </w:rPr>
              <w:t>证书名称</w:t>
            </w:r>
          </w:p>
        </w:tc>
        <w:tc>
          <w:tcPr>
            <w:tcW w:w="1116" w:type="dxa"/>
            <w:vAlign w:val="center"/>
          </w:tcPr>
          <w:p w14:paraId="180D44F4">
            <w:pPr>
              <w:spacing w:before="100" w:beforeAutospacing="1" w:after="100" w:afterAutospacing="1" w:line="440" w:lineRule="exact"/>
              <w:jc w:val="center"/>
              <w:rPr>
                <w:color w:val="auto"/>
                <w:sz w:val="22"/>
                <w:szCs w:val="21"/>
              </w:rPr>
            </w:pPr>
            <w:r>
              <w:rPr>
                <w:color w:val="auto"/>
                <w:sz w:val="22"/>
                <w:szCs w:val="21"/>
              </w:rPr>
              <w:t>证号</w:t>
            </w:r>
            <w:r>
              <w:rPr>
                <w:rFonts w:hint="eastAsia" w:ascii="宋体" w:hAnsi="宋体" w:eastAsia="宋体" w:cs="宋体"/>
                <w:color w:val="auto"/>
                <w:sz w:val="22"/>
                <w:szCs w:val="21"/>
                <w:lang w:eastAsia="zh-CN"/>
              </w:rPr>
              <w:t>编号</w:t>
            </w:r>
          </w:p>
        </w:tc>
        <w:tc>
          <w:tcPr>
            <w:tcW w:w="1418" w:type="dxa"/>
            <w:vMerge w:val="continue"/>
            <w:vAlign w:val="center"/>
          </w:tcPr>
          <w:p w14:paraId="501AF75E">
            <w:pPr>
              <w:spacing w:line="440" w:lineRule="exact"/>
              <w:jc w:val="center"/>
              <w:rPr>
                <w:color w:val="auto"/>
                <w:sz w:val="22"/>
                <w:szCs w:val="21"/>
              </w:rPr>
            </w:pPr>
          </w:p>
        </w:tc>
      </w:tr>
      <w:tr w14:paraId="05A1FE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4" w:type="dxa"/>
            <w:vAlign w:val="center"/>
          </w:tcPr>
          <w:p w14:paraId="09D15F87">
            <w:pPr>
              <w:spacing w:line="440" w:lineRule="exact"/>
              <w:jc w:val="center"/>
              <w:rPr>
                <w:rFonts w:hint="eastAsia"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1</w:t>
            </w:r>
          </w:p>
        </w:tc>
        <w:tc>
          <w:tcPr>
            <w:tcW w:w="1559" w:type="dxa"/>
          </w:tcPr>
          <w:p w14:paraId="404A6229">
            <w:pPr>
              <w:spacing w:line="440" w:lineRule="exact"/>
              <w:jc w:val="center"/>
              <w:rPr>
                <w:rFonts w:hint="eastAsia"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总监理工程师</w:t>
            </w:r>
          </w:p>
        </w:tc>
        <w:tc>
          <w:tcPr>
            <w:tcW w:w="1134" w:type="dxa"/>
            <w:vAlign w:val="center"/>
          </w:tcPr>
          <w:p w14:paraId="00A48781">
            <w:pPr>
              <w:spacing w:line="440" w:lineRule="exact"/>
              <w:jc w:val="center"/>
              <w:rPr>
                <w:color w:val="auto"/>
                <w:szCs w:val="22"/>
              </w:rPr>
            </w:pPr>
          </w:p>
        </w:tc>
        <w:tc>
          <w:tcPr>
            <w:tcW w:w="1134" w:type="dxa"/>
            <w:vAlign w:val="center"/>
          </w:tcPr>
          <w:p w14:paraId="42EF13B7">
            <w:pPr>
              <w:spacing w:line="440" w:lineRule="exact"/>
              <w:jc w:val="center"/>
              <w:rPr>
                <w:color w:val="auto"/>
                <w:szCs w:val="22"/>
              </w:rPr>
            </w:pPr>
          </w:p>
        </w:tc>
        <w:tc>
          <w:tcPr>
            <w:tcW w:w="1134" w:type="dxa"/>
            <w:vAlign w:val="center"/>
          </w:tcPr>
          <w:p w14:paraId="68D421A1">
            <w:pPr>
              <w:spacing w:line="440" w:lineRule="exact"/>
              <w:jc w:val="center"/>
              <w:rPr>
                <w:color w:val="auto"/>
                <w:szCs w:val="22"/>
              </w:rPr>
            </w:pPr>
          </w:p>
        </w:tc>
        <w:tc>
          <w:tcPr>
            <w:tcW w:w="1294" w:type="dxa"/>
            <w:vAlign w:val="center"/>
          </w:tcPr>
          <w:p w14:paraId="2D1B141A">
            <w:pPr>
              <w:spacing w:line="440" w:lineRule="exact"/>
              <w:jc w:val="center"/>
              <w:rPr>
                <w:color w:val="auto"/>
                <w:szCs w:val="22"/>
              </w:rPr>
            </w:pPr>
          </w:p>
        </w:tc>
        <w:tc>
          <w:tcPr>
            <w:tcW w:w="1116" w:type="dxa"/>
            <w:vAlign w:val="center"/>
          </w:tcPr>
          <w:p w14:paraId="02DEF188">
            <w:pPr>
              <w:spacing w:line="440" w:lineRule="exact"/>
              <w:jc w:val="center"/>
              <w:rPr>
                <w:color w:val="auto"/>
                <w:szCs w:val="22"/>
              </w:rPr>
            </w:pPr>
          </w:p>
        </w:tc>
        <w:tc>
          <w:tcPr>
            <w:tcW w:w="1418" w:type="dxa"/>
            <w:vAlign w:val="center"/>
          </w:tcPr>
          <w:p w14:paraId="3DE497D8">
            <w:pPr>
              <w:spacing w:line="440" w:lineRule="exact"/>
              <w:jc w:val="center"/>
              <w:rPr>
                <w:color w:val="auto"/>
                <w:szCs w:val="22"/>
              </w:rPr>
            </w:pPr>
          </w:p>
        </w:tc>
      </w:tr>
      <w:tr w14:paraId="23CA33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4" w:type="dxa"/>
          </w:tcPr>
          <w:p w14:paraId="329E2AF9">
            <w:pPr>
              <w:spacing w:line="440" w:lineRule="exact"/>
              <w:jc w:val="center"/>
              <w:rPr>
                <w:rFonts w:hint="eastAsia" w:asciiTheme="minorEastAsia" w:hAnsiTheme="minorEastAsia" w:eastAsiaTheme="minorEastAsia"/>
                <w:color w:val="auto"/>
                <w:sz w:val="18"/>
                <w:szCs w:val="18"/>
              </w:rPr>
            </w:pPr>
            <w:r>
              <w:rPr>
                <w:rFonts w:asciiTheme="minorEastAsia" w:hAnsiTheme="minorEastAsia" w:eastAsiaTheme="minorEastAsia"/>
                <w:color w:val="auto"/>
                <w:sz w:val="18"/>
                <w:szCs w:val="18"/>
              </w:rPr>
              <w:t>2</w:t>
            </w:r>
          </w:p>
        </w:tc>
        <w:tc>
          <w:tcPr>
            <w:tcW w:w="1559" w:type="dxa"/>
          </w:tcPr>
          <w:p w14:paraId="78E37223">
            <w:pPr>
              <w:spacing w:line="440" w:lineRule="exact"/>
              <w:jc w:val="center"/>
              <w:rPr>
                <w:rFonts w:hint="eastAsia" w:asciiTheme="minorEastAsia" w:hAnsiTheme="minorEastAsia" w:eastAsiaTheme="minorEastAsia"/>
                <w:color w:val="auto"/>
                <w:sz w:val="18"/>
                <w:szCs w:val="18"/>
              </w:rPr>
            </w:pPr>
          </w:p>
        </w:tc>
        <w:tc>
          <w:tcPr>
            <w:tcW w:w="1134" w:type="dxa"/>
          </w:tcPr>
          <w:p w14:paraId="489EA732">
            <w:pPr>
              <w:spacing w:line="440" w:lineRule="exact"/>
              <w:jc w:val="center"/>
              <w:rPr>
                <w:color w:val="auto"/>
                <w:szCs w:val="22"/>
              </w:rPr>
            </w:pPr>
          </w:p>
        </w:tc>
        <w:tc>
          <w:tcPr>
            <w:tcW w:w="1134" w:type="dxa"/>
          </w:tcPr>
          <w:p w14:paraId="0980F405">
            <w:pPr>
              <w:spacing w:line="440" w:lineRule="exact"/>
              <w:jc w:val="center"/>
              <w:rPr>
                <w:color w:val="auto"/>
                <w:szCs w:val="22"/>
              </w:rPr>
            </w:pPr>
          </w:p>
        </w:tc>
        <w:tc>
          <w:tcPr>
            <w:tcW w:w="1134" w:type="dxa"/>
          </w:tcPr>
          <w:p w14:paraId="331E28E7">
            <w:pPr>
              <w:spacing w:line="440" w:lineRule="exact"/>
              <w:jc w:val="center"/>
              <w:rPr>
                <w:color w:val="auto"/>
                <w:szCs w:val="22"/>
              </w:rPr>
            </w:pPr>
          </w:p>
        </w:tc>
        <w:tc>
          <w:tcPr>
            <w:tcW w:w="1294" w:type="dxa"/>
          </w:tcPr>
          <w:p w14:paraId="2713EB87">
            <w:pPr>
              <w:spacing w:line="440" w:lineRule="exact"/>
              <w:jc w:val="center"/>
              <w:rPr>
                <w:color w:val="auto"/>
                <w:szCs w:val="22"/>
              </w:rPr>
            </w:pPr>
          </w:p>
        </w:tc>
        <w:tc>
          <w:tcPr>
            <w:tcW w:w="1116" w:type="dxa"/>
          </w:tcPr>
          <w:p w14:paraId="423F6A11">
            <w:pPr>
              <w:spacing w:line="440" w:lineRule="exact"/>
              <w:jc w:val="center"/>
              <w:rPr>
                <w:color w:val="auto"/>
                <w:szCs w:val="22"/>
              </w:rPr>
            </w:pPr>
          </w:p>
        </w:tc>
        <w:tc>
          <w:tcPr>
            <w:tcW w:w="1418" w:type="dxa"/>
          </w:tcPr>
          <w:p w14:paraId="15D4E7B8">
            <w:pPr>
              <w:spacing w:line="440" w:lineRule="exact"/>
              <w:jc w:val="center"/>
              <w:rPr>
                <w:color w:val="auto"/>
                <w:szCs w:val="22"/>
              </w:rPr>
            </w:pPr>
          </w:p>
        </w:tc>
      </w:tr>
      <w:tr w14:paraId="719C1B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4" w:type="dxa"/>
          </w:tcPr>
          <w:p w14:paraId="1F2C0474">
            <w:pPr>
              <w:spacing w:line="440" w:lineRule="exact"/>
              <w:jc w:val="center"/>
              <w:rPr>
                <w:color w:val="auto"/>
                <w:szCs w:val="22"/>
              </w:rPr>
            </w:pPr>
            <w:r>
              <w:rPr>
                <w:rFonts w:hint="eastAsia"/>
                <w:color w:val="auto"/>
                <w:szCs w:val="22"/>
              </w:rPr>
              <w:t>……</w:t>
            </w:r>
          </w:p>
        </w:tc>
        <w:tc>
          <w:tcPr>
            <w:tcW w:w="1559" w:type="dxa"/>
          </w:tcPr>
          <w:p w14:paraId="76B3A2DD">
            <w:pPr>
              <w:spacing w:line="440" w:lineRule="exact"/>
              <w:jc w:val="center"/>
              <w:rPr>
                <w:color w:val="auto"/>
                <w:szCs w:val="22"/>
              </w:rPr>
            </w:pPr>
          </w:p>
        </w:tc>
        <w:tc>
          <w:tcPr>
            <w:tcW w:w="1134" w:type="dxa"/>
          </w:tcPr>
          <w:p w14:paraId="647BF87C">
            <w:pPr>
              <w:spacing w:line="440" w:lineRule="exact"/>
              <w:jc w:val="center"/>
              <w:rPr>
                <w:color w:val="auto"/>
                <w:szCs w:val="22"/>
              </w:rPr>
            </w:pPr>
          </w:p>
        </w:tc>
        <w:tc>
          <w:tcPr>
            <w:tcW w:w="1134" w:type="dxa"/>
          </w:tcPr>
          <w:p w14:paraId="02F8A529">
            <w:pPr>
              <w:spacing w:line="440" w:lineRule="exact"/>
              <w:jc w:val="center"/>
              <w:rPr>
                <w:color w:val="auto"/>
                <w:szCs w:val="22"/>
              </w:rPr>
            </w:pPr>
          </w:p>
        </w:tc>
        <w:tc>
          <w:tcPr>
            <w:tcW w:w="1134" w:type="dxa"/>
          </w:tcPr>
          <w:p w14:paraId="17E4CFE4">
            <w:pPr>
              <w:spacing w:line="440" w:lineRule="exact"/>
              <w:jc w:val="center"/>
              <w:rPr>
                <w:color w:val="auto"/>
                <w:szCs w:val="22"/>
              </w:rPr>
            </w:pPr>
          </w:p>
        </w:tc>
        <w:tc>
          <w:tcPr>
            <w:tcW w:w="1294" w:type="dxa"/>
          </w:tcPr>
          <w:p w14:paraId="400827EF">
            <w:pPr>
              <w:spacing w:line="440" w:lineRule="exact"/>
              <w:jc w:val="center"/>
              <w:rPr>
                <w:color w:val="auto"/>
                <w:szCs w:val="22"/>
              </w:rPr>
            </w:pPr>
          </w:p>
        </w:tc>
        <w:tc>
          <w:tcPr>
            <w:tcW w:w="1116" w:type="dxa"/>
          </w:tcPr>
          <w:p w14:paraId="13F0DEF5">
            <w:pPr>
              <w:spacing w:line="440" w:lineRule="exact"/>
              <w:jc w:val="center"/>
              <w:rPr>
                <w:color w:val="auto"/>
                <w:szCs w:val="22"/>
              </w:rPr>
            </w:pPr>
          </w:p>
        </w:tc>
        <w:tc>
          <w:tcPr>
            <w:tcW w:w="1418" w:type="dxa"/>
          </w:tcPr>
          <w:p w14:paraId="1AA61C65">
            <w:pPr>
              <w:spacing w:line="440" w:lineRule="exact"/>
              <w:jc w:val="center"/>
              <w:rPr>
                <w:color w:val="auto"/>
                <w:szCs w:val="22"/>
              </w:rPr>
            </w:pPr>
          </w:p>
        </w:tc>
      </w:tr>
      <w:tr w14:paraId="0C1D9C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4" w:type="dxa"/>
          </w:tcPr>
          <w:p w14:paraId="0CE31111">
            <w:pPr>
              <w:spacing w:line="440" w:lineRule="exact"/>
              <w:jc w:val="center"/>
              <w:rPr>
                <w:color w:val="auto"/>
                <w:szCs w:val="22"/>
              </w:rPr>
            </w:pPr>
          </w:p>
        </w:tc>
        <w:tc>
          <w:tcPr>
            <w:tcW w:w="1559" w:type="dxa"/>
          </w:tcPr>
          <w:p w14:paraId="7E12763D">
            <w:pPr>
              <w:spacing w:line="440" w:lineRule="exact"/>
              <w:jc w:val="center"/>
              <w:rPr>
                <w:color w:val="auto"/>
                <w:szCs w:val="22"/>
              </w:rPr>
            </w:pPr>
          </w:p>
        </w:tc>
        <w:tc>
          <w:tcPr>
            <w:tcW w:w="1134" w:type="dxa"/>
          </w:tcPr>
          <w:p w14:paraId="254F03CA">
            <w:pPr>
              <w:spacing w:line="440" w:lineRule="exact"/>
              <w:jc w:val="center"/>
              <w:rPr>
                <w:color w:val="auto"/>
                <w:szCs w:val="22"/>
              </w:rPr>
            </w:pPr>
          </w:p>
        </w:tc>
        <w:tc>
          <w:tcPr>
            <w:tcW w:w="1134" w:type="dxa"/>
          </w:tcPr>
          <w:p w14:paraId="63511926">
            <w:pPr>
              <w:spacing w:line="440" w:lineRule="exact"/>
              <w:jc w:val="center"/>
              <w:rPr>
                <w:color w:val="auto"/>
                <w:szCs w:val="22"/>
              </w:rPr>
            </w:pPr>
          </w:p>
        </w:tc>
        <w:tc>
          <w:tcPr>
            <w:tcW w:w="1134" w:type="dxa"/>
          </w:tcPr>
          <w:p w14:paraId="393EAC8F">
            <w:pPr>
              <w:spacing w:line="440" w:lineRule="exact"/>
              <w:jc w:val="center"/>
              <w:rPr>
                <w:color w:val="auto"/>
                <w:szCs w:val="22"/>
              </w:rPr>
            </w:pPr>
          </w:p>
        </w:tc>
        <w:tc>
          <w:tcPr>
            <w:tcW w:w="1294" w:type="dxa"/>
          </w:tcPr>
          <w:p w14:paraId="346EB70D">
            <w:pPr>
              <w:spacing w:line="440" w:lineRule="exact"/>
              <w:jc w:val="center"/>
              <w:rPr>
                <w:color w:val="auto"/>
                <w:szCs w:val="22"/>
              </w:rPr>
            </w:pPr>
          </w:p>
        </w:tc>
        <w:tc>
          <w:tcPr>
            <w:tcW w:w="1116" w:type="dxa"/>
          </w:tcPr>
          <w:p w14:paraId="1671440B">
            <w:pPr>
              <w:spacing w:line="440" w:lineRule="exact"/>
              <w:jc w:val="center"/>
              <w:rPr>
                <w:color w:val="auto"/>
                <w:szCs w:val="22"/>
              </w:rPr>
            </w:pPr>
          </w:p>
        </w:tc>
        <w:tc>
          <w:tcPr>
            <w:tcW w:w="1418" w:type="dxa"/>
          </w:tcPr>
          <w:p w14:paraId="124C1711">
            <w:pPr>
              <w:spacing w:line="440" w:lineRule="exact"/>
              <w:jc w:val="center"/>
              <w:rPr>
                <w:color w:val="auto"/>
                <w:szCs w:val="22"/>
              </w:rPr>
            </w:pPr>
          </w:p>
        </w:tc>
      </w:tr>
      <w:tr w14:paraId="27260D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4" w:type="dxa"/>
          </w:tcPr>
          <w:p w14:paraId="66F967E1">
            <w:pPr>
              <w:spacing w:line="440" w:lineRule="exact"/>
              <w:jc w:val="center"/>
              <w:rPr>
                <w:color w:val="auto"/>
                <w:szCs w:val="22"/>
              </w:rPr>
            </w:pPr>
          </w:p>
        </w:tc>
        <w:tc>
          <w:tcPr>
            <w:tcW w:w="1559" w:type="dxa"/>
          </w:tcPr>
          <w:p w14:paraId="091320EC">
            <w:pPr>
              <w:spacing w:line="440" w:lineRule="exact"/>
              <w:jc w:val="center"/>
              <w:rPr>
                <w:color w:val="auto"/>
                <w:szCs w:val="22"/>
              </w:rPr>
            </w:pPr>
          </w:p>
        </w:tc>
        <w:tc>
          <w:tcPr>
            <w:tcW w:w="1134" w:type="dxa"/>
          </w:tcPr>
          <w:p w14:paraId="3DE2ACB7">
            <w:pPr>
              <w:spacing w:line="440" w:lineRule="exact"/>
              <w:jc w:val="center"/>
              <w:rPr>
                <w:color w:val="auto"/>
                <w:szCs w:val="22"/>
              </w:rPr>
            </w:pPr>
          </w:p>
        </w:tc>
        <w:tc>
          <w:tcPr>
            <w:tcW w:w="1134" w:type="dxa"/>
          </w:tcPr>
          <w:p w14:paraId="3C08BE0D">
            <w:pPr>
              <w:spacing w:line="440" w:lineRule="exact"/>
              <w:jc w:val="center"/>
              <w:rPr>
                <w:color w:val="auto"/>
                <w:szCs w:val="22"/>
              </w:rPr>
            </w:pPr>
          </w:p>
        </w:tc>
        <w:tc>
          <w:tcPr>
            <w:tcW w:w="1134" w:type="dxa"/>
          </w:tcPr>
          <w:p w14:paraId="366FBCD5">
            <w:pPr>
              <w:spacing w:line="440" w:lineRule="exact"/>
              <w:jc w:val="center"/>
              <w:rPr>
                <w:color w:val="auto"/>
                <w:szCs w:val="22"/>
              </w:rPr>
            </w:pPr>
          </w:p>
        </w:tc>
        <w:tc>
          <w:tcPr>
            <w:tcW w:w="1294" w:type="dxa"/>
          </w:tcPr>
          <w:p w14:paraId="77AC157C">
            <w:pPr>
              <w:spacing w:line="440" w:lineRule="exact"/>
              <w:jc w:val="center"/>
              <w:rPr>
                <w:color w:val="auto"/>
                <w:szCs w:val="22"/>
              </w:rPr>
            </w:pPr>
          </w:p>
        </w:tc>
        <w:tc>
          <w:tcPr>
            <w:tcW w:w="1116" w:type="dxa"/>
          </w:tcPr>
          <w:p w14:paraId="1FC13BA5">
            <w:pPr>
              <w:spacing w:line="440" w:lineRule="exact"/>
              <w:jc w:val="center"/>
              <w:rPr>
                <w:color w:val="auto"/>
                <w:szCs w:val="22"/>
              </w:rPr>
            </w:pPr>
          </w:p>
        </w:tc>
        <w:tc>
          <w:tcPr>
            <w:tcW w:w="1418" w:type="dxa"/>
          </w:tcPr>
          <w:p w14:paraId="5319FDAF">
            <w:pPr>
              <w:spacing w:line="440" w:lineRule="exact"/>
              <w:jc w:val="center"/>
              <w:rPr>
                <w:color w:val="auto"/>
                <w:szCs w:val="22"/>
              </w:rPr>
            </w:pPr>
          </w:p>
        </w:tc>
      </w:tr>
      <w:tr w14:paraId="580EA2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4" w:type="dxa"/>
          </w:tcPr>
          <w:p w14:paraId="79D24356">
            <w:pPr>
              <w:spacing w:line="440" w:lineRule="exact"/>
              <w:jc w:val="center"/>
              <w:rPr>
                <w:color w:val="auto"/>
                <w:szCs w:val="22"/>
              </w:rPr>
            </w:pPr>
          </w:p>
        </w:tc>
        <w:tc>
          <w:tcPr>
            <w:tcW w:w="1559" w:type="dxa"/>
          </w:tcPr>
          <w:p w14:paraId="126E3BB9">
            <w:pPr>
              <w:spacing w:line="440" w:lineRule="exact"/>
              <w:jc w:val="center"/>
              <w:rPr>
                <w:color w:val="auto"/>
                <w:szCs w:val="22"/>
              </w:rPr>
            </w:pPr>
          </w:p>
        </w:tc>
        <w:tc>
          <w:tcPr>
            <w:tcW w:w="1134" w:type="dxa"/>
          </w:tcPr>
          <w:p w14:paraId="29F5D6E4">
            <w:pPr>
              <w:spacing w:line="440" w:lineRule="exact"/>
              <w:jc w:val="center"/>
              <w:rPr>
                <w:color w:val="auto"/>
                <w:szCs w:val="22"/>
              </w:rPr>
            </w:pPr>
          </w:p>
        </w:tc>
        <w:tc>
          <w:tcPr>
            <w:tcW w:w="1134" w:type="dxa"/>
          </w:tcPr>
          <w:p w14:paraId="5741A286">
            <w:pPr>
              <w:spacing w:line="440" w:lineRule="exact"/>
              <w:jc w:val="center"/>
              <w:rPr>
                <w:color w:val="auto"/>
                <w:szCs w:val="22"/>
              </w:rPr>
            </w:pPr>
          </w:p>
        </w:tc>
        <w:tc>
          <w:tcPr>
            <w:tcW w:w="1134" w:type="dxa"/>
          </w:tcPr>
          <w:p w14:paraId="0C04C347">
            <w:pPr>
              <w:spacing w:line="440" w:lineRule="exact"/>
              <w:jc w:val="center"/>
              <w:rPr>
                <w:color w:val="auto"/>
                <w:szCs w:val="22"/>
              </w:rPr>
            </w:pPr>
          </w:p>
        </w:tc>
        <w:tc>
          <w:tcPr>
            <w:tcW w:w="1294" w:type="dxa"/>
          </w:tcPr>
          <w:p w14:paraId="2DC4310B">
            <w:pPr>
              <w:spacing w:line="440" w:lineRule="exact"/>
              <w:jc w:val="center"/>
              <w:rPr>
                <w:color w:val="auto"/>
                <w:szCs w:val="22"/>
              </w:rPr>
            </w:pPr>
          </w:p>
        </w:tc>
        <w:tc>
          <w:tcPr>
            <w:tcW w:w="1116" w:type="dxa"/>
          </w:tcPr>
          <w:p w14:paraId="5A9A39F4">
            <w:pPr>
              <w:spacing w:line="440" w:lineRule="exact"/>
              <w:jc w:val="center"/>
              <w:rPr>
                <w:color w:val="auto"/>
                <w:szCs w:val="22"/>
              </w:rPr>
            </w:pPr>
          </w:p>
        </w:tc>
        <w:tc>
          <w:tcPr>
            <w:tcW w:w="1418" w:type="dxa"/>
          </w:tcPr>
          <w:p w14:paraId="69AE2000">
            <w:pPr>
              <w:spacing w:line="440" w:lineRule="exact"/>
              <w:jc w:val="center"/>
              <w:rPr>
                <w:color w:val="auto"/>
                <w:szCs w:val="22"/>
              </w:rPr>
            </w:pPr>
          </w:p>
        </w:tc>
      </w:tr>
      <w:tr w14:paraId="2D5F6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4" w:type="dxa"/>
          </w:tcPr>
          <w:p w14:paraId="447AF8AF">
            <w:pPr>
              <w:spacing w:line="440" w:lineRule="exact"/>
              <w:jc w:val="center"/>
              <w:rPr>
                <w:color w:val="auto"/>
                <w:szCs w:val="22"/>
              </w:rPr>
            </w:pPr>
          </w:p>
        </w:tc>
        <w:tc>
          <w:tcPr>
            <w:tcW w:w="1559" w:type="dxa"/>
          </w:tcPr>
          <w:p w14:paraId="3CA3226C">
            <w:pPr>
              <w:spacing w:line="440" w:lineRule="exact"/>
              <w:jc w:val="center"/>
              <w:rPr>
                <w:color w:val="auto"/>
                <w:szCs w:val="22"/>
              </w:rPr>
            </w:pPr>
          </w:p>
        </w:tc>
        <w:tc>
          <w:tcPr>
            <w:tcW w:w="1134" w:type="dxa"/>
          </w:tcPr>
          <w:p w14:paraId="596C62B3">
            <w:pPr>
              <w:spacing w:line="440" w:lineRule="exact"/>
              <w:jc w:val="center"/>
              <w:rPr>
                <w:color w:val="auto"/>
                <w:szCs w:val="22"/>
              </w:rPr>
            </w:pPr>
          </w:p>
        </w:tc>
        <w:tc>
          <w:tcPr>
            <w:tcW w:w="1134" w:type="dxa"/>
          </w:tcPr>
          <w:p w14:paraId="2E134239">
            <w:pPr>
              <w:spacing w:line="440" w:lineRule="exact"/>
              <w:jc w:val="center"/>
              <w:rPr>
                <w:color w:val="auto"/>
                <w:szCs w:val="22"/>
              </w:rPr>
            </w:pPr>
          </w:p>
        </w:tc>
        <w:tc>
          <w:tcPr>
            <w:tcW w:w="1134" w:type="dxa"/>
          </w:tcPr>
          <w:p w14:paraId="33E04C57">
            <w:pPr>
              <w:spacing w:line="440" w:lineRule="exact"/>
              <w:jc w:val="center"/>
              <w:rPr>
                <w:color w:val="auto"/>
                <w:szCs w:val="22"/>
              </w:rPr>
            </w:pPr>
          </w:p>
        </w:tc>
        <w:tc>
          <w:tcPr>
            <w:tcW w:w="1294" w:type="dxa"/>
          </w:tcPr>
          <w:p w14:paraId="3EDD71F5">
            <w:pPr>
              <w:spacing w:line="440" w:lineRule="exact"/>
              <w:jc w:val="center"/>
              <w:rPr>
                <w:color w:val="auto"/>
                <w:szCs w:val="22"/>
              </w:rPr>
            </w:pPr>
          </w:p>
        </w:tc>
        <w:tc>
          <w:tcPr>
            <w:tcW w:w="1116" w:type="dxa"/>
          </w:tcPr>
          <w:p w14:paraId="5069A15D">
            <w:pPr>
              <w:spacing w:line="440" w:lineRule="exact"/>
              <w:jc w:val="center"/>
              <w:rPr>
                <w:color w:val="auto"/>
                <w:szCs w:val="22"/>
              </w:rPr>
            </w:pPr>
          </w:p>
        </w:tc>
        <w:tc>
          <w:tcPr>
            <w:tcW w:w="1418" w:type="dxa"/>
          </w:tcPr>
          <w:p w14:paraId="7F60530F">
            <w:pPr>
              <w:spacing w:line="440" w:lineRule="exact"/>
              <w:jc w:val="center"/>
              <w:rPr>
                <w:color w:val="auto"/>
                <w:szCs w:val="22"/>
              </w:rPr>
            </w:pPr>
          </w:p>
        </w:tc>
      </w:tr>
      <w:tr w14:paraId="3875D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4" w:type="dxa"/>
          </w:tcPr>
          <w:p w14:paraId="3F98CA59">
            <w:pPr>
              <w:spacing w:line="440" w:lineRule="exact"/>
              <w:jc w:val="center"/>
              <w:rPr>
                <w:color w:val="auto"/>
                <w:szCs w:val="22"/>
              </w:rPr>
            </w:pPr>
          </w:p>
        </w:tc>
        <w:tc>
          <w:tcPr>
            <w:tcW w:w="1559" w:type="dxa"/>
          </w:tcPr>
          <w:p w14:paraId="63979E62">
            <w:pPr>
              <w:spacing w:line="440" w:lineRule="exact"/>
              <w:jc w:val="center"/>
              <w:rPr>
                <w:color w:val="auto"/>
                <w:szCs w:val="22"/>
              </w:rPr>
            </w:pPr>
          </w:p>
        </w:tc>
        <w:tc>
          <w:tcPr>
            <w:tcW w:w="1134" w:type="dxa"/>
          </w:tcPr>
          <w:p w14:paraId="4AA3FE93">
            <w:pPr>
              <w:spacing w:line="440" w:lineRule="exact"/>
              <w:jc w:val="center"/>
              <w:rPr>
                <w:color w:val="auto"/>
                <w:szCs w:val="22"/>
              </w:rPr>
            </w:pPr>
          </w:p>
        </w:tc>
        <w:tc>
          <w:tcPr>
            <w:tcW w:w="1134" w:type="dxa"/>
          </w:tcPr>
          <w:p w14:paraId="106A399A">
            <w:pPr>
              <w:spacing w:line="440" w:lineRule="exact"/>
              <w:jc w:val="center"/>
              <w:rPr>
                <w:color w:val="auto"/>
                <w:szCs w:val="22"/>
              </w:rPr>
            </w:pPr>
          </w:p>
        </w:tc>
        <w:tc>
          <w:tcPr>
            <w:tcW w:w="1134" w:type="dxa"/>
          </w:tcPr>
          <w:p w14:paraId="56308782">
            <w:pPr>
              <w:spacing w:line="440" w:lineRule="exact"/>
              <w:jc w:val="center"/>
              <w:rPr>
                <w:color w:val="auto"/>
                <w:szCs w:val="22"/>
              </w:rPr>
            </w:pPr>
          </w:p>
        </w:tc>
        <w:tc>
          <w:tcPr>
            <w:tcW w:w="1294" w:type="dxa"/>
          </w:tcPr>
          <w:p w14:paraId="1ECB79C5">
            <w:pPr>
              <w:spacing w:line="440" w:lineRule="exact"/>
              <w:jc w:val="center"/>
              <w:rPr>
                <w:color w:val="auto"/>
                <w:szCs w:val="22"/>
              </w:rPr>
            </w:pPr>
          </w:p>
        </w:tc>
        <w:tc>
          <w:tcPr>
            <w:tcW w:w="1116" w:type="dxa"/>
          </w:tcPr>
          <w:p w14:paraId="7F0B317C">
            <w:pPr>
              <w:spacing w:line="440" w:lineRule="exact"/>
              <w:jc w:val="center"/>
              <w:rPr>
                <w:color w:val="auto"/>
                <w:szCs w:val="22"/>
              </w:rPr>
            </w:pPr>
          </w:p>
        </w:tc>
        <w:tc>
          <w:tcPr>
            <w:tcW w:w="1418" w:type="dxa"/>
          </w:tcPr>
          <w:p w14:paraId="6B7667B7">
            <w:pPr>
              <w:spacing w:line="440" w:lineRule="exact"/>
              <w:jc w:val="center"/>
              <w:rPr>
                <w:color w:val="auto"/>
                <w:szCs w:val="22"/>
              </w:rPr>
            </w:pPr>
          </w:p>
        </w:tc>
      </w:tr>
      <w:tr w14:paraId="2EC1EE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4" w:type="dxa"/>
          </w:tcPr>
          <w:p w14:paraId="1C252338">
            <w:pPr>
              <w:spacing w:line="440" w:lineRule="exact"/>
              <w:jc w:val="center"/>
              <w:rPr>
                <w:color w:val="auto"/>
                <w:szCs w:val="22"/>
              </w:rPr>
            </w:pPr>
          </w:p>
        </w:tc>
        <w:tc>
          <w:tcPr>
            <w:tcW w:w="1559" w:type="dxa"/>
          </w:tcPr>
          <w:p w14:paraId="57C4E586">
            <w:pPr>
              <w:spacing w:line="440" w:lineRule="exact"/>
              <w:jc w:val="center"/>
              <w:rPr>
                <w:color w:val="auto"/>
                <w:szCs w:val="22"/>
              </w:rPr>
            </w:pPr>
          </w:p>
        </w:tc>
        <w:tc>
          <w:tcPr>
            <w:tcW w:w="1134" w:type="dxa"/>
          </w:tcPr>
          <w:p w14:paraId="37A618C7">
            <w:pPr>
              <w:spacing w:line="440" w:lineRule="exact"/>
              <w:jc w:val="center"/>
              <w:rPr>
                <w:color w:val="auto"/>
                <w:szCs w:val="22"/>
              </w:rPr>
            </w:pPr>
          </w:p>
        </w:tc>
        <w:tc>
          <w:tcPr>
            <w:tcW w:w="1134" w:type="dxa"/>
          </w:tcPr>
          <w:p w14:paraId="7A114EA0">
            <w:pPr>
              <w:spacing w:line="440" w:lineRule="exact"/>
              <w:jc w:val="center"/>
              <w:rPr>
                <w:color w:val="auto"/>
                <w:szCs w:val="22"/>
              </w:rPr>
            </w:pPr>
          </w:p>
        </w:tc>
        <w:tc>
          <w:tcPr>
            <w:tcW w:w="1134" w:type="dxa"/>
          </w:tcPr>
          <w:p w14:paraId="05024325">
            <w:pPr>
              <w:spacing w:line="440" w:lineRule="exact"/>
              <w:jc w:val="center"/>
              <w:rPr>
                <w:color w:val="auto"/>
                <w:szCs w:val="22"/>
              </w:rPr>
            </w:pPr>
          </w:p>
        </w:tc>
        <w:tc>
          <w:tcPr>
            <w:tcW w:w="1294" w:type="dxa"/>
          </w:tcPr>
          <w:p w14:paraId="42D68F06">
            <w:pPr>
              <w:spacing w:line="440" w:lineRule="exact"/>
              <w:jc w:val="center"/>
              <w:rPr>
                <w:color w:val="auto"/>
                <w:szCs w:val="22"/>
              </w:rPr>
            </w:pPr>
          </w:p>
        </w:tc>
        <w:tc>
          <w:tcPr>
            <w:tcW w:w="1116" w:type="dxa"/>
          </w:tcPr>
          <w:p w14:paraId="3C39B5F1">
            <w:pPr>
              <w:spacing w:line="440" w:lineRule="exact"/>
              <w:jc w:val="center"/>
              <w:rPr>
                <w:color w:val="auto"/>
                <w:szCs w:val="22"/>
              </w:rPr>
            </w:pPr>
          </w:p>
        </w:tc>
        <w:tc>
          <w:tcPr>
            <w:tcW w:w="1418" w:type="dxa"/>
          </w:tcPr>
          <w:p w14:paraId="0D05B373">
            <w:pPr>
              <w:spacing w:line="440" w:lineRule="exact"/>
              <w:jc w:val="center"/>
              <w:rPr>
                <w:color w:val="auto"/>
                <w:szCs w:val="22"/>
              </w:rPr>
            </w:pPr>
          </w:p>
        </w:tc>
      </w:tr>
      <w:tr w14:paraId="7E25E5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4" w:type="dxa"/>
          </w:tcPr>
          <w:p w14:paraId="60E8DA9B">
            <w:pPr>
              <w:spacing w:line="440" w:lineRule="exact"/>
              <w:jc w:val="center"/>
              <w:rPr>
                <w:color w:val="auto"/>
                <w:szCs w:val="22"/>
              </w:rPr>
            </w:pPr>
          </w:p>
        </w:tc>
        <w:tc>
          <w:tcPr>
            <w:tcW w:w="1559" w:type="dxa"/>
          </w:tcPr>
          <w:p w14:paraId="6017482B">
            <w:pPr>
              <w:spacing w:line="440" w:lineRule="exact"/>
              <w:jc w:val="center"/>
              <w:rPr>
                <w:color w:val="auto"/>
                <w:szCs w:val="22"/>
              </w:rPr>
            </w:pPr>
          </w:p>
        </w:tc>
        <w:tc>
          <w:tcPr>
            <w:tcW w:w="1134" w:type="dxa"/>
          </w:tcPr>
          <w:p w14:paraId="78388DFB">
            <w:pPr>
              <w:spacing w:line="440" w:lineRule="exact"/>
              <w:jc w:val="center"/>
              <w:rPr>
                <w:color w:val="auto"/>
                <w:szCs w:val="22"/>
              </w:rPr>
            </w:pPr>
          </w:p>
        </w:tc>
        <w:tc>
          <w:tcPr>
            <w:tcW w:w="1134" w:type="dxa"/>
          </w:tcPr>
          <w:p w14:paraId="2CABD9C2">
            <w:pPr>
              <w:spacing w:line="440" w:lineRule="exact"/>
              <w:jc w:val="center"/>
              <w:rPr>
                <w:color w:val="auto"/>
                <w:szCs w:val="22"/>
              </w:rPr>
            </w:pPr>
          </w:p>
        </w:tc>
        <w:tc>
          <w:tcPr>
            <w:tcW w:w="1134" w:type="dxa"/>
          </w:tcPr>
          <w:p w14:paraId="57CDBFD1">
            <w:pPr>
              <w:spacing w:line="440" w:lineRule="exact"/>
              <w:jc w:val="center"/>
              <w:rPr>
                <w:color w:val="auto"/>
                <w:szCs w:val="22"/>
              </w:rPr>
            </w:pPr>
          </w:p>
        </w:tc>
        <w:tc>
          <w:tcPr>
            <w:tcW w:w="1294" w:type="dxa"/>
          </w:tcPr>
          <w:p w14:paraId="0B4494B0">
            <w:pPr>
              <w:spacing w:line="440" w:lineRule="exact"/>
              <w:jc w:val="center"/>
              <w:rPr>
                <w:color w:val="auto"/>
                <w:szCs w:val="22"/>
              </w:rPr>
            </w:pPr>
          </w:p>
        </w:tc>
        <w:tc>
          <w:tcPr>
            <w:tcW w:w="1116" w:type="dxa"/>
          </w:tcPr>
          <w:p w14:paraId="6108DCA8">
            <w:pPr>
              <w:spacing w:line="440" w:lineRule="exact"/>
              <w:jc w:val="center"/>
              <w:rPr>
                <w:color w:val="auto"/>
                <w:szCs w:val="22"/>
              </w:rPr>
            </w:pPr>
          </w:p>
        </w:tc>
        <w:tc>
          <w:tcPr>
            <w:tcW w:w="1418" w:type="dxa"/>
          </w:tcPr>
          <w:p w14:paraId="2C060621">
            <w:pPr>
              <w:spacing w:line="440" w:lineRule="exact"/>
              <w:jc w:val="center"/>
              <w:rPr>
                <w:color w:val="auto"/>
                <w:szCs w:val="22"/>
              </w:rPr>
            </w:pPr>
          </w:p>
        </w:tc>
      </w:tr>
      <w:tr w14:paraId="1EB149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4" w:type="dxa"/>
          </w:tcPr>
          <w:p w14:paraId="0EE02EDE">
            <w:pPr>
              <w:spacing w:line="440" w:lineRule="exact"/>
              <w:jc w:val="center"/>
              <w:rPr>
                <w:color w:val="auto"/>
                <w:szCs w:val="22"/>
              </w:rPr>
            </w:pPr>
          </w:p>
        </w:tc>
        <w:tc>
          <w:tcPr>
            <w:tcW w:w="1559" w:type="dxa"/>
          </w:tcPr>
          <w:p w14:paraId="4972B637">
            <w:pPr>
              <w:spacing w:line="440" w:lineRule="exact"/>
              <w:jc w:val="center"/>
              <w:rPr>
                <w:color w:val="auto"/>
                <w:szCs w:val="22"/>
              </w:rPr>
            </w:pPr>
          </w:p>
        </w:tc>
        <w:tc>
          <w:tcPr>
            <w:tcW w:w="1134" w:type="dxa"/>
          </w:tcPr>
          <w:p w14:paraId="50C54554">
            <w:pPr>
              <w:spacing w:line="440" w:lineRule="exact"/>
              <w:jc w:val="center"/>
              <w:rPr>
                <w:color w:val="auto"/>
                <w:szCs w:val="22"/>
              </w:rPr>
            </w:pPr>
          </w:p>
        </w:tc>
        <w:tc>
          <w:tcPr>
            <w:tcW w:w="1134" w:type="dxa"/>
          </w:tcPr>
          <w:p w14:paraId="3B019031">
            <w:pPr>
              <w:spacing w:line="440" w:lineRule="exact"/>
              <w:jc w:val="center"/>
              <w:rPr>
                <w:color w:val="auto"/>
                <w:szCs w:val="22"/>
              </w:rPr>
            </w:pPr>
          </w:p>
        </w:tc>
        <w:tc>
          <w:tcPr>
            <w:tcW w:w="1134" w:type="dxa"/>
          </w:tcPr>
          <w:p w14:paraId="46057820">
            <w:pPr>
              <w:spacing w:line="440" w:lineRule="exact"/>
              <w:jc w:val="center"/>
              <w:rPr>
                <w:color w:val="auto"/>
                <w:szCs w:val="22"/>
              </w:rPr>
            </w:pPr>
          </w:p>
        </w:tc>
        <w:tc>
          <w:tcPr>
            <w:tcW w:w="1294" w:type="dxa"/>
          </w:tcPr>
          <w:p w14:paraId="5ADE32AC">
            <w:pPr>
              <w:spacing w:line="440" w:lineRule="exact"/>
              <w:jc w:val="center"/>
              <w:rPr>
                <w:color w:val="auto"/>
                <w:szCs w:val="22"/>
              </w:rPr>
            </w:pPr>
          </w:p>
        </w:tc>
        <w:tc>
          <w:tcPr>
            <w:tcW w:w="1116" w:type="dxa"/>
          </w:tcPr>
          <w:p w14:paraId="194AE287">
            <w:pPr>
              <w:spacing w:line="440" w:lineRule="exact"/>
              <w:jc w:val="center"/>
              <w:rPr>
                <w:color w:val="auto"/>
                <w:szCs w:val="22"/>
              </w:rPr>
            </w:pPr>
          </w:p>
        </w:tc>
        <w:tc>
          <w:tcPr>
            <w:tcW w:w="1418" w:type="dxa"/>
          </w:tcPr>
          <w:p w14:paraId="68E11A0D">
            <w:pPr>
              <w:spacing w:line="440" w:lineRule="exact"/>
              <w:jc w:val="center"/>
              <w:rPr>
                <w:color w:val="auto"/>
                <w:szCs w:val="22"/>
              </w:rPr>
            </w:pPr>
          </w:p>
        </w:tc>
      </w:tr>
      <w:tr w14:paraId="3B53B5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4" w:type="dxa"/>
          </w:tcPr>
          <w:p w14:paraId="126638B8">
            <w:pPr>
              <w:spacing w:line="440" w:lineRule="exact"/>
              <w:jc w:val="center"/>
              <w:rPr>
                <w:color w:val="auto"/>
                <w:szCs w:val="22"/>
              </w:rPr>
            </w:pPr>
          </w:p>
        </w:tc>
        <w:tc>
          <w:tcPr>
            <w:tcW w:w="1559" w:type="dxa"/>
          </w:tcPr>
          <w:p w14:paraId="769A9DA4">
            <w:pPr>
              <w:spacing w:line="440" w:lineRule="exact"/>
              <w:jc w:val="center"/>
              <w:rPr>
                <w:color w:val="auto"/>
                <w:szCs w:val="22"/>
              </w:rPr>
            </w:pPr>
          </w:p>
        </w:tc>
        <w:tc>
          <w:tcPr>
            <w:tcW w:w="1134" w:type="dxa"/>
          </w:tcPr>
          <w:p w14:paraId="249EA2A0">
            <w:pPr>
              <w:spacing w:line="440" w:lineRule="exact"/>
              <w:jc w:val="center"/>
              <w:rPr>
                <w:color w:val="auto"/>
                <w:szCs w:val="22"/>
              </w:rPr>
            </w:pPr>
          </w:p>
        </w:tc>
        <w:tc>
          <w:tcPr>
            <w:tcW w:w="1134" w:type="dxa"/>
          </w:tcPr>
          <w:p w14:paraId="74D1AC50">
            <w:pPr>
              <w:spacing w:line="440" w:lineRule="exact"/>
              <w:jc w:val="center"/>
              <w:rPr>
                <w:color w:val="auto"/>
                <w:szCs w:val="22"/>
              </w:rPr>
            </w:pPr>
          </w:p>
        </w:tc>
        <w:tc>
          <w:tcPr>
            <w:tcW w:w="1134" w:type="dxa"/>
          </w:tcPr>
          <w:p w14:paraId="2ACC7140">
            <w:pPr>
              <w:spacing w:line="440" w:lineRule="exact"/>
              <w:jc w:val="center"/>
              <w:rPr>
                <w:color w:val="auto"/>
                <w:szCs w:val="22"/>
              </w:rPr>
            </w:pPr>
          </w:p>
        </w:tc>
        <w:tc>
          <w:tcPr>
            <w:tcW w:w="1294" w:type="dxa"/>
          </w:tcPr>
          <w:p w14:paraId="00216538">
            <w:pPr>
              <w:spacing w:line="440" w:lineRule="exact"/>
              <w:jc w:val="center"/>
              <w:rPr>
                <w:color w:val="auto"/>
                <w:szCs w:val="22"/>
              </w:rPr>
            </w:pPr>
          </w:p>
        </w:tc>
        <w:tc>
          <w:tcPr>
            <w:tcW w:w="1116" w:type="dxa"/>
          </w:tcPr>
          <w:p w14:paraId="1C34B4F7">
            <w:pPr>
              <w:spacing w:line="440" w:lineRule="exact"/>
              <w:jc w:val="center"/>
              <w:rPr>
                <w:color w:val="auto"/>
                <w:szCs w:val="22"/>
              </w:rPr>
            </w:pPr>
          </w:p>
        </w:tc>
        <w:tc>
          <w:tcPr>
            <w:tcW w:w="1418" w:type="dxa"/>
          </w:tcPr>
          <w:p w14:paraId="2D0F343C">
            <w:pPr>
              <w:spacing w:line="440" w:lineRule="exact"/>
              <w:jc w:val="center"/>
              <w:rPr>
                <w:color w:val="auto"/>
                <w:szCs w:val="22"/>
              </w:rPr>
            </w:pPr>
          </w:p>
        </w:tc>
      </w:tr>
      <w:tr w14:paraId="0B6440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4" w:type="dxa"/>
          </w:tcPr>
          <w:p w14:paraId="15581924">
            <w:pPr>
              <w:spacing w:line="440" w:lineRule="exact"/>
              <w:jc w:val="center"/>
              <w:rPr>
                <w:color w:val="auto"/>
                <w:szCs w:val="22"/>
              </w:rPr>
            </w:pPr>
          </w:p>
        </w:tc>
        <w:tc>
          <w:tcPr>
            <w:tcW w:w="1559" w:type="dxa"/>
          </w:tcPr>
          <w:p w14:paraId="6FC93A5D">
            <w:pPr>
              <w:spacing w:line="440" w:lineRule="exact"/>
              <w:jc w:val="center"/>
              <w:rPr>
                <w:color w:val="auto"/>
                <w:szCs w:val="22"/>
              </w:rPr>
            </w:pPr>
          </w:p>
        </w:tc>
        <w:tc>
          <w:tcPr>
            <w:tcW w:w="1134" w:type="dxa"/>
          </w:tcPr>
          <w:p w14:paraId="15D0FC25">
            <w:pPr>
              <w:spacing w:line="440" w:lineRule="exact"/>
              <w:jc w:val="center"/>
              <w:rPr>
                <w:color w:val="auto"/>
                <w:szCs w:val="22"/>
              </w:rPr>
            </w:pPr>
          </w:p>
        </w:tc>
        <w:tc>
          <w:tcPr>
            <w:tcW w:w="1134" w:type="dxa"/>
          </w:tcPr>
          <w:p w14:paraId="0D65E2BF">
            <w:pPr>
              <w:spacing w:line="440" w:lineRule="exact"/>
              <w:jc w:val="center"/>
              <w:rPr>
                <w:color w:val="auto"/>
                <w:szCs w:val="22"/>
              </w:rPr>
            </w:pPr>
          </w:p>
        </w:tc>
        <w:tc>
          <w:tcPr>
            <w:tcW w:w="1134" w:type="dxa"/>
          </w:tcPr>
          <w:p w14:paraId="18B881EC">
            <w:pPr>
              <w:spacing w:line="440" w:lineRule="exact"/>
              <w:jc w:val="center"/>
              <w:rPr>
                <w:color w:val="auto"/>
                <w:szCs w:val="22"/>
              </w:rPr>
            </w:pPr>
          </w:p>
        </w:tc>
        <w:tc>
          <w:tcPr>
            <w:tcW w:w="1294" w:type="dxa"/>
          </w:tcPr>
          <w:p w14:paraId="795CE79D">
            <w:pPr>
              <w:spacing w:line="440" w:lineRule="exact"/>
              <w:jc w:val="center"/>
              <w:rPr>
                <w:color w:val="auto"/>
                <w:szCs w:val="22"/>
              </w:rPr>
            </w:pPr>
          </w:p>
        </w:tc>
        <w:tc>
          <w:tcPr>
            <w:tcW w:w="1116" w:type="dxa"/>
          </w:tcPr>
          <w:p w14:paraId="7C2E6AAB">
            <w:pPr>
              <w:spacing w:line="440" w:lineRule="exact"/>
              <w:jc w:val="center"/>
              <w:rPr>
                <w:color w:val="auto"/>
                <w:szCs w:val="22"/>
              </w:rPr>
            </w:pPr>
          </w:p>
        </w:tc>
        <w:tc>
          <w:tcPr>
            <w:tcW w:w="1418" w:type="dxa"/>
          </w:tcPr>
          <w:p w14:paraId="1BBF0D0C">
            <w:pPr>
              <w:spacing w:line="440" w:lineRule="exact"/>
              <w:jc w:val="center"/>
              <w:rPr>
                <w:color w:val="auto"/>
                <w:szCs w:val="22"/>
              </w:rPr>
            </w:pPr>
          </w:p>
        </w:tc>
      </w:tr>
      <w:tr w14:paraId="08CA36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4" w:type="dxa"/>
          </w:tcPr>
          <w:p w14:paraId="20102DF7">
            <w:pPr>
              <w:spacing w:line="440" w:lineRule="exact"/>
              <w:jc w:val="center"/>
              <w:rPr>
                <w:color w:val="auto"/>
                <w:szCs w:val="22"/>
              </w:rPr>
            </w:pPr>
          </w:p>
        </w:tc>
        <w:tc>
          <w:tcPr>
            <w:tcW w:w="1559" w:type="dxa"/>
          </w:tcPr>
          <w:p w14:paraId="27C02F87">
            <w:pPr>
              <w:spacing w:line="440" w:lineRule="exact"/>
              <w:jc w:val="center"/>
              <w:rPr>
                <w:color w:val="auto"/>
                <w:szCs w:val="22"/>
              </w:rPr>
            </w:pPr>
          </w:p>
        </w:tc>
        <w:tc>
          <w:tcPr>
            <w:tcW w:w="1134" w:type="dxa"/>
          </w:tcPr>
          <w:p w14:paraId="12EC1CDF">
            <w:pPr>
              <w:spacing w:line="440" w:lineRule="exact"/>
              <w:jc w:val="center"/>
              <w:rPr>
                <w:color w:val="auto"/>
                <w:szCs w:val="22"/>
              </w:rPr>
            </w:pPr>
          </w:p>
        </w:tc>
        <w:tc>
          <w:tcPr>
            <w:tcW w:w="1134" w:type="dxa"/>
          </w:tcPr>
          <w:p w14:paraId="071C4DCA">
            <w:pPr>
              <w:spacing w:line="440" w:lineRule="exact"/>
              <w:jc w:val="center"/>
              <w:rPr>
                <w:color w:val="auto"/>
                <w:szCs w:val="22"/>
              </w:rPr>
            </w:pPr>
          </w:p>
        </w:tc>
        <w:tc>
          <w:tcPr>
            <w:tcW w:w="1134" w:type="dxa"/>
          </w:tcPr>
          <w:p w14:paraId="63E0E964">
            <w:pPr>
              <w:spacing w:line="440" w:lineRule="exact"/>
              <w:jc w:val="center"/>
              <w:rPr>
                <w:color w:val="auto"/>
                <w:szCs w:val="22"/>
              </w:rPr>
            </w:pPr>
          </w:p>
        </w:tc>
        <w:tc>
          <w:tcPr>
            <w:tcW w:w="1294" w:type="dxa"/>
          </w:tcPr>
          <w:p w14:paraId="46668535">
            <w:pPr>
              <w:spacing w:line="440" w:lineRule="exact"/>
              <w:jc w:val="center"/>
              <w:rPr>
                <w:color w:val="auto"/>
                <w:szCs w:val="22"/>
              </w:rPr>
            </w:pPr>
          </w:p>
        </w:tc>
        <w:tc>
          <w:tcPr>
            <w:tcW w:w="1116" w:type="dxa"/>
          </w:tcPr>
          <w:p w14:paraId="661120F6">
            <w:pPr>
              <w:spacing w:line="440" w:lineRule="exact"/>
              <w:jc w:val="center"/>
              <w:rPr>
                <w:color w:val="auto"/>
                <w:szCs w:val="22"/>
              </w:rPr>
            </w:pPr>
          </w:p>
        </w:tc>
        <w:tc>
          <w:tcPr>
            <w:tcW w:w="1418" w:type="dxa"/>
          </w:tcPr>
          <w:p w14:paraId="3A2A6DFC">
            <w:pPr>
              <w:spacing w:line="440" w:lineRule="exact"/>
              <w:jc w:val="center"/>
              <w:rPr>
                <w:color w:val="auto"/>
                <w:szCs w:val="22"/>
              </w:rPr>
            </w:pPr>
          </w:p>
        </w:tc>
      </w:tr>
    </w:tbl>
    <w:p w14:paraId="509DE53F">
      <w:pPr>
        <w:spacing w:line="440" w:lineRule="exact"/>
        <w:ind w:left="240" w:leftChars="100"/>
        <w:rPr>
          <w:rFonts w:hint="eastAsia" w:ascii="宋体" w:hAnsi="宋体" w:eastAsia="宋体" w:cs="宋体"/>
          <w:color w:val="auto"/>
          <w:sz w:val="21"/>
          <w:szCs w:val="21"/>
          <w:lang w:eastAsia="zh-CN" w:bidi="ar-SA"/>
        </w:rPr>
      </w:pPr>
      <w:r>
        <w:rPr>
          <w:rFonts w:hint="eastAsia" w:ascii="宋体" w:hAnsi="宋体" w:eastAsia="宋体" w:cs="宋体"/>
          <w:color w:val="auto"/>
          <w:sz w:val="21"/>
          <w:szCs w:val="21"/>
          <w:lang w:eastAsia="zh-CN" w:bidi="ar-SA"/>
        </w:rPr>
        <w:t>注：1、拟委任的主要人员具体要求见本招标文件第二章“投标人须知”附录5、附录6。</w:t>
      </w:r>
    </w:p>
    <w:p w14:paraId="54709546">
      <w:pPr>
        <w:spacing w:line="440" w:lineRule="exact"/>
        <w:ind w:left="240" w:leftChars="100" w:firstLine="420" w:firstLineChars="200"/>
        <w:rPr>
          <w:rFonts w:hint="eastAsia" w:ascii="宋体" w:hAnsi="宋体" w:eastAsia="宋体" w:cs="宋体"/>
          <w:color w:val="auto"/>
          <w:sz w:val="21"/>
          <w:szCs w:val="21"/>
          <w:lang w:eastAsia="zh-CN" w:bidi="ar-SA"/>
        </w:rPr>
      </w:pPr>
      <w:r>
        <w:rPr>
          <w:rFonts w:hint="eastAsia" w:ascii="宋体" w:hAnsi="宋体" w:eastAsia="宋体" w:cs="宋体"/>
          <w:color w:val="auto"/>
          <w:sz w:val="21"/>
          <w:szCs w:val="21"/>
          <w:lang w:eastAsia="zh-CN" w:bidi="ar-SA"/>
        </w:rPr>
        <w:t>2、本表所列数据应与表</w:t>
      </w:r>
      <w:r>
        <w:rPr>
          <w:rFonts w:ascii="宋体" w:hAnsi="宋体" w:eastAsia="宋体" w:cs="宋体"/>
          <w:color w:val="auto"/>
          <w:sz w:val="21"/>
          <w:szCs w:val="21"/>
          <w:lang w:eastAsia="zh-CN" w:bidi="ar-SA"/>
        </w:rPr>
        <w:t>4-1</w:t>
      </w:r>
      <w:r>
        <w:rPr>
          <w:rFonts w:hint="eastAsia" w:ascii="宋体" w:hAnsi="宋体" w:eastAsia="宋体" w:cs="宋体"/>
          <w:color w:val="auto"/>
          <w:sz w:val="21"/>
          <w:szCs w:val="21"/>
          <w:lang w:eastAsia="zh-CN" w:bidi="ar-SA"/>
        </w:rPr>
        <w:t>、</w:t>
      </w:r>
      <w:r>
        <w:rPr>
          <w:rFonts w:ascii="宋体" w:hAnsi="宋体" w:eastAsia="宋体" w:cs="宋体"/>
          <w:color w:val="auto"/>
          <w:sz w:val="21"/>
          <w:szCs w:val="21"/>
          <w:lang w:eastAsia="zh-CN" w:bidi="ar-SA"/>
        </w:rPr>
        <w:t>4</w:t>
      </w:r>
      <w:r>
        <w:rPr>
          <w:rFonts w:hint="eastAsia" w:ascii="宋体" w:hAnsi="宋体" w:eastAsia="宋体" w:cs="宋体"/>
          <w:color w:val="auto"/>
          <w:sz w:val="21"/>
          <w:szCs w:val="21"/>
          <w:lang w:eastAsia="zh-CN" w:bidi="ar-SA"/>
        </w:rPr>
        <w:t>-</w:t>
      </w:r>
      <w:r>
        <w:rPr>
          <w:rFonts w:ascii="宋体" w:hAnsi="宋体" w:eastAsia="宋体" w:cs="宋体"/>
          <w:color w:val="auto"/>
          <w:sz w:val="21"/>
          <w:szCs w:val="21"/>
          <w:lang w:eastAsia="zh-CN" w:bidi="ar-SA"/>
        </w:rPr>
        <w:t>2</w:t>
      </w:r>
      <w:r>
        <w:rPr>
          <w:rFonts w:hint="eastAsia" w:ascii="宋体" w:hAnsi="宋体" w:eastAsia="宋体" w:cs="宋体"/>
          <w:color w:val="auto"/>
          <w:sz w:val="21"/>
          <w:szCs w:val="21"/>
          <w:lang w:eastAsia="zh-CN" w:bidi="ar-SA"/>
        </w:rPr>
        <w:t>中数据相一致，若不一致，以表</w:t>
      </w:r>
      <w:r>
        <w:rPr>
          <w:rFonts w:ascii="宋体" w:hAnsi="宋体" w:eastAsia="宋体" w:cs="宋体"/>
          <w:color w:val="auto"/>
          <w:sz w:val="21"/>
          <w:szCs w:val="21"/>
          <w:lang w:eastAsia="zh-CN" w:bidi="ar-SA"/>
        </w:rPr>
        <w:t>4-1</w:t>
      </w:r>
      <w:r>
        <w:rPr>
          <w:rFonts w:hint="eastAsia" w:ascii="宋体" w:hAnsi="宋体" w:eastAsia="宋体" w:cs="宋体"/>
          <w:color w:val="auto"/>
          <w:sz w:val="21"/>
          <w:szCs w:val="21"/>
          <w:lang w:eastAsia="zh-CN" w:bidi="ar-SA"/>
        </w:rPr>
        <w:t>、</w:t>
      </w:r>
      <w:r>
        <w:rPr>
          <w:rFonts w:ascii="宋体" w:hAnsi="宋体" w:eastAsia="宋体" w:cs="宋体"/>
          <w:color w:val="auto"/>
          <w:sz w:val="21"/>
          <w:szCs w:val="21"/>
          <w:lang w:eastAsia="zh-CN" w:bidi="ar-SA"/>
        </w:rPr>
        <w:t>4</w:t>
      </w:r>
      <w:r>
        <w:rPr>
          <w:rFonts w:hint="eastAsia" w:ascii="宋体" w:hAnsi="宋体" w:eastAsia="宋体" w:cs="宋体"/>
          <w:color w:val="auto"/>
          <w:sz w:val="21"/>
          <w:szCs w:val="21"/>
          <w:lang w:eastAsia="zh-CN" w:bidi="ar-SA"/>
        </w:rPr>
        <w:t>-</w:t>
      </w:r>
      <w:r>
        <w:rPr>
          <w:rFonts w:ascii="宋体" w:hAnsi="宋体" w:eastAsia="宋体" w:cs="宋体"/>
          <w:color w:val="auto"/>
          <w:sz w:val="21"/>
          <w:szCs w:val="21"/>
          <w:lang w:eastAsia="zh-CN" w:bidi="ar-SA"/>
        </w:rPr>
        <w:t>2</w:t>
      </w:r>
      <w:r>
        <w:rPr>
          <w:rFonts w:hint="eastAsia" w:ascii="宋体" w:hAnsi="宋体" w:eastAsia="宋体" w:cs="宋体"/>
          <w:color w:val="auto"/>
          <w:sz w:val="21"/>
          <w:szCs w:val="21"/>
          <w:lang w:eastAsia="zh-CN" w:bidi="ar-SA"/>
        </w:rPr>
        <w:t>中所列数据为准和相符。</w:t>
      </w:r>
    </w:p>
    <w:p w14:paraId="7E1B9423">
      <w:pPr>
        <w:spacing w:line="440" w:lineRule="exact"/>
        <w:ind w:left="240" w:leftChars="100" w:firstLine="3570" w:firstLineChars="1700"/>
        <w:rPr>
          <w:rFonts w:hint="eastAsia" w:ascii="宋体" w:hAnsi="宋体" w:eastAsia="宋体" w:cs="宋体"/>
          <w:color w:val="auto"/>
          <w:sz w:val="21"/>
          <w:szCs w:val="21"/>
          <w:lang w:eastAsia="zh-CN" w:bidi="ar-SA"/>
        </w:rPr>
      </w:pPr>
      <w:r>
        <w:rPr>
          <w:rFonts w:ascii="宋体" w:hAnsi="宋体" w:eastAsia="宋体" w:cs="宋体"/>
          <w:color w:val="auto"/>
          <w:sz w:val="21"/>
          <w:szCs w:val="21"/>
          <w:lang w:eastAsia="zh-CN" w:bidi="ar-SA"/>
        </w:rPr>
        <w:t>投 标 人：</w:t>
      </w:r>
      <w:r>
        <w:rPr>
          <w:rFonts w:ascii="宋体" w:hAnsi="宋体" w:eastAsia="宋体" w:cs="宋体"/>
          <w:color w:val="auto"/>
          <w:sz w:val="21"/>
          <w:szCs w:val="21"/>
          <w:u w:val="single"/>
          <w:lang w:eastAsia="zh-CN" w:bidi="ar-SA"/>
        </w:rPr>
        <w:t xml:space="preserve">   </w:t>
      </w:r>
      <w:r>
        <w:rPr>
          <w:rFonts w:hint="eastAsia" w:ascii="宋体" w:hAnsi="宋体" w:eastAsia="宋体" w:cs="宋体"/>
          <w:color w:val="auto"/>
          <w:sz w:val="21"/>
          <w:szCs w:val="21"/>
          <w:u w:val="single"/>
          <w:lang w:eastAsia="zh-CN" w:bidi="ar-SA"/>
        </w:rPr>
        <w:t>（加盖投标人单位电子公章）</w:t>
      </w:r>
      <w:r>
        <w:rPr>
          <w:rFonts w:ascii="宋体" w:hAnsi="宋体" w:eastAsia="宋体" w:cs="宋体"/>
          <w:color w:val="auto"/>
          <w:sz w:val="21"/>
          <w:szCs w:val="21"/>
          <w:u w:val="single"/>
          <w:lang w:eastAsia="zh-CN" w:bidi="ar-SA"/>
        </w:rPr>
        <w:t xml:space="preserve">     </w:t>
      </w:r>
    </w:p>
    <w:p w14:paraId="08701CF9">
      <w:pPr>
        <w:spacing w:line="440" w:lineRule="exact"/>
        <w:ind w:left="240" w:leftChars="100" w:firstLine="3570" w:firstLineChars="1700"/>
        <w:rPr>
          <w:rFonts w:hint="eastAsia" w:ascii="宋体" w:hAnsi="宋体" w:eastAsia="宋体" w:cs="宋体"/>
          <w:color w:val="auto"/>
          <w:sz w:val="21"/>
          <w:szCs w:val="21"/>
          <w:lang w:eastAsia="zh-CN" w:bidi="ar-SA"/>
        </w:rPr>
        <w:sectPr>
          <w:footnotePr>
            <w:numFmt w:val="decimalEnclosedCircleChinese"/>
            <w:numRestart w:val="eachPage"/>
          </w:footnotePr>
          <w:pgSz w:w="11906" w:h="16838"/>
          <w:pgMar w:top="1418" w:right="1588" w:bottom="1418" w:left="1588" w:header="680" w:footer="992" w:gutter="0"/>
          <w:cols w:space="720" w:num="1"/>
          <w:docGrid w:linePitch="326" w:charSpace="0"/>
        </w:sectPr>
      </w:pPr>
      <w:r>
        <w:rPr>
          <w:rFonts w:ascii="宋体" w:hAnsi="宋体" w:eastAsia="宋体" w:cs="宋体"/>
          <w:color w:val="auto"/>
          <w:sz w:val="21"/>
          <w:szCs w:val="21"/>
          <w:lang w:eastAsia="zh-CN" w:bidi="ar-SA"/>
        </w:rPr>
        <w:t>法定代表人：</w:t>
      </w:r>
      <w:r>
        <w:rPr>
          <w:rFonts w:ascii="宋体" w:hAnsi="宋体" w:eastAsia="宋体" w:cs="宋体"/>
          <w:color w:val="auto"/>
          <w:sz w:val="21"/>
          <w:szCs w:val="21"/>
          <w:u w:val="single"/>
          <w:lang w:eastAsia="zh-CN" w:bidi="ar-SA"/>
        </w:rPr>
        <w:t xml:space="preserve"> </w:t>
      </w:r>
      <w:r>
        <w:rPr>
          <w:rFonts w:hint="eastAsia" w:ascii="宋体" w:hAnsi="宋体" w:eastAsia="宋体" w:cs="宋体"/>
          <w:color w:val="auto"/>
          <w:sz w:val="21"/>
          <w:szCs w:val="21"/>
          <w:u w:val="single"/>
          <w:lang w:eastAsia="zh-CN" w:bidi="ar-SA"/>
        </w:rPr>
        <w:t xml:space="preserve">（加盖法定代表人电子签名） </w:t>
      </w:r>
      <w:r>
        <w:rPr>
          <w:rFonts w:ascii="宋体" w:hAnsi="宋体" w:eastAsia="宋体" w:cs="宋体"/>
          <w:color w:val="auto"/>
          <w:sz w:val="21"/>
          <w:szCs w:val="21"/>
          <w:u w:val="single"/>
          <w:lang w:eastAsia="zh-CN" w:bidi="ar-SA"/>
        </w:rPr>
        <w:t xml:space="preserve">   </w:t>
      </w:r>
    </w:p>
    <w:p w14:paraId="73FDCB86">
      <w:pPr>
        <w:jc w:val="center"/>
        <w:rPr>
          <w:rFonts w:hint="eastAsia" w:cs="宋体" w:asciiTheme="minorEastAsia" w:hAnsiTheme="minorEastAsia" w:eastAsiaTheme="minorEastAsia"/>
          <w:b/>
          <w:bCs/>
          <w:color w:val="auto"/>
          <w:lang w:eastAsia="zh-CN" w:bidi="ar-SA"/>
        </w:rPr>
      </w:pPr>
      <w:r>
        <w:rPr>
          <w:rFonts w:cs="宋体" w:asciiTheme="minorEastAsia" w:hAnsiTheme="minorEastAsia" w:eastAsiaTheme="minorEastAsia"/>
          <w:b/>
          <w:bCs/>
          <w:color w:val="auto"/>
          <w:lang w:eastAsia="zh-CN" w:bidi="ar-SA"/>
        </w:rPr>
        <w:t>4</w:t>
      </w:r>
      <w:r>
        <w:rPr>
          <w:rFonts w:hint="eastAsia" w:cs="宋体" w:asciiTheme="minorEastAsia" w:hAnsiTheme="minorEastAsia" w:eastAsiaTheme="minorEastAsia"/>
          <w:b/>
          <w:bCs/>
          <w:color w:val="auto"/>
          <w:lang w:eastAsia="zh-CN" w:bidi="ar-SA"/>
        </w:rPr>
        <w:t>-</w:t>
      </w:r>
      <w:r>
        <w:rPr>
          <w:rFonts w:cs="宋体" w:asciiTheme="minorEastAsia" w:hAnsiTheme="minorEastAsia" w:eastAsiaTheme="minorEastAsia"/>
          <w:b/>
          <w:bCs/>
          <w:color w:val="auto"/>
          <w:lang w:eastAsia="zh-CN" w:bidi="ar-SA"/>
        </w:rPr>
        <w:t>1拟委任的</w:t>
      </w:r>
      <w:r>
        <w:rPr>
          <w:rFonts w:hint="eastAsia" w:cs="宋体" w:asciiTheme="minorEastAsia" w:hAnsiTheme="minorEastAsia" w:eastAsiaTheme="minorEastAsia"/>
          <w:b/>
          <w:bCs/>
          <w:color w:val="auto"/>
          <w:lang w:eastAsia="zh-CN" w:bidi="ar-SA"/>
        </w:rPr>
        <w:t>总监理工程师</w:t>
      </w:r>
      <w:r>
        <w:rPr>
          <w:rFonts w:cs="宋体" w:asciiTheme="minorEastAsia" w:hAnsiTheme="minorEastAsia" w:eastAsiaTheme="minorEastAsia"/>
          <w:b/>
          <w:bCs/>
          <w:color w:val="auto"/>
          <w:lang w:eastAsia="zh-CN" w:bidi="ar-SA"/>
        </w:rPr>
        <w:t>资历表</w:t>
      </w:r>
    </w:p>
    <w:tbl>
      <w:tblPr>
        <w:tblStyle w:val="47"/>
        <w:tblW w:w="864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7"/>
        <w:gridCol w:w="1195"/>
        <w:gridCol w:w="299"/>
        <w:gridCol w:w="935"/>
        <w:gridCol w:w="1424"/>
        <w:gridCol w:w="59"/>
        <w:gridCol w:w="332"/>
        <w:gridCol w:w="1530"/>
        <w:gridCol w:w="379"/>
        <w:gridCol w:w="1274"/>
      </w:tblGrid>
      <w:tr w14:paraId="215A4F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exact"/>
        </w:trPr>
        <w:tc>
          <w:tcPr>
            <w:tcW w:w="1217" w:type="dxa"/>
            <w:vAlign w:val="center"/>
          </w:tcPr>
          <w:p w14:paraId="6A75C81E">
            <w:pPr>
              <w:jc w:val="center"/>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姓名</w:t>
            </w:r>
          </w:p>
        </w:tc>
        <w:tc>
          <w:tcPr>
            <w:tcW w:w="1494" w:type="dxa"/>
            <w:gridSpan w:val="2"/>
            <w:vAlign w:val="center"/>
          </w:tcPr>
          <w:p w14:paraId="438B2228">
            <w:pPr>
              <w:jc w:val="both"/>
              <w:rPr>
                <w:rFonts w:hint="eastAsia" w:ascii="宋体" w:hAnsi="宋体" w:eastAsia="宋体"/>
                <w:color w:val="auto"/>
                <w:sz w:val="21"/>
                <w:szCs w:val="21"/>
                <w:lang w:eastAsia="zh-CN" w:bidi="ar-SA"/>
              </w:rPr>
            </w:pPr>
          </w:p>
        </w:tc>
        <w:tc>
          <w:tcPr>
            <w:tcW w:w="935" w:type="dxa"/>
            <w:vAlign w:val="center"/>
          </w:tcPr>
          <w:p w14:paraId="4BAA2AA7">
            <w:pPr>
              <w:jc w:val="center"/>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年</w:t>
            </w:r>
            <w:r>
              <w:rPr>
                <w:rFonts w:hint="eastAsia" w:ascii="宋体" w:hAnsi="宋体" w:eastAsia="宋体"/>
                <w:color w:val="auto"/>
                <w:sz w:val="21"/>
                <w:szCs w:val="21"/>
                <w:lang w:eastAsia="zh-CN" w:bidi="ar-SA"/>
              </w:rPr>
              <w:t xml:space="preserve">  </w:t>
            </w:r>
            <w:r>
              <w:rPr>
                <w:rFonts w:ascii="宋体" w:hAnsi="宋体" w:eastAsia="宋体"/>
                <w:color w:val="auto"/>
                <w:sz w:val="21"/>
                <w:szCs w:val="21"/>
                <w:lang w:eastAsia="zh-CN" w:bidi="ar-SA"/>
              </w:rPr>
              <w:t>龄</w:t>
            </w:r>
          </w:p>
        </w:tc>
        <w:tc>
          <w:tcPr>
            <w:tcW w:w="1483" w:type="dxa"/>
            <w:gridSpan w:val="2"/>
            <w:vAlign w:val="center"/>
          </w:tcPr>
          <w:p w14:paraId="5A332581">
            <w:pPr>
              <w:jc w:val="both"/>
              <w:rPr>
                <w:rFonts w:hint="eastAsia" w:ascii="宋体" w:hAnsi="宋体" w:eastAsia="宋体"/>
                <w:color w:val="auto"/>
                <w:sz w:val="21"/>
                <w:szCs w:val="21"/>
                <w:lang w:eastAsia="zh-CN" w:bidi="ar-SA"/>
              </w:rPr>
            </w:pPr>
          </w:p>
        </w:tc>
        <w:tc>
          <w:tcPr>
            <w:tcW w:w="1862" w:type="dxa"/>
            <w:gridSpan w:val="2"/>
            <w:vAlign w:val="center"/>
          </w:tcPr>
          <w:p w14:paraId="7732A1B9">
            <w:pPr>
              <w:jc w:val="center"/>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执业或职业</w:t>
            </w:r>
          </w:p>
          <w:p w14:paraId="6C732A91">
            <w:pPr>
              <w:jc w:val="center"/>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资格证书名称</w:t>
            </w:r>
          </w:p>
        </w:tc>
        <w:tc>
          <w:tcPr>
            <w:tcW w:w="1653" w:type="dxa"/>
            <w:gridSpan w:val="2"/>
            <w:vAlign w:val="center"/>
          </w:tcPr>
          <w:p w14:paraId="19350054">
            <w:pPr>
              <w:jc w:val="both"/>
              <w:rPr>
                <w:rFonts w:hint="eastAsia" w:ascii="宋体" w:hAnsi="宋体" w:eastAsia="宋体"/>
                <w:color w:val="auto"/>
                <w:sz w:val="21"/>
                <w:szCs w:val="21"/>
                <w:lang w:eastAsia="zh-CN" w:bidi="ar-SA"/>
              </w:rPr>
            </w:pPr>
          </w:p>
        </w:tc>
      </w:tr>
      <w:tr w14:paraId="1C6A0A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1" w:hRule="exact"/>
        </w:trPr>
        <w:tc>
          <w:tcPr>
            <w:tcW w:w="1217" w:type="dxa"/>
            <w:vAlign w:val="center"/>
          </w:tcPr>
          <w:p w14:paraId="20AA1D61">
            <w:pPr>
              <w:jc w:val="center"/>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技术职称</w:t>
            </w:r>
          </w:p>
        </w:tc>
        <w:tc>
          <w:tcPr>
            <w:tcW w:w="1494" w:type="dxa"/>
            <w:gridSpan w:val="2"/>
            <w:vAlign w:val="center"/>
          </w:tcPr>
          <w:p w14:paraId="3935C737">
            <w:pPr>
              <w:jc w:val="both"/>
              <w:rPr>
                <w:rFonts w:hint="eastAsia" w:ascii="宋体" w:hAnsi="宋体" w:eastAsia="宋体"/>
                <w:color w:val="auto"/>
                <w:sz w:val="21"/>
                <w:szCs w:val="21"/>
                <w:lang w:eastAsia="zh-CN" w:bidi="ar-SA"/>
              </w:rPr>
            </w:pPr>
          </w:p>
        </w:tc>
        <w:tc>
          <w:tcPr>
            <w:tcW w:w="935" w:type="dxa"/>
            <w:vAlign w:val="center"/>
          </w:tcPr>
          <w:p w14:paraId="5F284C90">
            <w:pPr>
              <w:jc w:val="cente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 xml:space="preserve">学  </w:t>
            </w:r>
            <w:r>
              <w:rPr>
                <w:rFonts w:ascii="宋体" w:hAnsi="宋体" w:eastAsia="宋体"/>
                <w:color w:val="auto"/>
                <w:sz w:val="21"/>
                <w:szCs w:val="21"/>
                <w:lang w:eastAsia="zh-CN" w:bidi="ar-SA"/>
              </w:rPr>
              <w:t>历</w:t>
            </w:r>
          </w:p>
        </w:tc>
        <w:tc>
          <w:tcPr>
            <w:tcW w:w="1483" w:type="dxa"/>
            <w:gridSpan w:val="2"/>
            <w:vAlign w:val="center"/>
          </w:tcPr>
          <w:p w14:paraId="280E2A5F">
            <w:pPr>
              <w:jc w:val="both"/>
              <w:rPr>
                <w:rFonts w:hint="eastAsia" w:ascii="宋体" w:hAnsi="宋体" w:eastAsia="宋体"/>
                <w:color w:val="auto"/>
                <w:sz w:val="21"/>
                <w:szCs w:val="21"/>
                <w:lang w:eastAsia="zh-CN" w:bidi="ar-SA"/>
              </w:rPr>
            </w:pPr>
          </w:p>
        </w:tc>
        <w:tc>
          <w:tcPr>
            <w:tcW w:w="1862" w:type="dxa"/>
            <w:gridSpan w:val="2"/>
            <w:vAlign w:val="center"/>
          </w:tcPr>
          <w:p w14:paraId="427C543B">
            <w:pPr>
              <w:jc w:val="center"/>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拟在本标段</w:t>
            </w:r>
          </w:p>
          <w:p w14:paraId="36B82D7B">
            <w:pPr>
              <w:jc w:val="center"/>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任职</w:t>
            </w:r>
          </w:p>
        </w:tc>
        <w:tc>
          <w:tcPr>
            <w:tcW w:w="1653" w:type="dxa"/>
            <w:gridSpan w:val="2"/>
            <w:vAlign w:val="center"/>
          </w:tcPr>
          <w:p w14:paraId="52B59D8D">
            <w:pPr>
              <w:jc w:val="both"/>
              <w:rPr>
                <w:rFonts w:hint="eastAsia" w:ascii="宋体" w:hAnsi="宋体" w:eastAsia="宋体"/>
                <w:color w:val="auto"/>
                <w:sz w:val="21"/>
                <w:szCs w:val="21"/>
                <w:lang w:eastAsia="zh-CN" w:bidi="ar-SA"/>
              </w:rPr>
            </w:pPr>
          </w:p>
        </w:tc>
      </w:tr>
      <w:tr w14:paraId="5E6FFA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exact"/>
        </w:trPr>
        <w:tc>
          <w:tcPr>
            <w:tcW w:w="1217" w:type="dxa"/>
            <w:vAlign w:val="center"/>
          </w:tcPr>
          <w:p w14:paraId="2B1660E2">
            <w:pPr>
              <w:jc w:val="center"/>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工作年限</w:t>
            </w:r>
          </w:p>
        </w:tc>
        <w:tc>
          <w:tcPr>
            <w:tcW w:w="3912" w:type="dxa"/>
            <w:gridSpan w:val="5"/>
            <w:vAlign w:val="center"/>
          </w:tcPr>
          <w:p w14:paraId="148F7879">
            <w:pPr>
              <w:jc w:val="both"/>
              <w:rPr>
                <w:rFonts w:hint="eastAsia" w:ascii="宋体" w:hAnsi="宋体" w:eastAsia="宋体"/>
                <w:color w:val="auto"/>
                <w:sz w:val="21"/>
                <w:szCs w:val="21"/>
                <w:lang w:eastAsia="zh-CN" w:bidi="ar-SA"/>
              </w:rPr>
            </w:pPr>
          </w:p>
        </w:tc>
        <w:tc>
          <w:tcPr>
            <w:tcW w:w="1862" w:type="dxa"/>
            <w:gridSpan w:val="2"/>
            <w:vAlign w:val="center"/>
          </w:tcPr>
          <w:p w14:paraId="5F0D808A">
            <w:pPr>
              <w:jc w:val="center"/>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从事</w:t>
            </w:r>
            <w:r>
              <w:rPr>
                <w:rFonts w:hint="eastAsia" w:ascii="宋体" w:hAnsi="宋体" w:eastAsia="宋体"/>
                <w:color w:val="auto"/>
                <w:sz w:val="21"/>
                <w:szCs w:val="21"/>
                <w:lang w:eastAsia="zh-CN" w:bidi="ar-SA"/>
              </w:rPr>
              <w:t>监理</w:t>
            </w:r>
          </w:p>
          <w:p w14:paraId="24090C05">
            <w:pPr>
              <w:jc w:val="center"/>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工作年限</w:t>
            </w:r>
          </w:p>
        </w:tc>
        <w:tc>
          <w:tcPr>
            <w:tcW w:w="1653" w:type="dxa"/>
            <w:gridSpan w:val="2"/>
            <w:vAlign w:val="center"/>
          </w:tcPr>
          <w:p w14:paraId="0A1EE626">
            <w:pPr>
              <w:jc w:val="both"/>
              <w:rPr>
                <w:rFonts w:hint="eastAsia" w:ascii="宋体" w:hAnsi="宋体" w:eastAsia="宋体"/>
                <w:color w:val="auto"/>
                <w:sz w:val="21"/>
                <w:szCs w:val="21"/>
                <w:lang w:eastAsia="zh-CN" w:bidi="ar-SA"/>
              </w:rPr>
            </w:pPr>
          </w:p>
        </w:tc>
      </w:tr>
      <w:tr w14:paraId="45634F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exact"/>
        </w:trPr>
        <w:tc>
          <w:tcPr>
            <w:tcW w:w="1217" w:type="dxa"/>
            <w:vAlign w:val="center"/>
          </w:tcPr>
          <w:p w14:paraId="08E8D66B">
            <w:pPr>
              <w:jc w:val="center"/>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毕业学校</w:t>
            </w:r>
          </w:p>
        </w:tc>
        <w:tc>
          <w:tcPr>
            <w:tcW w:w="7427" w:type="dxa"/>
            <w:gridSpan w:val="9"/>
            <w:vAlign w:val="center"/>
          </w:tcPr>
          <w:p w14:paraId="67766DE8">
            <w:pPr>
              <w:jc w:val="center"/>
              <w:rPr>
                <w:rFonts w:hint="eastAsia" w:ascii="宋体" w:hAnsi="宋体" w:eastAsia="宋体"/>
                <w:color w:val="auto"/>
                <w:sz w:val="21"/>
                <w:szCs w:val="21"/>
                <w:lang w:eastAsia="zh-CN" w:bidi="ar-SA"/>
              </w:rPr>
            </w:pPr>
            <w:r>
              <w:rPr>
                <w:rFonts w:hint="eastAsia" w:ascii="宋体" w:hAnsi="宋体" w:eastAsia="宋体"/>
                <w:color w:val="auto"/>
                <w:sz w:val="21"/>
                <w:szCs w:val="21"/>
                <w:u w:val="single"/>
                <w:lang w:eastAsia="zh-CN" w:bidi="ar-SA"/>
              </w:rPr>
              <w:t xml:space="preserve">     </w:t>
            </w:r>
            <w:r>
              <w:rPr>
                <w:rFonts w:ascii="宋体" w:hAnsi="宋体" w:eastAsia="宋体"/>
                <w:color w:val="auto"/>
                <w:sz w:val="21"/>
                <w:szCs w:val="21"/>
                <w:lang w:eastAsia="zh-CN" w:bidi="ar-SA"/>
              </w:rPr>
              <w:t>年</w:t>
            </w:r>
            <w:r>
              <w:rPr>
                <w:rFonts w:hint="eastAsia" w:ascii="宋体" w:hAnsi="宋体" w:eastAsia="宋体"/>
                <w:color w:val="auto"/>
                <w:sz w:val="21"/>
                <w:szCs w:val="21"/>
                <w:u w:val="single"/>
                <w:lang w:eastAsia="zh-CN" w:bidi="ar-SA"/>
              </w:rPr>
              <w:t xml:space="preserve">    </w:t>
            </w:r>
            <w:r>
              <w:rPr>
                <w:rFonts w:ascii="宋体" w:hAnsi="宋体" w:eastAsia="宋体"/>
                <w:color w:val="auto"/>
                <w:sz w:val="21"/>
                <w:szCs w:val="21"/>
                <w:lang w:eastAsia="zh-CN" w:bidi="ar-SA"/>
              </w:rPr>
              <w:t>月毕业于</w:t>
            </w:r>
            <w:r>
              <w:rPr>
                <w:rFonts w:ascii="宋体" w:hAnsi="宋体" w:eastAsia="宋体"/>
                <w:color w:val="auto"/>
                <w:sz w:val="21"/>
                <w:szCs w:val="21"/>
                <w:u w:val="single"/>
                <w:lang w:eastAsia="zh-CN" w:bidi="ar-SA"/>
              </w:rPr>
              <w:t xml:space="preserve"> </w:t>
            </w:r>
            <w:r>
              <w:rPr>
                <w:rFonts w:hint="eastAsia" w:ascii="宋体" w:hAnsi="宋体" w:eastAsia="宋体"/>
                <w:color w:val="auto"/>
                <w:sz w:val="21"/>
                <w:szCs w:val="21"/>
                <w:u w:val="single"/>
                <w:lang w:eastAsia="zh-CN" w:bidi="ar-SA"/>
              </w:rPr>
              <w:t xml:space="preserve">          </w:t>
            </w:r>
            <w:r>
              <w:rPr>
                <w:rFonts w:ascii="宋体" w:hAnsi="宋体" w:eastAsia="宋体"/>
                <w:color w:val="auto"/>
                <w:sz w:val="21"/>
                <w:szCs w:val="21"/>
                <w:lang w:eastAsia="zh-CN" w:bidi="ar-SA"/>
              </w:rPr>
              <w:t>学校</w:t>
            </w:r>
            <w:r>
              <w:rPr>
                <w:rFonts w:hint="eastAsia" w:ascii="宋体" w:hAnsi="宋体" w:eastAsia="宋体"/>
                <w:color w:val="auto"/>
                <w:sz w:val="21"/>
                <w:szCs w:val="21"/>
                <w:u w:val="single"/>
                <w:lang w:eastAsia="zh-CN" w:bidi="ar-SA"/>
              </w:rPr>
              <w:t xml:space="preserve">        </w:t>
            </w:r>
            <w:r>
              <w:rPr>
                <w:rFonts w:ascii="宋体" w:hAnsi="宋体" w:eastAsia="宋体"/>
                <w:color w:val="auto"/>
                <w:sz w:val="21"/>
                <w:szCs w:val="21"/>
                <w:lang w:eastAsia="zh-CN" w:bidi="ar-SA"/>
              </w:rPr>
              <w:t>专业，学制</w:t>
            </w:r>
            <w:r>
              <w:rPr>
                <w:rFonts w:hint="eastAsia" w:ascii="宋体" w:hAnsi="宋体" w:eastAsia="宋体"/>
                <w:color w:val="auto"/>
                <w:sz w:val="21"/>
                <w:szCs w:val="21"/>
                <w:u w:val="single"/>
                <w:lang w:eastAsia="zh-CN" w:bidi="ar-SA"/>
              </w:rPr>
              <w:t xml:space="preserve">   </w:t>
            </w:r>
            <w:r>
              <w:rPr>
                <w:rFonts w:ascii="宋体" w:hAnsi="宋体" w:eastAsia="宋体"/>
                <w:color w:val="auto"/>
                <w:sz w:val="21"/>
                <w:szCs w:val="21"/>
                <w:lang w:eastAsia="zh-CN" w:bidi="ar-SA"/>
              </w:rPr>
              <w:t>年</w:t>
            </w:r>
          </w:p>
        </w:tc>
      </w:tr>
      <w:tr w14:paraId="469C59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exact"/>
        </w:trPr>
        <w:tc>
          <w:tcPr>
            <w:tcW w:w="5070" w:type="dxa"/>
            <w:gridSpan w:val="5"/>
            <w:vAlign w:val="center"/>
          </w:tcPr>
          <w:p w14:paraId="0DECA7E8">
            <w:pPr>
              <w:jc w:val="cente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执业或职业资格证书最早注册时间</w:t>
            </w:r>
          </w:p>
        </w:tc>
        <w:tc>
          <w:tcPr>
            <w:tcW w:w="3574" w:type="dxa"/>
            <w:gridSpan w:val="5"/>
            <w:vAlign w:val="center"/>
          </w:tcPr>
          <w:p w14:paraId="4AF225AE">
            <w:pPr>
              <w:jc w:val="center"/>
              <w:rPr>
                <w:rFonts w:hint="eastAsia" w:ascii="宋体" w:hAnsi="宋体" w:eastAsia="宋体"/>
                <w:color w:val="auto"/>
                <w:sz w:val="21"/>
                <w:szCs w:val="21"/>
                <w:lang w:eastAsia="zh-CN" w:bidi="ar-SA"/>
              </w:rPr>
            </w:pPr>
          </w:p>
        </w:tc>
      </w:tr>
      <w:tr w14:paraId="3695B1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exact"/>
        </w:trPr>
        <w:tc>
          <w:tcPr>
            <w:tcW w:w="8644" w:type="dxa"/>
            <w:gridSpan w:val="10"/>
            <w:vAlign w:val="center"/>
          </w:tcPr>
          <w:p w14:paraId="771332ED">
            <w:pPr>
              <w:jc w:val="cente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经   历</w:t>
            </w:r>
          </w:p>
        </w:tc>
      </w:tr>
      <w:tr w14:paraId="79FB50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0" w:hRule="exact"/>
        </w:trPr>
        <w:tc>
          <w:tcPr>
            <w:tcW w:w="1217" w:type="dxa"/>
            <w:vAlign w:val="center"/>
          </w:tcPr>
          <w:p w14:paraId="27BF8C8C">
            <w:pPr>
              <w:jc w:val="cente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时  间</w:t>
            </w:r>
          </w:p>
        </w:tc>
        <w:tc>
          <w:tcPr>
            <w:tcW w:w="4244" w:type="dxa"/>
            <w:gridSpan w:val="6"/>
            <w:vAlign w:val="center"/>
          </w:tcPr>
          <w:p w14:paraId="7A7FABD3">
            <w:pPr>
              <w:jc w:val="center"/>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参加过的类似项目名称</w:t>
            </w:r>
          </w:p>
        </w:tc>
        <w:tc>
          <w:tcPr>
            <w:tcW w:w="1909" w:type="dxa"/>
            <w:gridSpan w:val="2"/>
            <w:vAlign w:val="center"/>
          </w:tcPr>
          <w:p w14:paraId="0EEFBD1C">
            <w:pPr>
              <w:jc w:val="center"/>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担任职务</w:t>
            </w:r>
          </w:p>
        </w:tc>
        <w:tc>
          <w:tcPr>
            <w:tcW w:w="1274" w:type="dxa"/>
            <w:vAlign w:val="center"/>
          </w:tcPr>
          <w:p w14:paraId="1E368D9A">
            <w:pPr>
              <w:jc w:val="center"/>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委托人</w:t>
            </w:r>
          </w:p>
          <w:p w14:paraId="2DE309CA">
            <w:pPr>
              <w:jc w:val="center"/>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及联系电话</w:t>
            </w:r>
          </w:p>
        </w:tc>
      </w:tr>
      <w:tr w14:paraId="7F2C46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exact"/>
        </w:trPr>
        <w:tc>
          <w:tcPr>
            <w:tcW w:w="1217" w:type="dxa"/>
            <w:vAlign w:val="center"/>
          </w:tcPr>
          <w:p w14:paraId="39555201">
            <w:pPr>
              <w:jc w:val="both"/>
              <w:rPr>
                <w:rFonts w:hint="eastAsia" w:ascii="宋体" w:hAnsi="宋体" w:eastAsia="宋体"/>
                <w:color w:val="auto"/>
                <w:sz w:val="21"/>
                <w:szCs w:val="21"/>
                <w:lang w:eastAsia="zh-CN" w:bidi="ar-SA"/>
              </w:rPr>
            </w:pPr>
          </w:p>
        </w:tc>
        <w:tc>
          <w:tcPr>
            <w:tcW w:w="4244" w:type="dxa"/>
            <w:gridSpan w:val="6"/>
            <w:vAlign w:val="center"/>
          </w:tcPr>
          <w:p w14:paraId="1937C735">
            <w:pPr>
              <w:jc w:val="center"/>
              <w:rPr>
                <w:rFonts w:hint="eastAsia" w:ascii="宋体" w:hAnsi="宋体" w:eastAsia="宋体"/>
                <w:color w:val="auto"/>
                <w:sz w:val="21"/>
                <w:szCs w:val="21"/>
                <w:lang w:eastAsia="zh-CN" w:bidi="ar-SA"/>
              </w:rPr>
            </w:pPr>
          </w:p>
        </w:tc>
        <w:tc>
          <w:tcPr>
            <w:tcW w:w="1909" w:type="dxa"/>
            <w:gridSpan w:val="2"/>
            <w:vAlign w:val="center"/>
          </w:tcPr>
          <w:p w14:paraId="0BE203BD">
            <w:pPr>
              <w:jc w:val="center"/>
              <w:rPr>
                <w:rFonts w:hint="eastAsia" w:ascii="宋体" w:hAnsi="宋体" w:eastAsia="宋体"/>
                <w:color w:val="auto"/>
                <w:sz w:val="21"/>
                <w:szCs w:val="21"/>
                <w:lang w:eastAsia="zh-CN" w:bidi="ar-SA"/>
              </w:rPr>
            </w:pPr>
          </w:p>
        </w:tc>
        <w:tc>
          <w:tcPr>
            <w:tcW w:w="1274" w:type="dxa"/>
            <w:vAlign w:val="center"/>
          </w:tcPr>
          <w:p w14:paraId="78B62813">
            <w:pPr>
              <w:jc w:val="center"/>
              <w:rPr>
                <w:rFonts w:hint="eastAsia" w:ascii="宋体" w:hAnsi="宋体" w:eastAsia="宋体"/>
                <w:color w:val="auto"/>
                <w:sz w:val="21"/>
                <w:szCs w:val="21"/>
                <w:lang w:eastAsia="zh-CN" w:bidi="ar-SA"/>
              </w:rPr>
            </w:pPr>
          </w:p>
        </w:tc>
      </w:tr>
      <w:tr w14:paraId="29994E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trPr>
        <w:tc>
          <w:tcPr>
            <w:tcW w:w="1217" w:type="dxa"/>
            <w:vAlign w:val="center"/>
          </w:tcPr>
          <w:p w14:paraId="6099A864">
            <w:pPr>
              <w:jc w:val="both"/>
              <w:rPr>
                <w:rFonts w:hint="eastAsia" w:ascii="宋体" w:hAnsi="宋体" w:eastAsia="宋体"/>
                <w:color w:val="auto"/>
                <w:sz w:val="21"/>
                <w:szCs w:val="21"/>
                <w:lang w:eastAsia="zh-CN" w:bidi="ar-SA"/>
              </w:rPr>
            </w:pPr>
          </w:p>
        </w:tc>
        <w:tc>
          <w:tcPr>
            <w:tcW w:w="4244" w:type="dxa"/>
            <w:gridSpan w:val="6"/>
            <w:vAlign w:val="center"/>
          </w:tcPr>
          <w:p w14:paraId="01DDE2F7">
            <w:pPr>
              <w:jc w:val="center"/>
              <w:rPr>
                <w:rFonts w:hint="eastAsia" w:ascii="宋体" w:hAnsi="宋体" w:eastAsia="宋体"/>
                <w:color w:val="auto"/>
                <w:sz w:val="21"/>
                <w:szCs w:val="21"/>
                <w:lang w:eastAsia="zh-CN" w:bidi="ar-SA"/>
              </w:rPr>
            </w:pPr>
          </w:p>
        </w:tc>
        <w:tc>
          <w:tcPr>
            <w:tcW w:w="1909" w:type="dxa"/>
            <w:gridSpan w:val="2"/>
            <w:vAlign w:val="center"/>
          </w:tcPr>
          <w:p w14:paraId="3858E104">
            <w:pPr>
              <w:jc w:val="center"/>
              <w:rPr>
                <w:rFonts w:hint="eastAsia" w:ascii="宋体" w:hAnsi="宋体" w:eastAsia="宋体"/>
                <w:color w:val="auto"/>
                <w:sz w:val="21"/>
                <w:szCs w:val="21"/>
                <w:lang w:eastAsia="zh-CN" w:bidi="ar-SA"/>
              </w:rPr>
            </w:pPr>
          </w:p>
        </w:tc>
        <w:tc>
          <w:tcPr>
            <w:tcW w:w="1274" w:type="dxa"/>
            <w:vAlign w:val="center"/>
          </w:tcPr>
          <w:p w14:paraId="44BD34A4">
            <w:pPr>
              <w:jc w:val="center"/>
              <w:rPr>
                <w:rFonts w:hint="eastAsia" w:ascii="宋体" w:hAnsi="宋体" w:eastAsia="宋体"/>
                <w:color w:val="auto"/>
                <w:sz w:val="21"/>
                <w:szCs w:val="21"/>
                <w:lang w:eastAsia="zh-CN" w:bidi="ar-SA"/>
              </w:rPr>
            </w:pPr>
          </w:p>
        </w:tc>
      </w:tr>
      <w:tr w14:paraId="181CDE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trPr>
        <w:tc>
          <w:tcPr>
            <w:tcW w:w="1217" w:type="dxa"/>
            <w:vAlign w:val="center"/>
          </w:tcPr>
          <w:p w14:paraId="79624CB6">
            <w:pPr>
              <w:jc w:val="both"/>
              <w:rPr>
                <w:rFonts w:hint="eastAsia" w:ascii="宋体" w:hAnsi="宋体" w:eastAsia="宋体"/>
                <w:color w:val="auto"/>
                <w:sz w:val="21"/>
                <w:szCs w:val="21"/>
                <w:lang w:eastAsia="zh-CN" w:bidi="ar-SA"/>
              </w:rPr>
            </w:pPr>
          </w:p>
        </w:tc>
        <w:tc>
          <w:tcPr>
            <w:tcW w:w="4244" w:type="dxa"/>
            <w:gridSpan w:val="6"/>
            <w:vAlign w:val="center"/>
          </w:tcPr>
          <w:p w14:paraId="4B25ED42">
            <w:pPr>
              <w:jc w:val="center"/>
              <w:rPr>
                <w:rFonts w:hint="eastAsia" w:ascii="宋体" w:hAnsi="宋体" w:eastAsia="宋体"/>
                <w:color w:val="auto"/>
                <w:sz w:val="21"/>
                <w:szCs w:val="21"/>
                <w:lang w:eastAsia="zh-CN" w:bidi="ar-SA"/>
              </w:rPr>
            </w:pPr>
          </w:p>
        </w:tc>
        <w:tc>
          <w:tcPr>
            <w:tcW w:w="1909" w:type="dxa"/>
            <w:gridSpan w:val="2"/>
            <w:vAlign w:val="center"/>
          </w:tcPr>
          <w:p w14:paraId="090BE2A8">
            <w:pPr>
              <w:jc w:val="center"/>
              <w:rPr>
                <w:rFonts w:hint="eastAsia" w:ascii="宋体" w:hAnsi="宋体" w:eastAsia="宋体"/>
                <w:color w:val="auto"/>
                <w:sz w:val="21"/>
                <w:szCs w:val="21"/>
                <w:lang w:eastAsia="zh-CN" w:bidi="ar-SA"/>
              </w:rPr>
            </w:pPr>
          </w:p>
        </w:tc>
        <w:tc>
          <w:tcPr>
            <w:tcW w:w="1274" w:type="dxa"/>
            <w:vAlign w:val="center"/>
          </w:tcPr>
          <w:p w14:paraId="28030D2A">
            <w:pPr>
              <w:jc w:val="center"/>
              <w:rPr>
                <w:rFonts w:hint="eastAsia" w:ascii="宋体" w:hAnsi="宋体" w:eastAsia="宋体"/>
                <w:color w:val="auto"/>
                <w:sz w:val="21"/>
                <w:szCs w:val="21"/>
                <w:lang w:eastAsia="zh-CN" w:bidi="ar-SA"/>
              </w:rPr>
            </w:pPr>
          </w:p>
        </w:tc>
      </w:tr>
      <w:tr w14:paraId="49E86B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0" w:hRule="exact"/>
        </w:trPr>
        <w:tc>
          <w:tcPr>
            <w:tcW w:w="2412" w:type="dxa"/>
            <w:gridSpan w:val="2"/>
            <w:vAlign w:val="center"/>
          </w:tcPr>
          <w:p w14:paraId="269835B9">
            <w:pPr>
              <w:jc w:val="center"/>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说明在岗情况</w:t>
            </w:r>
          </w:p>
        </w:tc>
        <w:tc>
          <w:tcPr>
            <w:tcW w:w="6232" w:type="dxa"/>
            <w:gridSpan w:val="8"/>
            <w:vAlign w:val="center"/>
          </w:tcPr>
          <w:p w14:paraId="3851B2A1">
            <w:pPr>
              <w:jc w:val="both"/>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□目</w:t>
            </w:r>
            <w:r>
              <w:rPr>
                <w:rFonts w:ascii="宋体" w:hAnsi="宋体" w:eastAsia="宋体"/>
                <w:color w:val="auto"/>
                <w:sz w:val="21"/>
                <w:szCs w:val="21"/>
                <w:lang w:eastAsia="zh-CN" w:bidi="ar-SA"/>
              </w:rPr>
              <w:t>前未在其他项目上任职，现从事工作为：</w:t>
            </w:r>
            <w:r>
              <w:rPr>
                <w:rFonts w:hint="eastAsia" w:ascii="宋体" w:hAnsi="宋体" w:eastAsia="宋体"/>
                <w:color w:val="auto"/>
                <w:sz w:val="21"/>
                <w:szCs w:val="21"/>
                <w:u w:val="single"/>
                <w:lang w:eastAsia="zh-CN" w:bidi="ar-SA"/>
              </w:rPr>
              <w:t xml:space="preserve">        </w:t>
            </w:r>
            <w:r>
              <w:rPr>
                <w:rFonts w:ascii="宋体" w:hAnsi="宋体" w:eastAsia="宋体"/>
                <w:color w:val="auto"/>
                <w:sz w:val="21"/>
                <w:szCs w:val="21"/>
                <w:lang w:eastAsia="zh-CN" w:bidi="ar-SA"/>
              </w:rPr>
              <w:t>。</w:t>
            </w:r>
          </w:p>
          <w:p w14:paraId="313E9BB6">
            <w:pP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w:t>
            </w:r>
            <w:r>
              <w:rPr>
                <w:rFonts w:ascii="宋体" w:hAnsi="宋体" w:eastAsia="宋体"/>
                <w:color w:val="auto"/>
                <w:sz w:val="21"/>
                <w:szCs w:val="21"/>
                <w:lang w:eastAsia="zh-CN" w:bidi="ar-SA"/>
              </w:rPr>
              <w:t>目前虽在其他项目上任职，但本项目 中标后能够从该项目撤离，目前任职项目：</w:t>
            </w:r>
            <w:r>
              <w:rPr>
                <w:rFonts w:hint="eastAsia" w:ascii="宋体" w:hAnsi="宋体" w:eastAsia="宋体"/>
                <w:color w:val="auto"/>
                <w:sz w:val="21"/>
                <w:szCs w:val="21"/>
                <w:u w:val="single"/>
                <w:lang w:eastAsia="zh-CN" w:bidi="ar-SA"/>
              </w:rPr>
              <w:t xml:space="preserve">        </w:t>
            </w:r>
            <w:r>
              <w:rPr>
                <w:rFonts w:hint="eastAsia" w:ascii="宋体" w:hAnsi="宋体" w:eastAsia="宋体" w:cs="Arial"/>
                <w:color w:val="auto"/>
                <w:sz w:val="21"/>
                <w:szCs w:val="21"/>
                <w:lang w:eastAsia="zh-CN" w:bidi="ar-SA"/>
              </w:rPr>
              <w:t>，</w:t>
            </w:r>
            <w:r>
              <w:rPr>
                <w:rFonts w:hint="eastAsia" w:ascii="宋体" w:hAnsi="宋体" w:eastAsia="宋体"/>
                <w:color w:val="auto"/>
                <w:sz w:val="21"/>
                <w:szCs w:val="21"/>
                <w:lang w:eastAsia="zh-CN" w:bidi="ar-SA"/>
              </w:rPr>
              <w:t>担</w:t>
            </w:r>
            <w:r>
              <w:rPr>
                <w:rFonts w:ascii="宋体" w:hAnsi="宋体" w:eastAsia="宋体"/>
                <w:color w:val="auto"/>
                <w:sz w:val="21"/>
                <w:szCs w:val="21"/>
                <w:lang w:eastAsia="zh-CN" w:bidi="ar-SA"/>
              </w:rPr>
              <w:t>任职位：</w:t>
            </w:r>
            <w:r>
              <w:rPr>
                <w:rFonts w:hint="eastAsia" w:ascii="宋体" w:hAnsi="宋体" w:eastAsia="宋体"/>
                <w:color w:val="auto"/>
                <w:sz w:val="21"/>
                <w:szCs w:val="21"/>
                <w:u w:val="single"/>
                <w:lang w:eastAsia="zh-CN" w:bidi="ar-SA"/>
              </w:rPr>
              <w:t xml:space="preserve">        </w:t>
            </w:r>
            <w:r>
              <w:rPr>
                <w:rFonts w:ascii="宋体" w:hAnsi="宋体" w:eastAsia="宋体"/>
                <w:color w:val="auto"/>
                <w:sz w:val="21"/>
                <w:szCs w:val="21"/>
                <w:lang w:eastAsia="zh-CN" w:bidi="ar-SA"/>
              </w:rPr>
              <w:t>。</w:t>
            </w:r>
          </w:p>
        </w:tc>
      </w:tr>
      <w:tr w14:paraId="22D583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exact"/>
        </w:trPr>
        <w:tc>
          <w:tcPr>
            <w:tcW w:w="2412" w:type="dxa"/>
            <w:gridSpan w:val="2"/>
            <w:vAlign w:val="center"/>
          </w:tcPr>
          <w:p w14:paraId="74600566">
            <w:pPr>
              <w:jc w:val="center"/>
              <w:rPr>
                <w:rFonts w:hint="eastAsia" w:ascii="宋体" w:hAnsi="宋体" w:eastAsia="宋体"/>
                <w:color w:val="auto"/>
                <w:position w:val="1"/>
                <w:sz w:val="21"/>
                <w:szCs w:val="21"/>
                <w:lang w:eastAsia="zh-CN" w:bidi="ar-SA"/>
              </w:rPr>
            </w:pPr>
            <w:r>
              <w:rPr>
                <w:rFonts w:hint="eastAsia" w:eastAsia="宋体"/>
                <w:color w:val="auto"/>
                <w:sz w:val="21"/>
                <w:lang w:eastAsia="zh-CN" w:bidi="ar-SA"/>
              </w:rPr>
              <w:t>证明材料所在的页码</w:t>
            </w:r>
          </w:p>
        </w:tc>
        <w:tc>
          <w:tcPr>
            <w:tcW w:w="6232" w:type="dxa"/>
            <w:gridSpan w:val="8"/>
            <w:vAlign w:val="center"/>
          </w:tcPr>
          <w:p w14:paraId="22BC09ED">
            <w:pPr>
              <w:jc w:val="both"/>
              <w:rPr>
                <w:rFonts w:hint="eastAsia" w:ascii="宋体" w:hAnsi="宋体" w:eastAsia="宋体"/>
                <w:color w:val="auto"/>
                <w:sz w:val="21"/>
                <w:szCs w:val="21"/>
                <w:lang w:eastAsia="zh-CN" w:bidi="ar-SA"/>
              </w:rPr>
            </w:pPr>
          </w:p>
        </w:tc>
      </w:tr>
    </w:tbl>
    <w:p w14:paraId="74329866">
      <w:pPr>
        <w:wordWrap w:val="0"/>
        <w:spacing w:line="320" w:lineRule="exact"/>
        <w:ind w:left="563" w:hanging="562" w:hangingChars="268"/>
        <w:jc w:val="both"/>
        <w:rPr>
          <w:rFonts w:eastAsia="宋体" w:cs="宋体"/>
          <w:color w:val="auto"/>
          <w:sz w:val="21"/>
          <w:szCs w:val="21"/>
          <w:lang w:eastAsia="zh-CN" w:bidi="ar-SA"/>
        </w:rPr>
      </w:pPr>
      <w:r>
        <w:rPr>
          <w:rFonts w:eastAsia="宋体" w:cs="宋体"/>
          <w:color w:val="auto"/>
          <w:sz w:val="21"/>
          <w:szCs w:val="21"/>
          <w:lang w:eastAsia="zh-CN" w:bidi="ar-SA"/>
        </w:rPr>
        <w:t>注</w:t>
      </w:r>
      <w:r>
        <w:rPr>
          <w:rFonts w:hint="eastAsia" w:eastAsia="宋体" w:cs="宋体"/>
          <w:color w:val="auto"/>
          <w:sz w:val="21"/>
          <w:szCs w:val="21"/>
          <w:lang w:eastAsia="zh-CN" w:bidi="ar-SA"/>
        </w:rPr>
        <w:t xml:space="preserve"> ：</w:t>
      </w:r>
    </w:p>
    <w:p w14:paraId="540D6C93">
      <w:pPr>
        <w:wordWrap w:val="0"/>
        <w:spacing w:line="276" w:lineRule="auto"/>
        <w:ind w:firstLine="420" w:firstLineChars="200"/>
        <w:jc w:val="both"/>
        <w:rPr>
          <w:rFonts w:eastAsia="宋体" w:cs="宋体"/>
          <w:color w:val="auto"/>
          <w:sz w:val="21"/>
          <w:szCs w:val="21"/>
          <w:lang w:eastAsia="zh-CN" w:bidi="ar-SA"/>
        </w:rPr>
      </w:pPr>
      <w:bookmarkStart w:id="956" w:name="_Hlk54204907"/>
      <w:r>
        <w:rPr>
          <w:rFonts w:hint="eastAsia" w:eastAsia="宋体" w:cs="宋体"/>
          <w:color w:val="auto"/>
          <w:sz w:val="21"/>
          <w:szCs w:val="21"/>
          <w:lang w:eastAsia="zh-CN" w:bidi="ar-SA"/>
        </w:rPr>
        <w:t>1、投标人应按招标文件第二章“投标人须知前附表”第</w:t>
      </w:r>
      <w:r>
        <w:rPr>
          <w:rFonts w:eastAsia="宋体" w:cs="宋体"/>
          <w:color w:val="auto"/>
          <w:sz w:val="21"/>
          <w:szCs w:val="21"/>
          <w:lang w:eastAsia="zh-CN" w:bidi="ar-SA"/>
        </w:rPr>
        <w:t>3.5.6</w:t>
      </w:r>
      <w:r>
        <w:rPr>
          <w:rFonts w:hint="eastAsia" w:eastAsia="宋体" w:cs="宋体"/>
          <w:color w:val="auto"/>
          <w:sz w:val="21"/>
          <w:szCs w:val="21"/>
          <w:lang w:eastAsia="zh-CN" w:bidi="ar-SA"/>
        </w:rPr>
        <w:t>款要求附相关证明材料，并逐页加盖投标人单位公章。</w:t>
      </w:r>
    </w:p>
    <w:bookmarkEnd w:id="956"/>
    <w:p w14:paraId="220B366B">
      <w:pPr>
        <w:wordWrap w:val="0"/>
        <w:spacing w:line="320" w:lineRule="exact"/>
        <w:ind w:left="564" w:leftChars="176" w:hanging="142" w:hangingChars="68"/>
        <w:jc w:val="both"/>
        <w:rPr>
          <w:rFonts w:eastAsia="宋体" w:cs="宋体"/>
          <w:color w:val="auto"/>
          <w:sz w:val="21"/>
          <w:szCs w:val="21"/>
          <w:lang w:eastAsia="zh-CN" w:bidi="ar-SA"/>
        </w:rPr>
      </w:pPr>
    </w:p>
    <w:p w14:paraId="233379BE">
      <w:pPr>
        <w:spacing w:line="360" w:lineRule="auto"/>
        <w:ind w:firstLine="3456" w:firstLineChars="1440"/>
        <w:jc w:val="both"/>
        <w:rPr>
          <w:rFonts w:hint="eastAsia" w:ascii="宋体" w:hAnsi="宋体" w:eastAsia="宋体"/>
          <w:color w:val="auto"/>
          <w:kern w:val="2"/>
          <w:lang w:eastAsia="zh-CN" w:bidi="ar-SA"/>
        </w:rPr>
      </w:pPr>
      <w:r>
        <w:rPr>
          <w:rFonts w:ascii="宋体" w:hAnsi="宋体" w:eastAsia="宋体"/>
          <w:color w:val="auto"/>
          <w:kern w:val="2"/>
          <w:lang w:eastAsia="zh-CN" w:bidi="ar-SA"/>
        </w:rPr>
        <w:t>投 标 人：</w:t>
      </w:r>
      <w:r>
        <w:rPr>
          <w:rFonts w:ascii="宋体" w:hAnsi="宋体" w:eastAsia="宋体"/>
          <w:color w:val="auto"/>
          <w:kern w:val="2"/>
          <w:u w:val="single"/>
          <w:lang w:eastAsia="zh-CN" w:bidi="ar-SA"/>
        </w:rPr>
        <w:t xml:space="preserve">   </w:t>
      </w:r>
      <w:r>
        <w:rPr>
          <w:rFonts w:hint="eastAsia" w:ascii="宋体" w:hAnsi="宋体" w:eastAsia="宋体"/>
          <w:color w:val="auto"/>
          <w:kern w:val="2"/>
          <w:u w:val="single"/>
          <w:lang w:eastAsia="zh-CN" w:bidi="ar-SA"/>
        </w:rPr>
        <w:t>（加盖投标人单位电子公章）</w:t>
      </w:r>
      <w:r>
        <w:rPr>
          <w:rFonts w:ascii="宋体" w:hAnsi="宋体" w:eastAsia="宋体"/>
          <w:color w:val="auto"/>
          <w:kern w:val="2"/>
          <w:u w:val="single"/>
          <w:lang w:eastAsia="zh-CN" w:bidi="ar-SA"/>
        </w:rPr>
        <w:t xml:space="preserve">     </w:t>
      </w:r>
    </w:p>
    <w:p w14:paraId="53AC2E73">
      <w:pPr>
        <w:wordWrap w:val="0"/>
        <w:spacing w:line="360" w:lineRule="auto"/>
        <w:jc w:val="center"/>
        <w:rPr>
          <w:rFonts w:hint="eastAsia" w:ascii="宋体" w:hAnsi="宋体" w:eastAsia="宋体"/>
          <w:color w:val="auto"/>
          <w:kern w:val="2"/>
          <w:u w:val="single"/>
          <w:lang w:eastAsia="zh-CN" w:bidi="ar-SA"/>
        </w:rPr>
        <w:sectPr>
          <w:footnotePr>
            <w:numFmt w:val="decimalEnclosedCircleChinese"/>
            <w:numRestart w:val="eachPage"/>
          </w:footnotePr>
          <w:pgSz w:w="11906" w:h="16838"/>
          <w:pgMar w:top="1418" w:right="1588" w:bottom="1418" w:left="1588" w:header="680" w:footer="992" w:gutter="0"/>
          <w:cols w:space="720" w:num="1"/>
          <w:docGrid w:linePitch="326" w:charSpace="0"/>
        </w:sectPr>
      </w:pPr>
      <w:r>
        <w:rPr>
          <w:rFonts w:hint="eastAsia" w:ascii="宋体" w:hAnsi="宋体" w:eastAsia="宋体"/>
          <w:color w:val="auto"/>
          <w:kern w:val="2"/>
          <w:lang w:eastAsia="zh-CN" w:bidi="ar-SA"/>
        </w:rPr>
        <w:t xml:space="preserve"> </w:t>
      </w:r>
      <w:r>
        <w:rPr>
          <w:rFonts w:ascii="宋体" w:hAnsi="宋体" w:eastAsia="宋体"/>
          <w:color w:val="auto"/>
          <w:kern w:val="2"/>
          <w:lang w:eastAsia="zh-CN" w:bidi="ar-SA"/>
        </w:rPr>
        <w:t xml:space="preserve">                          法定代表人：</w:t>
      </w:r>
      <w:r>
        <w:rPr>
          <w:rFonts w:ascii="宋体" w:hAnsi="宋体" w:eastAsia="宋体"/>
          <w:color w:val="auto"/>
          <w:kern w:val="2"/>
          <w:u w:val="single"/>
          <w:lang w:eastAsia="zh-CN" w:bidi="ar-SA"/>
        </w:rPr>
        <w:t xml:space="preserve"> </w:t>
      </w:r>
      <w:r>
        <w:rPr>
          <w:rFonts w:hint="eastAsia" w:ascii="宋体" w:hAnsi="宋体" w:eastAsia="宋体"/>
          <w:color w:val="auto"/>
          <w:kern w:val="2"/>
          <w:u w:val="single"/>
          <w:lang w:eastAsia="zh-CN" w:bidi="ar-SA"/>
        </w:rPr>
        <w:t xml:space="preserve">（加盖法定代表人电子签名） </w:t>
      </w:r>
      <w:r>
        <w:rPr>
          <w:rFonts w:ascii="宋体" w:hAnsi="宋体" w:eastAsia="宋体"/>
          <w:color w:val="auto"/>
          <w:kern w:val="2"/>
          <w:u w:val="single"/>
          <w:lang w:eastAsia="zh-CN" w:bidi="ar-SA"/>
        </w:rPr>
        <w:t xml:space="preserve">   </w:t>
      </w:r>
    </w:p>
    <w:p w14:paraId="058081F2">
      <w:pPr>
        <w:jc w:val="center"/>
        <w:rPr>
          <w:rFonts w:hint="eastAsia" w:cs="宋体" w:asciiTheme="minorEastAsia" w:hAnsiTheme="minorEastAsia" w:eastAsiaTheme="minorEastAsia"/>
          <w:b/>
          <w:bCs/>
          <w:color w:val="auto"/>
          <w:lang w:eastAsia="zh-CN" w:bidi="ar-SA"/>
        </w:rPr>
      </w:pPr>
      <w:r>
        <w:rPr>
          <w:rFonts w:cs="宋体" w:asciiTheme="minorEastAsia" w:hAnsiTheme="minorEastAsia" w:eastAsiaTheme="minorEastAsia"/>
          <w:b/>
          <w:bCs/>
          <w:color w:val="auto"/>
          <w:lang w:eastAsia="zh-CN" w:bidi="ar-SA"/>
        </w:rPr>
        <w:t>4</w:t>
      </w:r>
      <w:r>
        <w:rPr>
          <w:rFonts w:hint="eastAsia" w:cs="宋体" w:asciiTheme="minorEastAsia" w:hAnsiTheme="minorEastAsia" w:eastAsiaTheme="minorEastAsia"/>
          <w:b/>
          <w:bCs/>
          <w:color w:val="auto"/>
          <w:lang w:eastAsia="zh-CN" w:bidi="ar-SA"/>
        </w:rPr>
        <w:t>-</w:t>
      </w:r>
      <w:r>
        <w:rPr>
          <w:rFonts w:cs="宋体" w:asciiTheme="minorEastAsia" w:hAnsiTheme="minorEastAsia" w:eastAsiaTheme="minorEastAsia"/>
          <w:b/>
          <w:bCs/>
          <w:color w:val="auto"/>
          <w:lang w:eastAsia="zh-CN" w:bidi="ar-SA"/>
        </w:rPr>
        <w:t>2 拟委任的</w:t>
      </w:r>
      <w:r>
        <w:rPr>
          <w:rFonts w:hint="eastAsia" w:cs="宋体" w:asciiTheme="minorEastAsia" w:hAnsiTheme="minorEastAsia" w:eastAsiaTheme="minorEastAsia"/>
          <w:b/>
          <w:bCs/>
          <w:color w:val="auto"/>
          <w:lang w:eastAsia="zh-CN" w:bidi="ar-SA"/>
        </w:rPr>
        <w:t>其他人员</w:t>
      </w:r>
      <w:r>
        <w:rPr>
          <w:rFonts w:cs="宋体" w:asciiTheme="minorEastAsia" w:hAnsiTheme="minorEastAsia" w:eastAsiaTheme="minorEastAsia"/>
          <w:b/>
          <w:bCs/>
          <w:color w:val="auto"/>
          <w:lang w:eastAsia="zh-CN" w:bidi="ar-SA"/>
        </w:rPr>
        <w:t>资历表</w:t>
      </w:r>
    </w:p>
    <w:tbl>
      <w:tblPr>
        <w:tblStyle w:val="47"/>
        <w:tblW w:w="864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7"/>
        <w:gridCol w:w="1195"/>
        <w:gridCol w:w="299"/>
        <w:gridCol w:w="935"/>
        <w:gridCol w:w="1483"/>
        <w:gridCol w:w="332"/>
        <w:gridCol w:w="1530"/>
        <w:gridCol w:w="379"/>
        <w:gridCol w:w="1274"/>
      </w:tblGrid>
      <w:tr w14:paraId="785881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31" w:hRule="exact"/>
        </w:trPr>
        <w:tc>
          <w:tcPr>
            <w:tcW w:w="1217" w:type="dxa"/>
            <w:vAlign w:val="center"/>
          </w:tcPr>
          <w:p w14:paraId="2E05CC4D">
            <w:pPr>
              <w:jc w:val="center"/>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姓名</w:t>
            </w:r>
          </w:p>
        </w:tc>
        <w:tc>
          <w:tcPr>
            <w:tcW w:w="1494" w:type="dxa"/>
            <w:gridSpan w:val="2"/>
            <w:vAlign w:val="center"/>
          </w:tcPr>
          <w:p w14:paraId="2F7B5FF8">
            <w:pPr>
              <w:jc w:val="center"/>
              <w:rPr>
                <w:rFonts w:hint="eastAsia" w:ascii="宋体" w:hAnsi="宋体" w:eastAsia="宋体"/>
                <w:color w:val="auto"/>
                <w:sz w:val="21"/>
                <w:szCs w:val="21"/>
                <w:lang w:eastAsia="zh-CN" w:bidi="ar-SA"/>
              </w:rPr>
            </w:pPr>
          </w:p>
        </w:tc>
        <w:tc>
          <w:tcPr>
            <w:tcW w:w="935" w:type="dxa"/>
            <w:vAlign w:val="center"/>
          </w:tcPr>
          <w:p w14:paraId="2B1D7733">
            <w:pPr>
              <w:jc w:val="center"/>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年</w:t>
            </w:r>
            <w:r>
              <w:rPr>
                <w:rFonts w:hint="eastAsia" w:ascii="宋体" w:hAnsi="宋体" w:eastAsia="宋体"/>
                <w:color w:val="auto"/>
                <w:sz w:val="21"/>
                <w:szCs w:val="21"/>
                <w:lang w:eastAsia="zh-CN" w:bidi="ar-SA"/>
              </w:rPr>
              <w:t xml:space="preserve">  </w:t>
            </w:r>
            <w:r>
              <w:rPr>
                <w:rFonts w:ascii="宋体" w:hAnsi="宋体" w:eastAsia="宋体"/>
                <w:color w:val="auto"/>
                <w:sz w:val="21"/>
                <w:szCs w:val="21"/>
                <w:lang w:eastAsia="zh-CN" w:bidi="ar-SA"/>
              </w:rPr>
              <w:t>龄</w:t>
            </w:r>
          </w:p>
        </w:tc>
        <w:tc>
          <w:tcPr>
            <w:tcW w:w="1483" w:type="dxa"/>
            <w:vAlign w:val="center"/>
          </w:tcPr>
          <w:p w14:paraId="2472ABA8">
            <w:pPr>
              <w:jc w:val="center"/>
              <w:rPr>
                <w:rFonts w:hint="eastAsia" w:ascii="宋体" w:hAnsi="宋体" w:eastAsia="宋体"/>
                <w:color w:val="auto"/>
                <w:sz w:val="21"/>
                <w:szCs w:val="21"/>
                <w:lang w:eastAsia="zh-CN" w:bidi="ar-SA"/>
              </w:rPr>
            </w:pPr>
          </w:p>
        </w:tc>
        <w:tc>
          <w:tcPr>
            <w:tcW w:w="1862" w:type="dxa"/>
            <w:gridSpan w:val="2"/>
            <w:vAlign w:val="center"/>
          </w:tcPr>
          <w:p w14:paraId="5E30147C">
            <w:pPr>
              <w:jc w:val="center"/>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执业或职业</w:t>
            </w:r>
          </w:p>
          <w:p w14:paraId="758ECBAF">
            <w:pPr>
              <w:jc w:val="center"/>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资格证书名称</w:t>
            </w:r>
          </w:p>
        </w:tc>
        <w:tc>
          <w:tcPr>
            <w:tcW w:w="1653" w:type="dxa"/>
            <w:gridSpan w:val="2"/>
            <w:vAlign w:val="center"/>
          </w:tcPr>
          <w:p w14:paraId="0228F555">
            <w:pPr>
              <w:jc w:val="center"/>
              <w:rPr>
                <w:rFonts w:hint="eastAsia" w:ascii="宋体" w:hAnsi="宋体" w:eastAsia="宋体"/>
                <w:color w:val="auto"/>
                <w:sz w:val="21"/>
                <w:szCs w:val="21"/>
                <w:lang w:eastAsia="zh-CN" w:bidi="ar-SA"/>
              </w:rPr>
            </w:pPr>
          </w:p>
        </w:tc>
      </w:tr>
      <w:tr w14:paraId="28DE90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1" w:hRule="exact"/>
        </w:trPr>
        <w:tc>
          <w:tcPr>
            <w:tcW w:w="1217" w:type="dxa"/>
            <w:vAlign w:val="center"/>
          </w:tcPr>
          <w:p w14:paraId="767FA505">
            <w:pPr>
              <w:jc w:val="center"/>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技术职称</w:t>
            </w:r>
          </w:p>
        </w:tc>
        <w:tc>
          <w:tcPr>
            <w:tcW w:w="1494" w:type="dxa"/>
            <w:gridSpan w:val="2"/>
            <w:vAlign w:val="center"/>
          </w:tcPr>
          <w:p w14:paraId="19EAA721">
            <w:pPr>
              <w:ind w:firstLine="420"/>
              <w:jc w:val="center"/>
              <w:rPr>
                <w:rFonts w:hint="eastAsia" w:ascii="宋体" w:hAnsi="宋体" w:eastAsia="宋体"/>
                <w:color w:val="auto"/>
                <w:sz w:val="21"/>
                <w:szCs w:val="21"/>
                <w:lang w:eastAsia="zh-CN" w:bidi="ar-SA"/>
              </w:rPr>
            </w:pPr>
          </w:p>
        </w:tc>
        <w:tc>
          <w:tcPr>
            <w:tcW w:w="935" w:type="dxa"/>
            <w:vAlign w:val="center"/>
          </w:tcPr>
          <w:p w14:paraId="5A1A6FA2">
            <w:pPr>
              <w:jc w:val="cente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 xml:space="preserve">学  </w:t>
            </w:r>
            <w:r>
              <w:rPr>
                <w:rFonts w:ascii="宋体" w:hAnsi="宋体" w:eastAsia="宋体"/>
                <w:color w:val="auto"/>
                <w:sz w:val="21"/>
                <w:szCs w:val="21"/>
                <w:lang w:eastAsia="zh-CN" w:bidi="ar-SA"/>
              </w:rPr>
              <w:t>历</w:t>
            </w:r>
          </w:p>
        </w:tc>
        <w:tc>
          <w:tcPr>
            <w:tcW w:w="1483" w:type="dxa"/>
            <w:vAlign w:val="center"/>
          </w:tcPr>
          <w:p w14:paraId="4339811A">
            <w:pPr>
              <w:ind w:firstLine="420"/>
              <w:jc w:val="center"/>
              <w:rPr>
                <w:rFonts w:hint="eastAsia" w:ascii="宋体" w:hAnsi="宋体" w:eastAsia="宋体"/>
                <w:color w:val="auto"/>
                <w:sz w:val="21"/>
                <w:szCs w:val="21"/>
                <w:lang w:eastAsia="zh-CN" w:bidi="ar-SA"/>
              </w:rPr>
            </w:pPr>
          </w:p>
        </w:tc>
        <w:tc>
          <w:tcPr>
            <w:tcW w:w="1862" w:type="dxa"/>
            <w:gridSpan w:val="2"/>
            <w:vAlign w:val="center"/>
          </w:tcPr>
          <w:p w14:paraId="101AA7D4">
            <w:pPr>
              <w:jc w:val="center"/>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拟在本标段</w:t>
            </w:r>
          </w:p>
          <w:p w14:paraId="69A51A46">
            <w:pPr>
              <w:jc w:val="center"/>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任职</w:t>
            </w:r>
          </w:p>
        </w:tc>
        <w:tc>
          <w:tcPr>
            <w:tcW w:w="1653" w:type="dxa"/>
            <w:gridSpan w:val="2"/>
            <w:vAlign w:val="center"/>
          </w:tcPr>
          <w:p w14:paraId="7DEDDA59">
            <w:pPr>
              <w:ind w:firstLine="420"/>
              <w:jc w:val="center"/>
              <w:rPr>
                <w:rFonts w:hint="eastAsia" w:ascii="宋体" w:hAnsi="宋体" w:eastAsia="宋体"/>
                <w:color w:val="auto"/>
                <w:sz w:val="21"/>
                <w:szCs w:val="21"/>
                <w:lang w:eastAsia="zh-CN" w:bidi="ar-SA"/>
              </w:rPr>
            </w:pPr>
          </w:p>
        </w:tc>
      </w:tr>
      <w:tr w14:paraId="306923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exact"/>
        </w:trPr>
        <w:tc>
          <w:tcPr>
            <w:tcW w:w="1217" w:type="dxa"/>
            <w:vAlign w:val="center"/>
          </w:tcPr>
          <w:p w14:paraId="7D50D444">
            <w:pPr>
              <w:jc w:val="center"/>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工作年限</w:t>
            </w:r>
          </w:p>
        </w:tc>
        <w:tc>
          <w:tcPr>
            <w:tcW w:w="3912" w:type="dxa"/>
            <w:gridSpan w:val="4"/>
            <w:vAlign w:val="center"/>
          </w:tcPr>
          <w:p w14:paraId="20EC3FEC">
            <w:pPr>
              <w:ind w:firstLine="420"/>
              <w:jc w:val="center"/>
              <w:rPr>
                <w:rFonts w:hint="eastAsia" w:ascii="宋体" w:hAnsi="宋体" w:eastAsia="宋体"/>
                <w:color w:val="auto"/>
                <w:sz w:val="21"/>
                <w:szCs w:val="21"/>
                <w:lang w:eastAsia="zh-CN" w:bidi="ar-SA"/>
              </w:rPr>
            </w:pPr>
          </w:p>
        </w:tc>
        <w:tc>
          <w:tcPr>
            <w:tcW w:w="1862" w:type="dxa"/>
            <w:gridSpan w:val="2"/>
            <w:vAlign w:val="center"/>
          </w:tcPr>
          <w:p w14:paraId="225D0718">
            <w:pPr>
              <w:jc w:val="center"/>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从事</w:t>
            </w:r>
            <w:r>
              <w:rPr>
                <w:rFonts w:hint="eastAsia" w:ascii="宋体" w:hAnsi="宋体" w:eastAsia="宋体"/>
                <w:color w:val="auto"/>
                <w:sz w:val="21"/>
                <w:szCs w:val="21"/>
                <w:lang w:eastAsia="zh-CN" w:bidi="ar-SA"/>
              </w:rPr>
              <w:t>监理</w:t>
            </w:r>
          </w:p>
          <w:p w14:paraId="65E5ECB2">
            <w:pPr>
              <w:jc w:val="center"/>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工作年限</w:t>
            </w:r>
          </w:p>
        </w:tc>
        <w:tc>
          <w:tcPr>
            <w:tcW w:w="1653" w:type="dxa"/>
            <w:gridSpan w:val="2"/>
            <w:vAlign w:val="center"/>
          </w:tcPr>
          <w:p w14:paraId="40B665B8">
            <w:pPr>
              <w:ind w:firstLine="420"/>
              <w:jc w:val="center"/>
              <w:rPr>
                <w:rFonts w:hint="eastAsia" w:ascii="宋体" w:hAnsi="宋体" w:eastAsia="宋体"/>
                <w:color w:val="auto"/>
                <w:sz w:val="21"/>
                <w:szCs w:val="21"/>
                <w:lang w:eastAsia="zh-CN" w:bidi="ar-SA"/>
              </w:rPr>
            </w:pPr>
          </w:p>
        </w:tc>
      </w:tr>
      <w:tr w14:paraId="1DCDE8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exact"/>
        </w:trPr>
        <w:tc>
          <w:tcPr>
            <w:tcW w:w="1217" w:type="dxa"/>
            <w:vAlign w:val="center"/>
          </w:tcPr>
          <w:p w14:paraId="4C8D69C5">
            <w:pPr>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毕业学校</w:t>
            </w:r>
          </w:p>
        </w:tc>
        <w:tc>
          <w:tcPr>
            <w:tcW w:w="7427" w:type="dxa"/>
            <w:gridSpan w:val="8"/>
            <w:vAlign w:val="center"/>
          </w:tcPr>
          <w:p w14:paraId="681F8F6B">
            <w:pPr>
              <w:ind w:firstLine="420"/>
              <w:jc w:val="center"/>
              <w:rPr>
                <w:rFonts w:hint="eastAsia" w:ascii="宋体" w:hAnsi="宋体" w:eastAsia="宋体"/>
                <w:color w:val="auto"/>
                <w:sz w:val="21"/>
                <w:szCs w:val="21"/>
                <w:lang w:eastAsia="zh-CN" w:bidi="ar-SA"/>
              </w:rPr>
            </w:pPr>
            <w:r>
              <w:rPr>
                <w:rFonts w:hint="eastAsia" w:ascii="宋体" w:hAnsi="宋体" w:eastAsia="宋体"/>
                <w:color w:val="auto"/>
                <w:sz w:val="21"/>
                <w:szCs w:val="21"/>
                <w:u w:val="single"/>
                <w:lang w:eastAsia="zh-CN" w:bidi="ar-SA"/>
              </w:rPr>
              <w:t xml:space="preserve">     </w:t>
            </w:r>
            <w:r>
              <w:rPr>
                <w:rFonts w:ascii="宋体" w:hAnsi="宋体" w:eastAsia="宋体"/>
                <w:color w:val="auto"/>
                <w:sz w:val="21"/>
                <w:szCs w:val="21"/>
                <w:lang w:eastAsia="zh-CN" w:bidi="ar-SA"/>
              </w:rPr>
              <w:t>年</w:t>
            </w:r>
            <w:r>
              <w:rPr>
                <w:rFonts w:hint="eastAsia" w:ascii="宋体" w:hAnsi="宋体" w:eastAsia="宋体"/>
                <w:color w:val="auto"/>
                <w:sz w:val="21"/>
                <w:szCs w:val="21"/>
                <w:u w:val="single"/>
                <w:lang w:eastAsia="zh-CN" w:bidi="ar-SA"/>
              </w:rPr>
              <w:t xml:space="preserve">    </w:t>
            </w:r>
            <w:r>
              <w:rPr>
                <w:rFonts w:ascii="宋体" w:hAnsi="宋体" w:eastAsia="宋体"/>
                <w:color w:val="auto"/>
                <w:sz w:val="21"/>
                <w:szCs w:val="21"/>
                <w:lang w:eastAsia="zh-CN" w:bidi="ar-SA"/>
              </w:rPr>
              <w:t>月毕业于</w:t>
            </w:r>
            <w:r>
              <w:rPr>
                <w:rFonts w:ascii="宋体" w:hAnsi="宋体" w:eastAsia="宋体"/>
                <w:color w:val="auto"/>
                <w:sz w:val="21"/>
                <w:szCs w:val="21"/>
                <w:u w:val="single"/>
                <w:lang w:eastAsia="zh-CN" w:bidi="ar-SA"/>
              </w:rPr>
              <w:t xml:space="preserve"> </w:t>
            </w:r>
            <w:r>
              <w:rPr>
                <w:rFonts w:hint="eastAsia" w:ascii="宋体" w:hAnsi="宋体" w:eastAsia="宋体"/>
                <w:color w:val="auto"/>
                <w:sz w:val="21"/>
                <w:szCs w:val="21"/>
                <w:u w:val="single"/>
                <w:lang w:eastAsia="zh-CN" w:bidi="ar-SA"/>
              </w:rPr>
              <w:t xml:space="preserve">          </w:t>
            </w:r>
            <w:r>
              <w:rPr>
                <w:rFonts w:ascii="宋体" w:hAnsi="宋体" w:eastAsia="宋体"/>
                <w:color w:val="auto"/>
                <w:sz w:val="21"/>
                <w:szCs w:val="21"/>
                <w:lang w:eastAsia="zh-CN" w:bidi="ar-SA"/>
              </w:rPr>
              <w:t>学校</w:t>
            </w:r>
            <w:r>
              <w:rPr>
                <w:rFonts w:hint="eastAsia" w:ascii="宋体" w:hAnsi="宋体" w:eastAsia="宋体"/>
                <w:color w:val="auto"/>
                <w:sz w:val="21"/>
                <w:szCs w:val="21"/>
                <w:u w:val="single"/>
                <w:lang w:eastAsia="zh-CN" w:bidi="ar-SA"/>
              </w:rPr>
              <w:t xml:space="preserve">        </w:t>
            </w:r>
            <w:r>
              <w:rPr>
                <w:rFonts w:ascii="宋体" w:hAnsi="宋体" w:eastAsia="宋体"/>
                <w:color w:val="auto"/>
                <w:sz w:val="21"/>
                <w:szCs w:val="21"/>
                <w:lang w:eastAsia="zh-CN" w:bidi="ar-SA"/>
              </w:rPr>
              <w:t>专业，学制</w:t>
            </w:r>
            <w:r>
              <w:rPr>
                <w:rFonts w:hint="eastAsia" w:ascii="宋体" w:hAnsi="宋体" w:eastAsia="宋体"/>
                <w:color w:val="auto"/>
                <w:sz w:val="21"/>
                <w:szCs w:val="21"/>
                <w:u w:val="single"/>
                <w:lang w:eastAsia="zh-CN" w:bidi="ar-SA"/>
              </w:rPr>
              <w:t xml:space="preserve">   </w:t>
            </w:r>
            <w:r>
              <w:rPr>
                <w:rFonts w:ascii="宋体" w:hAnsi="宋体" w:eastAsia="宋体"/>
                <w:color w:val="auto"/>
                <w:sz w:val="21"/>
                <w:szCs w:val="21"/>
                <w:lang w:eastAsia="zh-CN" w:bidi="ar-SA"/>
              </w:rPr>
              <w:t>年</w:t>
            </w:r>
          </w:p>
        </w:tc>
      </w:tr>
      <w:tr w14:paraId="64C61F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exact"/>
        </w:trPr>
        <w:tc>
          <w:tcPr>
            <w:tcW w:w="8644" w:type="dxa"/>
            <w:gridSpan w:val="9"/>
            <w:vAlign w:val="center"/>
          </w:tcPr>
          <w:p w14:paraId="7F5B1874">
            <w:pPr>
              <w:ind w:firstLine="420"/>
              <w:jc w:val="cente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经   历</w:t>
            </w:r>
          </w:p>
        </w:tc>
      </w:tr>
      <w:tr w14:paraId="25B595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0" w:hRule="exact"/>
        </w:trPr>
        <w:tc>
          <w:tcPr>
            <w:tcW w:w="1217" w:type="dxa"/>
            <w:vAlign w:val="center"/>
          </w:tcPr>
          <w:p w14:paraId="1FB0EAEC">
            <w:pPr>
              <w:ind w:firstLine="210" w:firstLineChars="100"/>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时  间</w:t>
            </w:r>
          </w:p>
        </w:tc>
        <w:tc>
          <w:tcPr>
            <w:tcW w:w="4244" w:type="dxa"/>
            <w:gridSpan w:val="5"/>
            <w:vAlign w:val="center"/>
          </w:tcPr>
          <w:p w14:paraId="61313467">
            <w:pPr>
              <w:ind w:firstLine="420"/>
              <w:jc w:val="center"/>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参加过的类似项目名称</w:t>
            </w:r>
          </w:p>
        </w:tc>
        <w:tc>
          <w:tcPr>
            <w:tcW w:w="1909" w:type="dxa"/>
            <w:gridSpan w:val="2"/>
            <w:vAlign w:val="center"/>
          </w:tcPr>
          <w:p w14:paraId="37B43700">
            <w:pPr>
              <w:ind w:firstLine="420"/>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担任职务</w:t>
            </w:r>
          </w:p>
        </w:tc>
        <w:tc>
          <w:tcPr>
            <w:tcW w:w="1274" w:type="dxa"/>
            <w:vAlign w:val="center"/>
          </w:tcPr>
          <w:p w14:paraId="17AEBDD7">
            <w:pPr>
              <w:jc w:val="center"/>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委托人及联系电话</w:t>
            </w:r>
          </w:p>
        </w:tc>
      </w:tr>
      <w:tr w14:paraId="56A511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exact"/>
        </w:trPr>
        <w:tc>
          <w:tcPr>
            <w:tcW w:w="1217" w:type="dxa"/>
            <w:vAlign w:val="center"/>
          </w:tcPr>
          <w:p w14:paraId="42346840">
            <w:pPr>
              <w:jc w:val="center"/>
              <w:rPr>
                <w:rFonts w:hint="eastAsia" w:ascii="宋体" w:hAnsi="宋体" w:eastAsia="宋体"/>
                <w:color w:val="auto"/>
                <w:sz w:val="21"/>
                <w:szCs w:val="21"/>
                <w:lang w:eastAsia="zh-CN" w:bidi="ar-SA"/>
              </w:rPr>
            </w:pPr>
          </w:p>
        </w:tc>
        <w:tc>
          <w:tcPr>
            <w:tcW w:w="4244" w:type="dxa"/>
            <w:gridSpan w:val="5"/>
            <w:vAlign w:val="center"/>
          </w:tcPr>
          <w:p w14:paraId="6F902D8C">
            <w:pPr>
              <w:jc w:val="center"/>
              <w:rPr>
                <w:rFonts w:hint="eastAsia" w:ascii="宋体" w:hAnsi="宋体" w:eastAsia="宋体"/>
                <w:color w:val="auto"/>
                <w:sz w:val="21"/>
                <w:szCs w:val="21"/>
                <w:lang w:eastAsia="zh-CN" w:bidi="ar-SA"/>
              </w:rPr>
            </w:pPr>
          </w:p>
        </w:tc>
        <w:tc>
          <w:tcPr>
            <w:tcW w:w="1909" w:type="dxa"/>
            <w:gridSpan w:val="2"/>
            <w:vAlign w:val="center"/>
          </w:tcPr>
          <w:p w14:paraId="09304CF2">
            <w:pPr>
              <w:jc w:val="center"/>
              <w:rPr>
                <w:rFonts w:hint="eastAsia" w:ascii="宋体" w:hAnsi="宋体" w:eastAsia="宋体"/>
                <w:color w:val="auto"/>
                <w:sz w:val="21"/>
                <w:szCs w:val="21"/>
                <w:lang w:eastAsia="zh-CN" w:bidi="ar-SA"/>
              </w:rPr>
            </w:pPr>
          </w:p>
        </w:tc>
        <w:tc>
          <w:tcPr>
            <w:tcW w:w="1274" w:type="dxa"/>
            <w:vAlign w:val="center"/>
          </w:tcPr>
          <w:p w14:paraId="1D04A7C6">
            <w:pPr>
              <w:jc w:val="center"/>
              <w:rPr>
                <w:rFonts w:hint="eastAsia" w:ascii="宋体" w:hAnsi="宋体" w:eastAsia="宋体"/>
                <w:color w:val="auto"/>
                <w:sz w:val="21"/>
                <w:szCs w:val="21"/>
                <w:lang w:eastAsia="zh-CN" w:bidi="ar-SA"/>
              </w:rPr>
            </w:pPr>
          </w:p>
        </w:tc>
      </w:tr>
      <w:tr w14:paraId="4206D7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trPr>
        <w:tc>
          <w:tcPr>
            <w:tcW w:w="1217" w:type="dxa"/>
            <w:vAlign w:val="center"/>
          </w:tcPr>
          <w:p w14:paraId="15A99CA7">
            <w:pPr>
              <w:jc w:val="center"/>
              <w:rPr>
                <w:rFonts w:hint="eastAsia" w:ascii="宋体" w:hAnsi="宋体" w:eastAsia="宋体"/>
                <w:color w:val="auto"/>
                <w:sz w:val="21"/>
                <w:szCs w:val="21"/>
                <w:lang w:eastAsia="zh-CN" w:bidi="ar-SA"/>
              </w:rPr>
            </w:pPr>
          </w:p>
        </w:tc>
        <w:tc>
          <w:tcPr>
            <w:tcW w:w="4244" w:type="dxa"/>
            <w:gridSpan w:val="5"/>
            <w:vAlign w:val="center"/>
          </w:tcPr>
          <w:p w14:paraId="26EB73B5">
            <w:pPr>
              <w:jc w:val="center"/>
              <w:rPr>
                <w:rFonts w:hint="eastAsia" w:ascii="宋体" w:hAnsi="宋体" w:eastAsia="宋体"/>
                <w:color w:val="auto"/>
                <w:sz w:val="21"/>
                <w:szCs w:val="21"/>
                <w:lang w:eastAsia="zh-CN" w:bidi="ar-SA"/>
              </w:rPr>
            </w:pPr>
          </w:p>
        </w:tc>
        <w:tc>
          <w:tcPr>
            <w:tcW w:w="1909" w:type="dxa"/>
            <w:gridSpan w:val="2"/>
            <w:vAlign w:val="center"/>
          </w:tcPr>
          <w:p w14:paraId="31C2B3B5">
            <w:pPr>
              <w:jc w:val="center"/>
              <w:rPr>
                <w:rFonts w:hint="eastAsia" w:ascii="宋体" w:hAnsi="宋体" w:eastAsia="宋体"/>
                <w:color w:val="auto"/>
                <w:sz w:val="21"/>
                <w:szCs w:val="21"/>
                <w:lang w:eastAsia="zh-CN" w:bidi="ar-SA"/>
              </w:rPr>
            </w:pPr>
          </w:p>
        </w:tc>
        <w:tc>
          <w:tcPr>
            <w:tcW w:w="1274" w:type="dxa"/>
            <w:vAlign w:val="center"/>
          </w:tcPr>
          <w:p w14:paraId="1574EF23">
            <w:pPr>
              <w:jc w:val="center"/>
              <w:rPr>
                <w:rFonts w:hint="eastAsia" w:ascii="宋体" w:hAnsi="宋体" w:eastAsia="宋体"/>
                <w:color w:val="auto"/>
                <w:sz w:val="21"/>
                <w:szCs w:val="21"/>
                <w:lang w:eastAsia="zh-CN" w:bidi="ar-SA"/>
              </w:rPr>
            </w:pPr>
          </w:p>
        </w:tc>
      </w:tr>
      <w:tr w14:paraId="3DD0B3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trPr>
        <w:tc>
          <w:tcPr>
            <w:tcW w:w="1217" w:type="dxa"/>
            <w:vAlign w:val="center"/>
          </w:tcPr>
          <w:p w14:paraId="1B73DBB2">
            <w:pPr>
              <w:jc w:val="center"/>
              <w:rPr>
                <w:rFonts w:hint="eastAsia" w:ascii="宋体" w:hAnsi="宋体" w:eastAsia="宋体"/>
                <w:color w:val="auto"/>
                <w:sz w:val="21"/>
                <w:szCs w:val="21"/>
                <w:lang w:eastAsia="zh-CN" w:bidi="ar-SA"/>
              </w:rPr>
            </w:pPr>
          </w:p>
        </w:tc>
        <w:tc>
          <w:tcPr>
            <w:tcW w:w="4244" w:type="dxa"/>
            <w:gridSpan w:val="5"/>
            <w:vAlign w:val="center"/>
          </w:tcPr>
          <w:p w14:paraId="46BFFF53">
            <w:pPr>
              <w:jc w:val="center"/>
              <w:rPr>
                <w:rFonts w:hint="eastAsia" w:ascii="宋体" w:hAnsi="宋体" w:eastAsia="宋体"/>
                <w:color w:val="auto"/>
                <w:sz w:val="21"/>
                <w:szCs w:val="21"/>
                <w:lang w:eastAsia="zh-CN" w:bidi="ar-SA"/>
              </w:rPr>
            </w:pPr>
          </w:p>
        </w:tc>
        <w:tc>
          <w:tcPr>
            <w:tcW w:w="1909" w:type="dxa"/>
            <w:gridSpan w:val="2"/>
            <w:vAlign w:val="center"/>
          </w:tcPr>
          <w:p w14:paraId="4EB2EDD1">
            <w:pPr>
              <w:jc w:val="center"/>
              <w:rPr>
                <w:rFonts w:hint="eastAsia" w:ascii="宋体" w:hAnsi="宋体" w:eastAsia="宋体"/>
                <w:color w:val="auto"/>
                <w:sz w:val="21"/>
                <w:szCs w:val="21"/>
                <w:lang w:eastAsia="zh-CN" w:bidi="ar-SA"/>
              </w:rPr>
            </w:pPr>
          </w:p>
        </w:tc>
        <w:tc>
          <w:tcPr>
            <w:tcW w:w="1274" w:type="dxa"/>
            <w:vAlign w:val="center"/>
          </w:tcPr>
          <w:p w14:paraId="415A3C86">
            <w:pPr>
              <w:jc w:val="center"/>
              <w:rPr>
                <w:rFonts w:hint="eastAsia" w:ascii="宋体" w:hAnsi="宋体" w:eastAsia="宋体"/>
                <w:color w:val="auto"/>
                <w:sz w:val="21"/>
                <w:szCs w:val="21"/>
                <w:lang w:eastAsia="zh-CN" w:bidi="ar-SA"/>
              </w:rPr>
            </w:pPr>
          </w:p>
        </w:tc>
      </w:tr>
      <w:tr w14:paraId="0DB4CE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0" w:hRule="exact"/>
        </w:trPr>
        <w:tc>
          <w:tcPr>
            <w:tcW w:w="2412" w:type="dxa"/>
            <w:gridSpan w:val="2"/>
            <w:vAlign w:val="center"/>
          </w:tcPr>
          <w:p w14:paraId="0A73BECC">
            <w:pPr>
              <w:jc w:val="center"/>
              <w:rPr>
                <w:rFonts w:hint="eastAsia" w:ascii="宋体" w:hAnsi="宋体" w:eastAsia="宋体"/>
                <w:color w:val="auto"/>
                <w:sz w:val="21"/>
                <w:szCs w:val="21"/>
                <w:lang w:eastAsia="zh-CN" w:bidi="ar-SA"/>
              </w:rPr>
            </w:pPr>
            <w:r>
              <w:rPr>
                <w:rFonts w:ascii="宋体" w:hAnsi="宋体" w:eastAsia="宋体"/>
                <w:color w:val="auto"/>
                <w:sz w:val="21"/>
                <w:szCs w:val="21"/>
                <w:lang w:eastAsia="zh-CN" w:bidi="ar-SA"/>
              </w:rPr>
              <w:t>说明在岗情况</w:t>
            </w:r>
          </w:p>
        </w:tc>
        <w:tc>
          <w:tcPr>
            <w:tcW w:w="6232" w:type="dxa"/>
            <w:gridSpan w:val="7"/>
            <w:vAlign w:val="center"/>
          </w:tcPr>
          <w:p w14:paraId="156B3D20">
            <w:pPr>
              <w:jc w:val="both"/>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□目</w:t>
            </w:r>
            <w:r>
              <w:rPr>
                <w:rFonts w:ascii="宋体" w:hAnsi="宋体" w:eastAsia="宋体"/>
                <w:color w:val="auto"/>
                <w:sz w:val="21"/>
                <w:szCs w:val="21"/>
                <w:lang w:eastAsia="zh-CN" w:bidi="ar-SA"/>
              </w:rPr>
              <w:t>前未在其他项目上任职，现从事工作为：</w:t>
            </w:r>
            <w:r>
              <w:rPr>
                <w:rFonts w:hint="eastAsia" w:ascii="宋体" w:hAnsi="宋体" w:eastAsia="宋体"/>
                <w:color w:val="auto"/>
                <w:sz w:val="21"/>
                <w:szCs w:val="21"/>
                <w:u w:val="single"/>
                <w:lang w:eastAsia="zh-CN" w:bidi="ar-SA"/>
              </w:rPr>
              <w:t xml:space="preserve">        </w:t>
            </w:r>
            <w:r>
              <w:rPr>
                <w:rFonts w:ascii="宋体" w:hAnsi="宋体" w:eastAsia="宋体"/>
                <w:color w:val="auto"/>
                <w:sz w:val="21"/>
                <w:szCs w:val="21"/>
                <w:lang w:eastAsia="zh-CN" w:bidi="ar-SA"/>
              </w:rPr>
              <w:t>。</w:t>
            </w:r>
          </w:p>
          <w:p w14:paraId="4E14C420">
            <w:pPr>
              <w:rPr>
                <w:rFonts w:hint="eastAsia" w:ascii="宋体" w:hAnsi="宋体" w:eastAsia="宋体"/>
                <w:color w:val="auto"/>
                <w:sz w:val="21"/>
                <w:szCs w:val="21"/>
                <w:lang w:eastAsia="zh-CN" w:bidi="ar-SA"/>
              </w:rPr>
            </w:pPr>
            <w:r>
              <w:rPr>
                <w:rFonts w:hint="eastAsia" w:ascii="宋体" w:hAnsi="宋体" w:eastAsia="宋体"/>
                <w:color w:val="auto"/>
                <w:sz w:val="21"/>
                <w:szCs w:val="21"/>
                <w:lang w:eastAsia="zh-CN" w:bidi="ar-SA"/>
              </w:rPr>
              <w:t>□</w:t>
            </w:r>
            <w:r>
              <w:rPr>
                <w:rFonts w:ascii="宋体" w:hAnsi="宋体" w:eastAsia="宋体"/>
                <w:color w:val="auto"/>
                <w:sz w:val="21"/>
                <w:szCs w:val="21"/>
                <w:lang w:eastAsia="zh-CN" w:bidi="ar-SA"/>
              </w:rPr>
              <w:t>目前虽在其他项目上任职，但本项目中标后能够从该项目撤离，目前任职项目：</w:t>
            </w:r>
            <w:r>
              <w:rPr>
                <w:rFonts w:hint="eastAsia" w:ascii="宋体" w:hAnsi="宋体" w:eastAsia="宋体"/>
                <w:color w:val="auto"/>
                <w:sz w:val="21"/>
                <w:szCs w:val="21"/>
                <w:u w:val="single"/>
                <w:lang w:eastAsia="zh-CN" w:bidi="ar-SA"/>
              </w:rPr>
              <w:t xml:space="preserve">        </w:t>
            </w:r>
            <w:r>
              <w:rPr>
                <w:rFonts w:hint="eastAsia" w:ascii="宋体" w:hAnsi="宋体" w:eastAsia="宋体" w:cs="Arial"/>
                <w:color w:val="auto"/>
                <w:sz w:val="21"/>
                <w:szCs w:val="21"/>
                <w:lang w:eastAsia="zh-CN" w:bidi="ar-SA"/>
              </w:rPr>
              <w:t>，</w:t>
            </w:r>
            <w:r>
              <w:rPr>
                <w:rFonts w:hint="eastAsia" w:ascii="宋体" w:hAnsi="宋体" w:eastAsia="宋体"/>
                <w:color w:val="auto"/>
                <w:sz w:val="21"/>
                <w:szCs w:val="21"/>
                <w:lang w:eastAsia="zh-CN" w:bidi="ar-SA"/>
              </w:rPr>
              <w:t>担</w:t>
            </w:r>
            <w:r>
              <w:rPr>
                <w:rFonts w:ascii="宋体" w:hAnsi="宋体" w:eastAsia="宋体"/>
                <w:color w:val="auto"/>
                <w:sz w:val="21"/>
                <w:szCs w:val="21"/>
                <w:lang w:eastAsia="zh-CN" w:bidi="ar-SA"/>
              </w:rPr>
              <w:t>任职位：</w:t>
            </w:r>
            <w:r>
              <w:rPr>
                <w:rFonts w:hint="eastAsia" w:ascii="宋体" w:hAnsi="宋体" w:eastAsia="宋体"/>
                <w:color w:val="auto"/>
                <w:sz w:val="21"/>
                <w:szCs w:val="21"/>
                <w:u w:val="single"/>
                <w:lang w:eastAsia="zh-CN" w:bidi="ar-SA"/>
              </w:rPr>
              <w:t xml:space="preserve">        </w:t>
            </w:r>
            <w:r>
              <w:rPr>
                <w:rFonts w:ascii="宋体" w:hAnsi="宋体" w:eastAsia="宋体"/>
                <w:color w:val="auto"/>
                <w:sz w:val="21"/>
                <w:szCs w:val="21"/>
                <w:lang w:eastAsia="zh-CN" w:bidi="ar-SA"/>
              </w:rPr>
              <w:t>。</w:t>
            </w:r>
          </w:p>
        </w:tc>
      </w:tr>
      <w:tr w14:paraId="5E0EA6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exact"/>
        </w:trPr>
        <w:tc>
          <w:tcPr>
            <w:tcW w:w="2412" w:type="dxa"/>
            <w:gridSpan w:val="2"/>
            <w:vAlign w:val="center"/>
          </w:tcPr>
          <w:p w14:paraId="6C6C6E65">
            <w:pPr>
              <w:jc w:val="center"/>
              <w:rPr>
                <w:rFonts w:hint="eastAsia" w:ascii="宋体" w:hAnsi="宋体" w:eastAsia="宋体"/>
                <w:color w:val="auto"/>
                <w:position w:val="1"/>
                <w:sz w:val="21"/>
                <w:szCs w:val="21"/>
                <w:lang w:eastAsia="zh-CN" w:bidi="ar-SA"/>
              </w:rPr>
            </w:pPr>
            <w:r>
              <w:rPr>
                <w:rFonts w:hint="eastAsia" w:eastAsia="宋体"/>
                <w:color w:val="auto"/>
                <w:sz w:val="21"/>
                <w:lang w:eastAsia="zh-CN" w:bidi="ar-SA"/>
              </w:rPr>
              <w:t>证明材料所在的页码</w:t>
            </w:r>
          </w:p>
        </w:tc>
        <w:tc>
          <w:tcPr>
            <w:tcW w:w="6232" w:type="dxa"/>
            <w:gridSpan w:val="7"/>
            <w:vAlign w:val="center"/>
          </w:tcPr>
          <w:p w14:paraId="16D3FFF2">
            <w:pPr>
              <w:ind w:firstLine="420"/>
              <w:jc w:val="both"/>
              <w:rPr>
                <w:rFonts w:hint="eastAsia" w:ascii="宋体" w:hAnsi="宋体" w:eastAsia="宋体"/>
                <w:color w:val="auto"/>
                <w:sz w:val="21"/>
                <w:szCs w:val="21"/>
                <w:lang w:eastAsia="zh-CN" w:bidi="ar-SA"/>
              </w:rPr>
            </w:pPr>
          </w:p>
        </w:tc>
      </w:tr>
    </w:tbl>
    <w:p w14:paraId="73062BD3">
      <w:pPr>
        <w:wordWrap w:val="0"/>
        <w:spacing w:line="320" w:lineRule="exact"/>
        <w:ind w:left="563" w:hanging="562" w:hangingChars="268"/>
        <w:jc w:val="both"/>
        <w:rPr>
          <w:rFonts w:eastAsia="宋体" w:cs="宋体"/>
          <w:color w:val="auto"/>
          <w:sz w:val="21"/>
          <w:szCs w:val="21"/>
          <w:lang w:eastAsia="zh-CN" w:bidi="ar-SA"/>
        </w:rPr>
      </w:pPr>
      <w:r>
        <w:rPr>
          <w:rFonts w:eastAsia="宋体" w:cs="宋体"/>
          <w:color w:val="auto"/>
          <w:sz w:val="21"/>
          <w:szCs w:val="21"/>
          <w:lang w:eastAsia="zh-CN" w:bidi="ar-SA"/>
        </w:rPr>
        <w:t>注</w:t>
      </w:r>
      <w:r>
        <w:rPr>
          <w:rFonts w:hint="eastAsia" w:eastAsia="宋体" w:cs="宋体"/>
          <w:color w:val="auto"/>
          <w:sz w:val="21"/>
          <w:szCs w:val="21"/>
          <w:lang w:eastAsia="zh-CN" w:bidi="ar-SA"/>
        </w:rPr>
        <w:t xml:space="preserve"> ：</w:t>
      </w:r>
    </w:p>
    <w:p w14:paraId="4ECC2055">
      <w:pPr>
        <w:wordWrap w:val="0"/>
        <w:spacing w:line="276" w:lineRule="auto"/>
        <w:ind w:firstLine="420" w:firstLineChars="200"/>
        <w:jc w:val="both"/>
        <w:rPr>
          <w:rFonts w:eastAsia="宋体" w:cs="宋体"/>
          <w:color w:val="auto"/>
          <w:sz w:val="21"/>
          <w:szCs w:val="21"/>
          <w:lang w:eastAsia="zh-CN" w:bidi="ar-SA"/>
        </w:rPr>
      </w:pPr>
      <w:r>
        <w:rPr>
          <w:rFonts w:hint="eastAsia" w:eastAsia="宋体" w:cs="宋体"/>
          <w:color w:val="auto"/>
          <w:sz w:val="21"/>
          <w:szCs w:val="21"/>
          <w:lang w:eastAsia="zh-CN" w:bidi="ar-SA"/>
        </w:rPr>
        <w:t>1、投标人应按招标文件第二章“投标人须知前附表”第</w:t>
      </w:r>
      <w:r>
        <w:rPr>
          <w:rFonts w:eastAsia="宋体" w:cs="宋体"/>
          <w:color w:val="auto"/>
          <w:sz w:val="21"/>
          <w:szCs w:val="21"/>
          <w:lang w:eastAsia="zh-CN" w:bidi="ar-SA"/>
        </w:rPr>
        <w:t>3.5.6</w:t>
      </w:r>
      <w:r>
        <w:rPr>
          <w:rFonts w:hint="eastAsia" w:eastAsia="宋体" w:cs="宋体"/>
          <w:color w:val="auto"/>
          <w:sz w:val="21"/>
          <w:szCs w:val="21"/>
          <w:lang w:eastAsia="zh-CN" w:bidi="ar-SA"/>
        </w:rPr>
        <w:t>款要求附相关证明材料，并逐页加盖投标人单位公章。</w:t>
      </w:r>
    </w:p>
    <w:p w14:paraId="08013F43">
      <w:pPr>
        <w:wordWrap w:val="0"/>
        <w:spacing w:line="320" w:lineRule="exact"/>
        <w:ind w:left="564" w:leftChars="176" w:hanging="142" w:hangingChars="68"/>
        <w:jc w:val="both"/>
        <w:rPr>
          <w:rFonts w:eastAsia="宋体" w:cs="宋体"/>
          <w:color w:val="auto"/>
          <w:sz w:val="21"/>
          <w:szCs w:val="21"/>
          <w:lang w:eastAsia="zh-CN" w:bidi="ar-SA"/>
        </w:rPr>
      </w:pPr>
    </w:p>
    <w:p w14:paraId="32E4B3C6">
      <w:pPr>
        <w:spacing w:line="360" w:lineRule="auto"/>
        <w:ind w:firstLine="3120" w:firstLineChars="1300"/>
        <w:jc w:val="both"/>
        <w:rPr>
          <w:rFonts w:hint="eastAsia" w:ascii="宋体" w:hAnsi="宋体" w:eastAsia="宋体"/>
          <w:color w:val="auto"/>
          <w:kern w:val="2"/>
          <w:lang w:eastAsia="zh-CN" w:bidi="ar-SA"/>
        </w:rPr>
      </w:pPr>
      <w:bookmarkStart w:id="957" w:name="_Hlk54205007"/>
      <w:bookmarkStart w:id="958" w:name="_Toc482188666"/>
      <w:bookmarkStart w:id="959" w:name="_Toc492300736"/>
      <w:r>
        <w:rPr>
          <w:rFonts w:ascii="宋体" w:hAnsi="宋体" w:eastAsia="宋体"/>
          <w:color w:val="auto"/>
          <w:kern w:val="2"/>
          <w:lang w:eastAsia="zh-CN" w:bidi="ar-SA"/>
        </w:rPr>
        <w:t>投 标 人：</w:t>
      </w:r>
      <w:r>
        <w:rPr>
          <w:rFonts w:ascii="宋体" w:hAnsi="宋体" w:eastAsia="宋体"/>
          <w:color w:val="auto"/>
          <w:kern w:val="2"/>
          <w:u w:val="single"/>
          <w:lang w:eastAsia="zh-CN" w:bidi="ar-SA"/>
        </w:rPr>
        <w:t xml:space="preserve">   </w:t>
      </w:r>
      <w:r>
        <w:rPr>
          <w:rFonts w:hint="eastAsia" w:ascii="宋体" w:hAnsi="宋体" w:eastAsia="宋体"/>
          <w:color w:val="auto"/>
          <w:kern w:val="2"/>
          <w:u w:val="single"/>
          <w:lang w:eastAsia="zh-CN" w:bidi="ar-SA"/>
        </w:rPr>
        <w:t>（加盖投标人单位电子公章）</w:t>
      </w:r>
      <w:r>
        <w:rPr>
          <w:rFonts w:ascii="宋体" w:hAnsi="宋体" w:eastAsia="宋体"/>
          <w:color w:val="auto"/>
          <w:kern w:val="2"/>
          <w:u w:val="single"/>
          <w:lang w:eastAsia="zh-CN" w:bidi="ar-SA"/>
        </w:rPr>
        <w:t xml:space="preserve">     </w:t>
      </w:r>
    </w:p>
    <w:p w14:paraId="4B644073">
      <w:pPr>
        <w:wordWrap w:val="0"/>
        <w:spacing w:line="360" w:lineRule="auto"/>
        <w:jc w:val="center"/>
        <w:rPr>
          <w:rFonts w:hint="eastAsia" w:ascii="宋体" w:hAnsi="宋体" w:eastAsia="宋体"/>
          <w:color w:val="auto"/>
          <w:kern w:val="2"/>
          <w:u w:val="single"/>
          <w:lang w:eastAsia="zh-CN" w:bidi="ar-SA"/>
        </w:rPr>
        <w:sectPr>
          <w:footnotePr>
            <w:numFmt w:val="decimalEnclosedCircleChinese"/>
            <w:numRestart w:val="eachPage"/>
          </w:footnotePr>
          <w:pgSz w:w="11906" w:h="16838"/>
          <w:pgMar w:top="1418" w:right="1588" w:bottom="1418" w:left="1588" w:header="680" w:footer="992" w:gutter="0"/>
          <w:cols w:space="720" w:num="1"/>
          <w:docGrid w:linePitch="326" w:charSpace="0"/>
        </w:sectPr>
      </w:pPr>
      <w:r>
        <w:rPr>
          <w:rFonts w:hint="eastAsia" w:ascii="宋体" w:hAnsi="宋体" w:eastAsia="宋体"/>
          <w:color w:val="auto"/>
          <w:kern w:val="2"/>
          <w:lang w:eastAsia="zh-CN" w:bidi="ar-SA"/>
        </w:rPr>
        <w:t xml:space="preserve"> </w:t>
      </w:r>
      <w:r>
        <w:rPr>
          <w:rFonts w:ascii="宋体" w:hAnsi="宋体" w:eastAsia="宋体"/>
          <w:color w:val="auto"/>
          <w:kern w:val="2"/>
          <w:lang w:eastAsia="zh-CN" w:bidi="ar-SA"/>
        </w:rPr>
        <w:t xml:space="preserve">                          法定代表人：</w:t>
      </w:r>
      <w:r>
        <w:rPr>
          <w:rFonts w:ascii="宋体" w:hAnsi="宋体" w:eastAsia="宋体"/>
          <w:color w:val="auto"/>
          <w:kern w:val="2"/>
          <w:u w:val="single"/>
          <w:lang w:eastAsia="zh-CN" w:bidi="ar-SA"/>
        </w:rPr>
        <w:t xml:space="preserve"> </w:t>
      </w:r>
      <w:r>
        <w:rPr>
          <w:rFonts w:hint="eastAsia" w:ascii="宋体" w:hAnsi="宋体" w:eastAsia="宋体"/>
          <w:color w:val="auto"/>
          <w:kern w:val="2"/>
          <w:u w:val="single"/>
          <w:lang w:eastAsia="zh-CN" w:bidi="ar-SA"/>
        </w:rPr>
        <w:t xml:space="preserve">（加盖法定代表人电子签名） </w:t>
      </w:r>
      <w:r>
        <w:rPr>
          <w:rFonts w:ascii="宋体" w:hAnsi="宋体" w:eastAsia="宋体"/>
          <w:color w:val="auto"/>
          <w:kern w:val="2"/>
          <w:u w:val="single"/>
          <w:lang w:eastAsia="zh-CN" w:bidi="ar-SA"/>
        </w:rPr>
        <w:t xml:space="preserve">   </w:t>
      </w:r>
    </w:p>
    <w:bookmarkEnd w:id="957"/>
    <w:p w14:paraId="2296C450">
      <w:pPr>
        <w:pStyle w:val="7"/>
        <w:numPr>
          <w:ilvl w:val="0"/>
          <w:numId w:val="8"/>
        </w:numPr>
        <w:jc w:val="center"/>
        <w:rPr>
          <w:rFonts w:hint="eastAsia" w:ascii="宋体" w:hAnsi="宋体" w:eastAsia="宋体" w:cs="宋体"/>
          <w:color w:val="auto"/>
          <w:sz w:val="28"/>
          <w:szCs w:val="28"/>
          <w:lang w:eastAsia="zh-CN"/>
        </w:rPr>
      </w:pPr>
      <w:bookmarkStart w:id="960" w:name="_Toc27711"/>
      <w:r>
        <w:rPr>
          <w:rFonts w:hint="eastAsia" w:ascii="宋体" w:hAnsi="宋体" w:eastAsia="宋体" w:cs="宋体"/>
          <w:color w:val="auto"/>
          <w:sz w:val="28"/>
          <w:szCs w:val="28"/>
          <w:lang w:eastAsia="zh-CN"/>
        </w:rPr>
        <w:t>拟投入本项目的</w:t>
      </w:r>
      <w:bookmarkStart w:id="961" w:name="_Hlk502411473"/>
      <w:r>
        <w:rPr>
          <w:rFonts w:hint="eastAsia" w:ascii="宋体" w:hAnsi="宋体" w:eastAsia="宋体" w:cs="宋体"/>
          <w:color w:val="auto"/>
          <w:sz w:val="28"/>
          <w:szCs w:val="28"/>
          <w:lang w:eastAsia="zh-CN"/>
        </w:rPr>
        <w:t>主要</w:t>
      </w:r>
      <w:bookmarkEnd w:id="958"/>
      <w:r>
        <w:rPr>
          <w:rFonts w:hint="eastAsia" w:ascii="宋体" w:hAnsi="宋体" w:eastAsia="宋体" w:cs="宋体"/>
          <w:color w:val="auto"/>
          <w:sz w:val="28"/>
          <w:szCs w:val="28"/>
          <w:lang w:eastAsia="zh-CN"/>
        </w:rPr>
        <w:t>试验检测仪器、交通办公设备表</w:t>
      </w:r>
      <w:bookmarkEnd w:id="959"/>
      <w:bookmarkEnd w:id="960"/>
      <w:bookmarkEnd w:id="961"/>
    </w:p>
    <w:p w14:paraId="0CF5EAFC">
      <w:pPr>
        <w:rPr>
          <w:color w:val="auto"/>
          <w:lang w:eastAsia="zh-CN"/>
        </w:rPr>
      </w:pPr>
      <w:r>
        <w:rPr>
          <w:rFonts w:hint="eastAsia"/>
          <w:color w:val="auto"/>
          <w:lang w:eastAsia="zh-CN"/>
        </w:rPr>
        <w:t>　　　投标人自行提供认为所需的试验检测仪器、交通办公设备</w:t>
      </w:r>
    </w:p>
    <w:p w14:paraId="4D3C71D2">
      <w:pPr>
        <w:spacing w:line="440" w:lineRule="exact"/>
        <w:ind w:firstLine="630" w:firstLineChars="300"/>
        <w:rPr>
          <w:rFonts w:eastAsia="宋体"/>
          <w:color w:val="auto"/>
          <w:kern w:val="2"/>
          <w:sz w:val="21"/>
          <w:szCs w:val="22"/>
          <w:lang w:eastAsia="zh-CN" w:bidi="ar-SA"/>
        </w:rPr>
      </w:pPr>
    </w:p>
    <w:p w14:paraId="325D807D">
      <w:pPr>
        <w:pStyle w:val="2"/>
        <w:ind w:firstLine="460"/>
        <w:rPr>
          <w:rFonts w:hint="eastAsia"/>
        </w:rPr>
      </w:pPr>
    </w:p>
    <w:p w14:paraId="22E773BC">
      <w:pPr>
        <w:jc w:val="both"/>
        <w:rPr>
          <w:rFonts w:eastAsia="宋体"/>
          <w:color w:val="auto"/>
          <w:kern w:val="2"/>
          <w:sz w:val="21"/>
          <w:szCs w:val="22"/>
          <w:lang w:eastAsia="zh-CN" w:bidi="ar-SA"/>
        </w:rPr>
      </w:pPr>
    </w:p>
    <w:p w14:paraId="244FC319">
      <w:pPr>
        <w:spacing w:line="360" w:lineRule="auto"/>
        <w:ind w:firstLine="3120" w:firstLineChars="1300"/>
        <w:jc w:val="both"/>
        <w:rPr>
          <w:rFonts w:hint="eastAsia" w:ascii="宋体" w:hAnsi="宋体" w:eastAsia="宋体"/>
          <w:color w:val="auto"/>
          <w:kern w:val="2"/>
          <w:lang w:eastAsia="zh-CN" w:bidi="ar-SA"/>
        </w:rPr>
      </w:pPr>
      <w:r>
        <w:rPr>
          <w:rFonts w:ascii="宋体" w:hAnsi="宋体" w:eastAsia="宋体"/>
          <w:color w:val="auto"/>
          <w:kern w:val="2"/>
          <w:lang w:eastAsia="zh-CN" w:bidi="ar-SA"/>
        </w:rPr>
        <w:t>投 标 人：</w:t>
      </w:r>
      <w:r>
        <w:rPr>
          <w:rFonts w:ascii="宋体" w:hAnsi="宋体" w:eastAsia="宋体"/>
          <w:color w:val="auto"/>
          <w:kern w:val="2"/>
          <w:u w:val="single"/>
          <w:lang w:eastAsia="zh-CN" w:bidi="ar-SA"/>
        </w:rPr>
        <w:t xml:space="preserve">   </w:t>
      </w:r>
      <w:r>
        <w:rPr>
          <w:rFonts w:hint="eastAsia" w:ascii="宋体" w:hAnsi="宋体" w:eastAsia="宋体"/>
          <w:color w:val="auto"/>
          <w:kern w:val="2"/>
          <w:u w:val="single"/>
          <w:lang w:eastAsia="zh-CN" w:bidi="ar-SA"/>
        </w:rPr>
        <w:t>（加盖投标人单位电子公章）</w:t>
      </w:r>
      <w:r>
        <w:rPr>
          <w:rFonts w:ascii="宋体" w:hAnsi="宋体" w:eastAsia="宋体"/>
          <w:color w:val="auto"/>
          <w:kern w:val="2"/>
          <w:u w:val="single"/>
          <w:lang w:eastAsia="zh-CN" w:bidi="ar-SA"/>
        </w:rPr>
        <w:t xml:space="preserve">     </w:t>
      </w:r>
    </w:p>
    <w:p w14:paraId="22FC5AB8">
      <w:pPr>
        <w:wordWrap w:val="0"/>
        <w:spacing w:line="360" w:lineRule="auto"/>
        <w:jc w:val="center"/>
        <w:rPr>
          <w:rFonts w:hint="eastAsia" w:ascii="宋体" w:hAnsi="宋体" w:eastAsia="宋体"/>
          <w:color w:val="auto"/>
          <w:kern w:val="2"/>
          <w:u w:val="single"/>
          <w:lang w:eastAsia="zh-CN" w:bidi="ar-SA"/>
        </w:rPr>
      </w:pPr>
      <w:r>
        <w:rPr>
          <w:rFonts w:hint="eastAsia" w:ascii="宋体" w:hAnsi="宋体" w:eastAsia="宋体"/>
          <w:color w:val="auto"/>
          <w:kern w:val="2"/>
          <w:lang w:eastAsia="zh-CN" w:bidi="ar-SA"/>
        </w:rPr>
        <w:t xml:space="preserve"> </w:t>
      </w:r>
      <w:r>
        <w:rPr>
          <w:rFonts w:ascii="宋体" w:hAnsi="宋体" w:eastAsia="宋体"/>
          <w:color w:val="auto"/>
          <w:kern w:val="2"/>
          <w:lang w:eastAsia="zh-CN" w:bidi="ar-SA"/>
        </w:rPr>
        <w:t xml:space="preserve">                          法定代表人：</w:t>
      </w:r>
      <w:r>
        <w:rPr>
          <w:rFonts w:ascii="宋体" w:hAnsi="宋体" w:eastAsia="宋体"/>
          <w:color w:val="auto"/>
          <w:kern w:val="2"/>
          <w:u w:val="single"/>
          <w:lang w:eastAsia="zh-CN" w:bidi="ar-SA"/>
        </w:rPr>
        <w:t xml:space="preserve"> </w:t>
      </w:r>
      <w:r>
        <w:rPr>
          <w:rFonts w:hint="eastAsia" w:ascii="宋体" w:hAnsi="宋体" w:eastAsia="宋体"/>
          <w:color w:val="auto"/>
          <w:kern w:val="2"/>
          <w:u w:val="single"/>
          <w:lang w:eastAsia="zh-CN" w:bidi="ar-SA"/>
        </w:rPr>
        <w:t xml:space="preserve">（加盖法定代表人电子签名） </w:t>
      </w:r>
      <w:r>
        <w:rPr>
          <w:rFonts w:ascii="宋体" w:hAnsi="宋体" w:eastAsia="宋体"/>
          <w:color w:val="auto"/>
          <w:kern w:val="2"/>
          <w:u w:val="single"/>
          <w:lang w:eastAsia="zh-CN" w:bidi="ar-SA"/>
        </w:rPr>
        <w:t xml:space="preserve">   </w:t>
      </w:r>
    </w:p>
    <w:p w14:paraId="46310701">
      <w:pPr>
        <w:wordWrap w:val="0"/>
        <w:spacing w:line="360" w:lineRule="auto"/>
        <w:jc w:val="center"/>
        <w:rPr>
          <w:rFonts w:eastAsia="宋体" w:cs="宋体"/>
          <w:color w:val="auto"/>
          <w:lang w:eastAsia="zh-CN" w:bidi="ar-SA"/>
        </w:rPr>
      </w:pPr>
    </w:p>
    <w:p w14:paraId="61E69A1C">
      <w:pPr>
        <w:wordWrap w:val="0"/>
        <w:spacing w:line="360" w:lineRule="auto"/>
        <w:jc w:val="center"/>
        <w:rPr>
          <w:rFonts w:eastAsia="宋体" w:cs="宋体"/>
          <w:color w:val="auto"/>
          <w:lang w:eastAsia="zh-CN" w:bidi="ar-SA"/>
        </w:rPr>
      </w:pPr>
    </w:p>
    <w:p w14:paraId="66B321D3">
      <w:pPr>
        <w:snapToGrid w:val="0"/>
        <w:spacing w:before="240" w:beforeLines="100" w:after="240" w:afterLines="100"/>
        <w:jc w:val="center"/>
        <w:outlineLvl w:val="1"/>
        <w:rPr>
          <w:rFonts w:hint="eastAsia" w:ascii="宋体" w:hAnsi="宋体" w:eastAsia="宋体" w:cs="宋体"/>
          <w:b/>
          <w:color w:val="auto"/>
          <w:spacing w:val="-10"/>
          <w:sz w:val="32"/>
          <w:szCs w:val="32"/>
          <w:lang w:eastAsia="zh-CN" w:bidi="ar-SA"/>
        </w:rPr>
      </w:pPr>
      <w:r>
        <w:rPr>
          <w:rFonts w:eastAsia="宋体" w:cs="宋体"/>
          <w:color w:val="auto"/>
          <w:lang w:eastAsia="zh-CN" w:bidi="ar-SA"/>
        </w:rPr>
        <w:br w:type="page"/>
      </w:r>
      <w:bookmarkStart w:id="962" w:name="_Toc16359"/>
      <w:r>
        <w:rPr>
          <w:rFonts w:hint="eastAsia" w:ascii="宋体" w:hAnsi="宋体" w:eastAsia="宋体" w:cs="宋体"/>
          <w:b/>
          <w:color w:val="auto"/>
          <w:spacing w:val="-10"/>
          <w:sz w:val="32"/>
          <w:szCs w:val="32"/>
          <w:lang w:eastAsia="zh-CN" w:bidi="ar-SA"/>
        </w:rPr>
        <w:t>五</w:t>
      </w:r>
      <w:r>
        <w:rPr>
          <w:rFonts w:ascii="宋体" w:hAnsi="宋体" w:eastAsia="宋体" w:cs="宋体"/>
          <w:b/>
          <w:color w:val="auto"/>
          <w:spacing w:val="-10"/>
          <w:sz w:val="32"/>
          <w:szCs w:val="32"/>
          <w:lang w:eastAsia="zh-CN" w:bidi="ar-SA"/>
        </w:rPr>
        <w:t>、</w:t>
      </w:r>
      <w:r>
        <w:rPr>
          <w:rFonts w:hint="eastAsia" w:ascii="宋体" w:hAnsi="宋体" w:eastAsia="宋体" w:cs="宋体"/>
          <w:b/>
          <w:color w:val="auto"/>
          <w:spacing w:val="-10"/>
          <w:sz w:val="32"/>
          <w:szCs w:val="32"/>
          <w:lang w:eastAsia="zh-CN" w:bidi="ar-SA"/>
        </w:rPr>
        <w:t>监理大纲</w:t>
      </w:r>
      <w:bookmarkEnd w:id="962"/>
    </w:p>
    <w:p w14:paraId="01258CF3">
      <w:pPr>
        <w:wordWrap w:val="0"/>
        <w:spacing w:line="360" w:lineRule="auto"/>
        <w:ind w:firstLine="480" w:firstLineChars="200"/>
        <w:jc w:val="both"/>
        <w:rPr>
          <w:rFonts w:eastAsia="宋体" w:cs="宋体"/>
          <w:color w:val="auto"/>
          <w:lang w:eastAsia="zh-CN" w:bidi="ar-SA"/>
        </w:rPr>
      </w:pPr>
    </w:p>
    <w:p w14:paraId="189CEBF8">
      <w:pPr>
        <w:widowControl/>
        <w:rPr>
          <w:rFonts w:hint="eastAsia" w:ascii="宋体" w:hAnsi="宋体" w:eastAsia="宋体" w:cs="宋体"/>
          <w:color w:val="auto"/>
          <w:lang w:eastAsia="zh-CN" w:bidi="ar-SA"/>
        </w:rPr>
      </w:pPr>
      <w:r>
        <w:rPr>
          <w:rFonts w:hint="eastAsia" w:ascii="宋体" w:hAnsi="宋体" w:eastAsia="宋体" w:cs="宋体"/>
          <w:color w:val="auto"/>
          <w:lang w:eastAsia="zh-CN" w:bidi="ar-SA"/>
        </w:rPr>
        <w:t xml:space="preserve">              提供具体的监理大纲</w:t>
      </w:r>
      <w:r>
        <w:rPr>
          <w:rFonts w:ascii="宋体" w:hAnsi="宋体" w:eastAsia="宋体" w:cs="宋体"/>
          <w:color w:val="auto"/>
          <w:lang w:eastAsia="zh-CN" w:bidi="ar-SA"/>
        </w:rPr>
        <w:br w:type="page"/>
      </w:r>
    </w:p>
    <w:p w14:paraId="57154A95">
      <w:pPr>
        <w:snapToGrid w:val="0"/>
        <w:spacing w:before="240" w:beforeLines="100" w:after="240" w:afterLines="100"/>
        <w:jc w:val="center"/>
        <w:outlineLvl w:val="1"/>
        <w:rPr>
          <w:rFonts w:hint="eastAsia" w:ascii="宋体" w:hAnsi="宋体" w:eastAsia="宋体" w:cs="宋体"/>
          <w:b/>
          <w:color w:val="auto"/>
          <w:spacing w:val="-10"/>
          <w:sz w:val="32"/>
          <w:szCs w:val="32"/>
          <w:lang w:eastAsia="zh-CN" w:bidi="ar-SA"/>
        </w:rPr>
      </w:pPr>
      <w:bookmarkStart w:id="963" w:name="_Toc12805"/>
      <w:r>
        <w:rPr>
          <w:rFonts w:hint="eastAsia" w:ascii="宋体" w:hAnsi="宋体" w:eastAsia="宋体" w:cs="宋体"/>
          <w:b/>
          <w:color w:val="auto"/>
          <w:spacing w:val="-10"/>
          <w:sz w:val="32"/>
          <w:szCs w:val="32"/>
          <w:lang w:eastAsia="zh-CN" w:bidi="ar-SA"/>
        </w:rPr>
        <w:t>六</w:t>
      </w:r>
      <w:r>
        <w:rPr>
          <w:rFonts w:ascii="宋体" w:hAnsi="宋体" w:eastAsia="宋体" w:cs="宋体"/>
          <w:b/>
          <w:color w:val="auto"/>
          <w:spacing w:val="-10"/>
          <w:sz w:val="32"/>
          <w:szCs w:val="32"/>
          <w:lang w:eastAsia="zh-CN" w:bidi="ar-SA"/>
        </w:rPr>
        <w:t>、其他资料</w:t>
      </w:r>
      <w:bookmarkEnd w:id="963"/>
    </w:p>
    <w:p w14:paraId="66DB1207">
      <w:pPr>
        <w:widowControl/>
        <w:rPr>
          <w:rFonts w:eastAsia="宋体" w:cs="宋体"/>
          <w:color w:val="auto"/>
          <w:lang w:eastAsia="zh-CN" w:bidi="ar-SA"/>
        </w:rPr>
      </w:pPr>
    </w:p>
    <w:p w14:paraId="7D4F7B3E">
      <w:pPr>
        <w:spacing w:line="360" w:lineRule="auto"/>
        <w:ind w:firstLine="480" w:firstLineChars="200"/>
        <w:jc w:val="both"/>
        <w:rPr>
          <w:rFonts w:eastAsia="宋体" w:cs="宋体"/>
          <w:color w:val="auto"/>
          <w:lang w:eastAsia="zh-CN" w:bidi="ar-SA"/>
        </w:rPr>
      </w:pPr>
    </w:p>
    <w:p w14:paraId="6D37FE85">
      <w:pPr>
        <w:spacing w:line="480" w:lineRule="auto"/>
        <w:jc w:val="center"/>
        <w:rPr>
          <w:rFonts w:eastAsia="宋体" w:cs="宋体"/>
          <w:color w:val="auto"/>
          <w:lang w:eastAsia="zh-CN" w:bidi="ar-SA"/>
        </w:rPr>
      </w:pPr>
      <w:r>
        <w:rPr>
          <w:rFonts w:hint="eastAsia" w:eastAsia="宋体" w:cs="宋体"/>
          <w:color w:val="auto"/>
          <w:lang w:eastAsia="zh-CN" w:bidi="ar-SA"/>
        </w:rPr>
        <w:t>附投标人认为能证明其能力的其他材料（如有）。</w:t>
      </w:r>
      <w:bookmarkEnd w:id="922"/>
    </w:p>
    <w:p w14:paraId="182C1E0B">
      <w:pPr>
        <w:widowControl/>
        <w:rPr>
          <w:rFonts w:eastAsia="宋体" w:cs="宋体"/>
          <w:color w:val="auto"/>
          <w:lang w:eastAsia="zh-CN" w:bidi="ar-SA"/>
        </w:rPr>
      </w:pPr>
      <w:r>
        <w:rPr>
          <w:rFonts w:eastAsia="宋体" w:cs="宋体"/>
          <w:color w:val="auto"/>
          <w:lang w:eastAsia="zh-CN" w:bidi="ar-SA"/>
        </w:rPr>
        <w:br w:type="page"/>
      </w:r>
    </w:p>
    <w:p w14:paraId="6F894ADC">
      <w:pPr>
        <w:widowControl/>
        <w:rPr>
          <w:rFonts w:eastAsia="宋体" w:cs="宋体"/>
          <w:color w:val="auto"/>
          <w:lang w:eastAsia="zh-CN" w:bidi="ar-SA"/>
        </w:rPr>
      </w:pPr>
      <w:r>
        <w:rPr>
          <w:rFonts w:eastAsia="宋体" w:cs="宋体"/>
          <w:color w:val="auto"/>
          <w:lang w:eastAsia="zh-CN" w:bidi="ar-SA"/>
        </w:rPr>
        <w:br w:type="page"/>
      </w:r>
    </w:p>
    <w:p w14:paraId="0501C9F8">
      <w:pPr>
        <w:spacing w:line="480" w:lineRule="auto"/>
        <w:ind w:firstLine="960" w:firstLineChars="400"/>
        <w:jc w:val="center"/>
        <w:rPr>
          <w:rFonts w:eastAsia="宋体" w:cs="宋体"/>
          <w:color w:val="auto"/>
          <w:lang w:eastAsia="zh-CN" w:bidi="ar-SA"/>
        </w:rPr>
        <w:sectPr>
          <w:footnotePr>
            <w:numFmt w:val="decimalEnclosedCircleChinese"/>
            <w:numRestart w:val="eachPage"/>
          </w:footnotePr>
          <w:pgSz w:w="11906" w:h="16838"/>
          <w:pgMar w:top="1418" w:right="1588" w:bottom="1418" w:left="1588" w:header="680" w:footer="992" w:gutter="0"/>
          <w:cols w:space="720" w:num="1"/>
          <w:docGrid w:linePitch="326" w:charSpace="0"/>
        </w:sectPr>
      </w:pPr>
    </w:p>
    <w:p w14:paraId="6E899768">
      <w:pPr>
        <w:spacing w:before="120" w:beforeLines="50" w:line="360" w:lineRule="auto"/>
        <w:jc w:val="center"/>
        <w:rPr>
          <w:rFonts w:hint="eastAsia" w:ascii="黑体" w:hAnsi="黑体" w:eastAsia="黑体" w:cs="宋体"/>
          <w:color w:val="auto"/>
          <w:sz w:val="44"/>
          <w:szCs w:val="44"/>
          <w:u w:color="000000"/>
          <w:lang w:eastAsia="zh-CN" w:bidi="ar-SA"/>
        </w:rPr>
      </w:pPr>
      <w:bookmarkStart w:id="964" w:name="_Hlk44493160"/>
      <w:bookmarkStart w:id="965" w:name="_Hlk46918341"/>
      <w:r>
        <w:rPr>
          <w:rFonts w:hint="eastAsia" w:ascii="黑体" w:hAnsi="黑体" w:eastAsia="黑体" w:cs="宋体"/>
          <w:color w:val="auto"/>
          <w:sz w:val="36"/>
          <w:szCs w:val="36"/>
          <w:u w:color="000000"/>
          <w:lang w:eastAsia="zh-CN" w:bidi="ar-SA"/>
        </w:rPr>
        <w:t>新余市港口水运基础设施建设项目-袁河航道提升工程新余段库区工程第二标段监理</w:t>
      </w:r>
      <w:r>
        <w:rPr>
          <w:rFonts w:hint="eastAsia" w:ascii="黑体" w:hAnsi="黑体" w:eastAsia="黑体" w:cs="宋体"/>
          <w:color w:val="auto"/>
          <w:sz w:val="44"/>
          <w:szCs w:val="44"/>
          <w:u w:color="000000"/>
          <w:lang w:eastAsia="zh-CN" w:bidi="ar-SA"/>
        </w:rPr>
        <w:t>招标</w:t>
      </w:r>
    </w:p>
    <w:p w14:paraId="2F825F87">
      <w:pPr>
        <w:spacing w:line="360" w:lineRule="auto"/>
        <w:ind w:firstLine="480" w:firstLineChars="200"/>
        <w:jc w:val="center"/>
        <w:rPr>
          <w:rFonts w:eastAsia="宋体" w:cs="宋体"/>
          <w:color w:val="auto"/>
          <w:lang w:eastAsia="zh-CN" w:bidi="ar-SA"/>
        </w:rPr>
      </w:pPr>
    </w:p>
    <w:bookmarkEnd w:id="964"/>
    <w:p w14:paraId="37978EE4">
      <w:pPr>
        <w:spacing w:line="360" w:lineRule="auto"/>
        <w:ind w:firstLine="480" w:firstLineChars="200"/>
        <w:jc w:val="both"/>
        <w:rPr>
          <w:rFonts w:eastAsia="宋体" w:cs="宋体"/>
          <w:color w:val="auto"/>
          <w:lang w:eastAsia="zh-CN" w:bidi="ar-SA"/>
        </w:rPr>
      </w:pPr>
    </w:p>
    <w:p w14:paraId="4C519A4B">
      <w:pPr>
        <w:spacing w:line="360" w:lineRule="auto"/>
        <w:ind w:firstLine="480" w:firstLineChars="200"/>
        <w:jc w:val="both"/>
        <w:rPr>
          <w:rFonts w:eastAsia="宋体" w:cs="宋体"/>
          <w:color w:val="auto"/>
          <w:lang w:eastAsia="zh-CN" w:bidi="ar-SA"/>
        </w:rPr>
      </w:pPr>
    </w:p>
    <w:p w14:paraId="71990470">
      <w:pPr>
        <w:spacing w:line="360" w:lineRule="auto"/>
        <w:ind w:firstLine="480" w:firstLineChars="200"/>
        <w:jc w:val="both"/>
        <w:rPr>
          <w:rFonts w:eastAsia="宋体" w:cs="宋体"/>
          <w:color w:val="auto"/>
          <w:lang w:eastAsia="zh-CN" w:bidi="ar-SA"/>
        </w:rPr>
      </w:pPr>
    </w:p>
    <w:p w14:paraId="164C2AAF">
      <w:pPr>
        <w:spacing w:line="360" w:lineRule="auto"/>
        <w:ind w:firstLine="480" w:firstLineChars="200"/>
        <w:jc w:val="both"/>
        <w:rPr>
          <w:rFonts w:eastAsia="宋体" w:cs="宋体"/>
          <w:color w:val="auto"/>
          <w:lang w:eastAsia="zh-CN" w:bidi="ar-SA"/>
        </w:rPr>
      </w:pPr>
    </w:p>
    <w:p w14:paraId="030E47EE">
      <w:pPr>
        <w:spacing w:line="360" w:lineRule="auto"/>
        <w:ind w:firstLine="480" w:firstLineChars="200"/>
        <w:jc w:val="both"/>
        <w:rPr>
          <w:rFonts w:eastAsia="宋体" w:cs="宋体"/>
          <w:color w:val="auto"/>
          <w:lang w:eastAsia="zh-CN" w:bidi="ar-SA"/>
        </w:rPr>
      </w:pPr>
    </w:p>
    <w:p w14:paraId="55EA2C75">
      <w:pPr>
        <w:spacing w:line="360" w:lineRule="auto"/>
        <w:ind w:firstLine="480" w:firstLineChars="200"/>
        <w:jc w:val="both"/>
        <w:rPr>
          <w:rFonts w:eastAsia="宋体" w:cs="宋体"/>
          <w:color w:val="auto"/>
          <w:lang w:eastAsia="zh-CN" w:bidi="ar-SA"/>
        </w:rPr>
      </w:pPr>
    </w:p>
    <w:p w14:paraId="13B86AC9">
      <w:pPr>
        <w:spacing w:line="360" w:lineRule="auto"/>
        <w:ind w:firstLine="480" w:firstLineChars="200"/>
        <w:jc w:val="both"/>
        <w:rPr>
          <w:rFonts w:eastAsia="宋体" w:cs="宋体"/>
          <w:color w:val="auto"/>
          <w:lang w:eastAsia="zh-CN" w:bidi="ar-SA"/>
        </w:rPr>
      </w:pPr>
    </w:p>
    <w:p w14:paraId="24E5692D">
      <w:pPr>
        <w:wordWrap w:val="0"/>
        <w:jc w:val="center"/>
        <w:rPr>
          <w:rFonts w:eastAsia="宋体" w:cs="宋体"/>
          <w:b/>
          <w:color w:val="auto"/>
          <w:sz w:val="96"/>
          <w:szCs w:val="44"/>
          <w:lang w:eastAsia="zh-CN" w:bidi="ar-SA"/>
        </w:rPr>
      </w:pPr>
      <w:r>
        <w:rPr>
          <w:rFonts w:eastAsia="宋体" w:cs="宋体"/>
          <w:b/>
          <w:color w:val="auto"/>
          <w:sz w:val="96"/>
          <w:szCs w:val="44"/>
          <w:lang w:eastAsia="zh-CN" w:bidi="ar-SA"/>
        </w:rPr>
        <w:t>投</w:t>
      </w:r>
      <w:r>
        <w:rPr>
          <w:rFonts w:hint="eastAsia" w:eastAsia="宋体" w:cs="宋体"/>
          <w:b/>
          <w:color w:val="auto"/>
          <w:sz w:val="96"/>
          <w:szCs w:val="44"/>
          <w:lang w:eastAsia="zh-CN" w:bidi="ar-SA"/>
        </w:rPr>
        <w:t xml:space="preserve"> </w:t>
      </w:r>
      <w:r>
        <w:rPr>
          <w:rFonts w:eastAsia="宋体" w:cs="宋体"/>
          <w:b/>
          <w:color w:val="auto"/>
          <w:sz w:val="96"/>
          <w:szCs w:val="44"/>
          <w:lang w:eastAsia="zh-CN" w:bidi="ar-SA"/>
        </w:rPr>
        <w:t>标</w:t>
      </w:r>
      <w:r>
        <w:rPr>
          <w:rFonts w:hint="eastAsia" w:eastAsia="宋体" w:cs="宋体"/>
          <w:b/>
          <w:color w:val="auto"/>
          <w:sz w:val="96"/>
          <w:szCs w:val="44"/>
          <w:lang w:eastAsia="zh-CN" w:bidi="ar-SA"/>
        </w:rPr>
        <w:t xml:space="preserve"> </w:t>
      </w:r>
      <w:r>
        <w:rPr>
          <w:rFonts w:eastAsia="宋体" w:cs="宋体"/>
          <w:b/>
          <w:color w:val="auto"/>
          <w:sz w:val="96"/>
          <w:szCs w:val="44"/>
          <w:lang w:eastAsia="zh-CN" w:bidi="ar-SA"/>
        </w:rPr>
        <w:t>文</w:t>
      </w:r>
      <w:r>
        <w:rPr>
          <w:rFonts w:hint="eastAsia" w:eastAsia="宋体" w:cs="宋体"/>
          <w:b/>
          <w:color w:val="auto"/>
          <w:sz w:val="96"/>
          <w:szCs w:val="44"/>
          <w:lang w:eastAsia="zh-CN" w:bidi="ar-SA"/>
        </w:rPr>
        <w:t xml:space="preserve"> </w:t>
      </w:r>
      <w:r>
        <w:rPr>
          <w:rFonts w:eastAsia="宋体" w:cs="宋体"/>
          <w:b/>
          <w:color w:val="auto"/>
          <w:sz w:val="96"/>
          <w:szCs w:val="44"/>
          <w:lang w:eastAsia="zh-CN" w:bidi="ar-SA"/>
        </w:rPr>
        <w:t>件</w:t>
      </w:r>
    </w:p>
    <w:p w14:paraId="1000BA1E">
      <w:pPr>
        <w:snapToGrid w:val="0"/>
        <w:spacing w:before="240" w:beforeLines="100" w:after="240" w:afterLines="100"/>
        <w:jc w:val="center"/>
        <w:outlineLvl w:val="1"/>
        <w:rPr>
          <w:rFonts w:hint="eastAsia" w:ascii="宋体" w:hAnsi="宋体" w:eastAsia="宋体" w:cs="宋体"/>
          <w:b/>
          <w:color w:val="auto"/>
          <w:spacing w:val="-10"/>
          <w:sz w:val="40"/>
          <w:szCs w:val="32"/>
          <w:lang w:eastAsia="zh-CN" w:bidi="ar-SA"/>
        </w:rPr>
      </w:pPr>
      <w:bookmarkStart w:id="966" w:name="_Toc31769"/>
      <w:r>
        <w:rPr>
          <w:rFonts w:ascii="宋体" w:hAnsi="宋体" w:eastAsia="宋体" w:cs="宋体"/>
          <w:b/>
          <w:color w:val="auto"/>
          <w:spacing w:val="-10"/>
          <w:sz w:val="40"/>
          <w:szCs w:val="32"/>
          <w:lang w:eastAsia="zh-CN" w:bidi="ar-SA"/>
        </w:rPr>
        <w:t>（报价文件</w:t>
      </w:r>
      <w:r>
        <w:rPr>
          <w:rFonts w:hint="eastAsia" w:ascii="宋体" w:hAnsi="宋体" w:eastAsia="宋体" w:cs="宋体"/>
          <w:b/>
          <w:color w:val="auto"/>
          <w:spacing w:val="-10"/>
          <w:sz w:val="40"/>
          <w:szCs w:val="32"/>
          <w:lang w:eastAsia="zh-CN" w:bidi="ar-SA"/>
        </w:rPr>
        <w:t>）</w:t>
      </w:r>
      <w:bookmarkEnd w:id="966"/>
    </w:p>
    <w:p w14:paraId="06F0D16A">
      <w:pPr>
        <w:spacing w:line="360" w:lineRule="auto"/>
        <w:ind w:firstLine="3213" w:firstLineChars="1000"/>
        <w:jc w:val="both"/>
        <w:rPr>
          <w:rFonts w:eastAsia="宋体" w:cs="宋体"/>
          <w:color w:val="auto"/>
          <w:lang w:eastAsia="zh-CN" w:bidi="ar-SA"/>
        </w:rPr>
      </w:pPr>
      <w:r>
        <w:rPr>
          <w:rFonts w:ascii="黑体" w:hAnsi="宋体" w:eastAsia="黑体"/>
          <w:b/>
          <w:color w:val="auto"/>
          <w:sz w:val="32"/>
          <w:szCs w:val="32"/>
          <w:u w:val="single"/>
          <w:lang w:eastAsia="zh-CN"/>
        </w:rPr>
        <w:t xml:space="preserve">        </w:t>
      </w:r>
      <w:r>
        <w:rPr>
          <w:rFonts w:hint="eastAsia" w:ascii="黑体" w:hAnsi="宋体" w:eastAsia="黑体"/>
          <w:b/>
          <w:color w:val="auto"/>
          <w:sz w:val="32"/>
          <w:szCs w:val="32"/>
          <w:u w:val="single"/>
          <w:lang w:eastAsia="zh-CN"/>
        </w:rPr>
        <w:t xml:space="preserve"> </w:t>
      </w:r>
      <w:r>
        <w:rPr>
          <w:rFonts w:hint="eastAsia" w:ascii="黑体" w:hAnsi="宋体" w:eastAsia="黑体"/>
          <w:b/>
          <w:color w:val="auto"/>
          <w:sz w:val="32"/>
          <w:szCs w:val="32"/>
          <w:lang w:eastAsia="zh-CN"/>
        </w:rPr>
        <w:t>标段</w:t>
      </w:r>
    </w:p>
    <w:p w14:paraId="5F9E920B">
      <w:pPr>
        <w:spacing w:line="360" w:lineRule="auto"/>
        <w:ind w:firstLine="480" w:firstLineChars="200"/>
        <w:jc w:val="both"/>
        <w:rPr>
          <w:rFonts w:eastAsia="宋体" w:cs="宋体"/>
          <w:color w:val="auto"/>
          <w:lang w:eastAsia="zh-CN" w:bidi="ar-SA"/>
        </w:rPr>
      </w:pPr>
    </w:p>
    <w:p w14:paraId="61559539">
      <w:pPr>
        <w:spacing w:line="360" w:lineRule="auto"/>
        <w:ind w:firstLine="480" w:firstLineChars="200"/>
        <w:jc w:val="both"/>
        <w:rPr>
          <w:rFonts w:eastAsia="宋体" w:cs="宋体"/>
          <w:color w:val="auto"/>
          <w:lang w:eastAsia="zh-CN" w:bidi="ar-SA"/>
        </w:rPr>
      </w:pPr>
    </w:p>
    <w:p w14:paraId="2B4A94C2">
      <w:pPr>
        <w:spacing w:line="360" w:lineRule="auto"/>
        <w:ind w:firstLine="480" w:firstLineChars="200"/>
        <w:jc w:val="both"/>
        <w:rPr>
          <w:rFonts w:eastAsia="宋体" w:cs="宋体"/>
          <w:color w:val="auto"/>
          <w:lang w:eastAsia="zh-CN" w:bidi="ar-SA"/>
        </w:rPr>
      </w:pPr>
    </w:p>
    <w:p w14:paraId="6739A347">
      <w:pPr>
        <w:spacing w:line="360" w:lineRule="auto"/>
        <w:ind w:firstLine="480" w:firstLineChars="200"/>
        <w:jc w:val="both"/>
        <w:rPr>
          <w:rFonts w:eastAsia="宋体" w:cs="宋体"/>
          <w:color w:val="auto"/>
          <w:lang w:eastAsia="zh-CN" w:bidi="ar-SA"/>
        </w:rPr>
      </w:pPr>
    </w:p>
    <w:p w14:paraId="2939BB9A">
      <w:pPr>
        <w:spacing w:line="360" w:lineRule="auto"/>
        <w:ind w:firstLine="480" w:firstLineChars="200"/>
        <w:jc w:val="both"/>
        <w:rPr>
          <w:rFonts w:eastAsia="宋体" w:cs="宋体"/>
          <w:color w:val="auto"/>
          <w:lang w:eastAsia="zh-CN" w:bidi="ar-SA"/>
        </w:rPr>
      </w:pPr>
    </w:p>
    <w:p w14:paraId="26DED07F">
      <w:pPr>
        <w:spacing w:line="360" w:lineRule="auto"/>
        <w:ind w:firstLine="480" w:firstLineChars="200"/>
        <w:jc w:val="both"/>
        <w:rPr>
          <w:rFonts w:eastAsia="宋体" w:cs="宋体"/>
          <w:color w:val="auto"/>
          <w:lang w:eastAsia="zh-CN" w:bidi="ar-SA"/>
        </w:rPr>
      </w:pPr>
    </w:p>
    <w:p w14:paraId="4CF171E6">
      <w:pPr>
        <w:spacing w:line="360" w:lineRule="auto"/>
        <w:ind w:firstLine="480" w:firstLineChars="200"/>
        <w:jc w:val="both"/>
        <w:rPr>
          <w:rFonts w:eastAsia="宋体" w:cs="宋体"/>
          <w:color w:val="auto"/>
          <w:lang w:eastAsia="zh-CN" w:bidi="ar-SA"/>
        </w:rPr>
      </w:pPr>
    </w:p>
    <w:p w14:paraId="65AB759F">
      <w:pPr>
        <w:spacing w:line="360" w:lineRule="auto"/>
        <w:ind w:firstLine="480" w:firstLineChars="200"/>
        <w:jc w:val="both"/>
        <w:rPr>
          <w:rFonts w:eastAsia="宋体" w:cs="宋体"/>
          <w:color w:val="auto"/>
          <w:lang w:eastAsia="zh-CN" w:bidi="ar-SA"/>
        </w:rPr>
      </w:pPr>
    </w:p>
    <w:p w14:paraId="7DCC3245">
      <w:pPr>
        <w:spacing w:line="360" w:lineRule="auto"/>
        <w:jc w:val="center"/>
        <w:rPr>
          <w:rFonts w:eastAsia="宋体" w:cs="宋体"/>
          <w:color w:val="auto"/>
          <w:w w:val="103"/>
          <w:sz w:val="28"/>
          <w:szCs w:val="28"/>
          <w:lang w:eastAsia="zh-CN" w:bidi="ar-SA"/>
        </w:rPr>
      </w:pPr>
      <w:r>
        <w:rPr>
          <w:rFonts w:eastAsia="宋体" w:cs="宋体"/>
          <w:color w:val="auto"/>
          <w:w w:val="103"/>
          <w:sz w:val="28"/>
          <w:szCs w:val="28"/>
          <w:lang w:eastAsia="zh-CN" w:bidi="ar-SA"/>
        </w:rPr>
        <w:t>投标人：</w:t>
      </w:r>
      <w:r>
        <w:rPr>
          <w:rFonts w:eastAsia="宋体" w:cs="宋体"/>
          <w:color w:val="auto"/>
          <w:w w:val="103"/>
          <w:sz w:val="28"/>
          <w:szCs w:val="28"/>
          <w:u w:val="single"/>
          <w:lang w:eastAsia="zh-CN" w:bidi="ar-SA"/>
        </w:rPr>
        <w:t xml:space="preserve"> </w:t>
      </w:r>
      <w:r>
        <w:rPr>
          <w:rFonts w:hint="eastAsia" w:eastAsia="宋体" w:cs="宋体"/>
          <w:color w:val="auto"/>
          <w:w w:val="103"/>
          <w:sz w:val="28"/>
          <w:szCs w:val="28"/>
          <w:u w:val="single"/>
          <w:lang w:eastAsia="zh-CN" w:bidi="ar-SA"/>
        </w:rPr>
        <w:t xml:space="preserve">                   </w:t>
      </w:r>
      <w:r>
        <w:rPr>
          <w:rFonts w:eastAsia="宋体" w:cs="宋体"/>
          <w:color w:val="auto"/>
          <w:w w:val="103"/>
          <w:sz w:val="28"/>
          <w:szCs w:val="28"/>
          <w:lang w:eastAsia="zh-CN" w:bidi="ar-SA"/>
        </w:rPr>
        <w:t>（</w:t>
      </w:r>
      <w:bookmarkStart w:id="967" w:name="_Hlk44603442"/>
      <w:r>
        <w:rPr>
          <w:rFonts w:eastAsia="宋体" w:cs="宋体"/>
          <w:color w:val="auto"/>
          <w:w w:val="103"/>
          <w:sz w:val="28"/>
          <w:szCs w:val="28"/>
          <w:lang w:eastAsia="zh-CN" w:bidi="ar-SA"/>
        </w:rPr>
        <w:t>盖</w:t>
      </w:r>
      <w:r>
        <w:rPr>
          <w:rFonts w:hint="eastAsia" w:eastAsia="宋体" w:cs="宋体"/>
          <w:color w:val="auto"/>
          <w:w w:val="103"/>
          <w:sz w:val="28"/>
          <w:szCs w:val="28"/>
          <w:lang w:eastAsia="zh-CN" w:bidi="ar-SA"/>
        </w:rPr>
        <w:t>投标</w:t>
      </w:r>
      <w:r>
        <w:rPr>
          <w:rFonts w:eastAsia="宋体" w:cs="宋体"/>
          <w:color w:val="auto"/>
          <w:w w:val="103"/>
          <w:sz w:val="28"/>
          <w:szCs w:val="28"/>
          <w:lang w:eastAsia="zh-CN" w:bidi="ar-SA"/>
        </w:rPr>
        <w:t>单位</w:t>
      </w:r>
      <w:r>
        <w:rPr>
          <w:rFonts w:hint="eastAsia" w:eastAsia="宋体" w:cs="宋体"/>
          <w:color w:val="auto"/>
          <w:w w:val="103"/>
          <w:sz w:val="28"/>
          <w:szCs w:val="28"/>
          <w:lang w:eastAsia="zh-CN" w:bidi="ar-SA"/>
        </w:rPr>
        <w:t>电子公</w:t>
      </w:r>
      <w:r>
        <w:rPr>
          <w:rFonts w:eastAsia="宋体" w:cs="宋体"/>
          <w:color w:val="auto"/>
          <w:w w:val="103"/>
          <w:sz w:val="28"/>
          <w:szCs w:val="28"/>
          <w:lang w:eastAsia="zh-CN" w:bidi="ar-SA"/>
        </w:rPr>
        <w:t>章</w:t>
      </w:r>
      <w:bookmarkEnd w:id="967"/>
      <w:r>
        <w:rPr>
          <w:rFonts w:eastAsia="宋体" w:cs="宋体"/>
          <w:color w:val="auto"/>
          <w:w w:val="103"/>
          <w:sz w:val="28"/>
          <w:szCs w:val="28"/>
          <w:lang w:eastAsia="zh-CN" w:bidi="ar-SA"/>
        </w:rPr>
        <w:t>）</w:t>
      </w:r>
    </w:p>
    <w:p w14:paraId="1DB17548">
      <w:pPr>
        <w:spacing w:line="360" w:lineRule="auto"/>
        <w:jc w:val="center"/>
        <w:rPr>
          <w:rFonts w:eastAsia="宋体" w:cs="宋体"/>
          <w:color w:val="auto"/>
          <w:sz w:val="29"/>
          <w:szCs w:val="29"/>
          <w:lang w:eastAsia="zh-CN" w:bidi="ar-SA"/>
        </w:rPr>
      </w:pPr>
      <w:r>
        <w:rPr>
          <w:rFonts w:hint="eastAsia" w:eastAsia="宋体" w:cs="宋体"/>
          <w:color w:val="auto"/>
          <w:sz w:val="28"/>
          <w:szCs w:val="28"/>
          <w:u w:val="single" w:color="000000"/>
          <w:lang w:eastAsia="zh-CN" w:bidi="ar-SA"/>
        </w:rPr>
        <w:t xml:space="preserve">            </w:t>
      </w:r>
      <w:r>
        <w:rPr>
          <w:rFonts w:eastAsia="宋体" w:cs="宋体"/>
          <w:color w:val="auto"/>
          <w:w w:val="105"/>
          <w:lang w:eastAsia="zh-CN" w:bidi="ar-SA"/>
        </w:rPr>
        <w:t>年</w:t>
      </w:r>
      <w:r>
        <w:rPr>
          <w:rFonts w:hint="eastAsia" w:eastAsia="宋体" w:cs="宋体"/>
          <w:color w:val="auto"/>
          <w:sz w:val="28"/>
          <w:szCs w:val="28"/>
          <w:u w:val="single" w:color="000000"/>
          <w:lang w:eastAsia="zh-CN" w:bidi="ar-SA"/>
        </w:rPr>
        <w:t xml:space="preserve">         </w:t>
      </w:r>
      <w:r>
        <w:rPr>
          <w:rFonts w:eastAsia="宋体" w:cs="宋体"/>
          <w:color w:val="auto"/>
          <w:spacing w:val="-32"/>
          <w:w w:val="105"/>
          <w:lang w:eastAsia="zh-CN" w:bidi="ar-SA"/>
        </w:rPr>
        <w:t>月</w:t>
      </w:r>
      <w:r>
        <w:rPr>
          <w:rFonts w:hint="eastAsia" w:eastAsia="宋体" w:cs="宋体"/>
          <w:color w:val="auto"/>
          <w:sz w:val="28"/>
          <w:szCs w:val="28"/>
          <w:u w:val="single" w:color="000000"/>
          <w:lang w:eastAsia="zh-CN" w:bidi="ar-SA"/>
        </w:rPr>
        <w:t xml:space="preserve">         </w:t>
      </w:r>
      <w:r>
        <w:rPr>
          <w:rFonts w:eastAsia="宋体" w:cs="宋体"/>
          <w:color w:val="auto"/>
          <w:w w:val="105"/>
          <w:sz w:val="29"/>
          <w:szCs w:val="29"/>
          <w:lang w:eastAsia="zh-CN" w:bidi="ar-SA"/>
        </w:rPr>
        <w:t>日</w:t>
      </w:r>
    </w:p>
    <w:p w14:paraId="3BED1A82">
      <w:pPr>
        <w:snapToGrid w:val="0"/>
        <w:spacing w:before="240" w:beforeLines="100" w:after="240" w:afterLines="100"/>
        <w:outlineLvl w:val="1"/>
        <w:rPr>
          <w:rFonts w:hint="eastAsia" w:ascii="宋体" w:hAnsi="宋体" w:eastAsia="宋体" w:cs="宋体"/>
          <w:color w:val="auto"/>
          <w:spacing w:val="-10"/>
          <w:sz w:val="32"/>
          <w:szCs w:val="32"/>
          <w:lang w:eastAsia="zh-CN" w:bidi="ar-SA"/>
        </w:rPr>
      </w:pPr>
      <w:r>
        <w:rPr>
          <w:rFonts w:ascii="宋体" w:hAnsi="宋体" w:eastAsia="宋体" w:cs="宋体"/>
          <w:b/>
          <w:color w:val="auto"/>
          <w:spacing w:val="-10"/>
          <w:sz w:val="32"/>
          <w:szCs w:val="32"/>
          <w:lang w:eastAsia="zh-CN" w:bidi="ar-SA"/>
        </w:rPr>
        <w:br w:type="page"/>
      </w:r>
    </w:p>
    <w:p w14:paraId="121EAE6B">
      <w:pPr>
        <w:wordWrap w:val="0"/>
        <w:spacing w:line="360" w:lineRule="auto"/>
        <w:ind w:firstLine="643" w:firstLineChars="200"/>
        <w:jc w:val="center"/>
        <w:rPr>
          <w:rFonts w:eastAsia="宋体" w:cs="宋体"/>
          <w:b/>
          <w:color w:val="auto"/>
          <w:sz w:val="32"/>
          <w:szCs w:val="32"/>
          <w:lang w:eastAsia="zh-CN" w:bidi="ar-SA"/>
        </w:rPr>
      </w:pPr>
      <w:r>
        <w:rPr>
          <w:rFonts w:eastAsia="宋体" w:cs="宋体"/>
          <w:b/>
          <w:color w:val="auto"/>
          <w:sz w:val="32"/>
          <w:szCs w:val="32"/>
          <w:lang w:eastAsia="zh-CN" w:bidi="ar-SA"/>
        </w:rPr>
        <w:t xml:space="preserve">目 </w:t>
      </w:r>
      <w:r>
        <w:rPr>
          <w:rFonts w:hint="eastAsia" w:eastAsia="宋体" w:cs="宋体"/>
          <w:b/>
          <w:color w:val="auto"/>
          <w:sz w:val="32"/>
          <w:szCs w:val="32"/>
          <w:lang w:eastAsia="zh-CN" w:bidi="ar-SA"/>
        </w:rPr>
        <w:t xml:space="preserve">   </w:t>
      </w:r>
      <w:r>
        <w:rPr>
          <w:rFonts w:eastAsia="宋体" w:cs="宋体"/>
          <w:b/>
          <w:color w:val="auto"/>
          <w:sz w:val="32"/>
          <w:szCs w:val="32"/>
          <w:lang w:eastAsia="zh-CN" w:bidi="ar-SA"/>
        </w:rPr>
        <w:t>录</w:t>
      </w:r>
    </w:p>
    <w:p w14:paraId="3E15F365">
      <w:pPr>
        <w:wordWrap w:val="0"/>
        <w:spacing w:line="360" w:lineRule="auto"/>
        <w:ind w:firstLine="480" w:firstLineChars="200"/>
        <w:jc w:val="both"/>
        <w:rPr>
          <w:rFonts w:eastAsia="宋体" w:cs="宋体"/>
          <w:color w:val="auto"/>
          <w:lang w:eastAsia="zh-CN" w:bidi="ar-SA"/>
        </w:rPr>
      </w:pPr>
      <w:r>
        <w:rPr>
          <w:rFonts w:hint="eastAsia" w:eastAsia="宋体" w:cs="宋体"/>
          <w:color w:val="auto"/>
          <w:lang w:eastAsia="zh-CN" w:bidi="ar-SA"/>
        </w:rPr>
        <w:t>一</w:t>
      </w:r>
      <w:r>
        <w:rPr>
          <w:rFonts w:eastAsia="宋体" w:cs="宋体"/>
          <w:color w:val="auto"/>
          <w:lang w:eastAsia="zh-CN" w:bidi="ar-SA"/>
        </w:rPr>
        <w:t>、投标函</w:t>
      </w:r>
    </w:p>
    <w:p w14:paraId="6B275031">
      <w:pPr>
        <w:wordWrap w:val="0"/>
        <w:spacing w:line="360" w:lineRule="auto"/>
        <w:ind w:firstLine="480" w:firstLineChars="200"/>
        <w:jc w:val="both"/>
        <w:rPr>
          <w:rFonts w:eastAsia="宋体" w:cs="宋体"/>
          <w:color w:val="auto"/>
          <w:lang w:eastAsia="zh-CN" w:bidi="ar-SA"/>
        </w:rPr>
      </w:pPr>
      <w:r>
        <w:rPr>
          <w:rFonts w:hint="eastAsia" w:eastAsia="宋体" w:cs="宋体"/>
          <w:color w:val="auto"/>
          <w:lang w:eastAsia="zh-CN" w:bidi="ar-SA"/>
        </w:rPr>
        <w:t>二</w:t>
      </w:r>
      <w:r>
        <w:rPr>
          <w:rFonts w:eastAsia="宋体" w:cs="宋体"/>
          <w:color w:val="auto"/>
          <w:lang w:eastAsia="zh-CN" w:bidi="ar-SA"/>
        </w:rPr>
        <w:t>、</w:t>
      </w:r>
      <w:r>
        <w:rPr>
          <w:rFonts w:hint="eastAsia" w:eastAsia="宋体" w:cs="宋体"/>
          <w:color w:val="auto"/>
          <w:lang w:eastAsia="zh-CN" w:bidi="ar-SA"/>
        </w:rPr>
        <w:t>监理报酬</w:t>
      </w:r>
      <w:r>
        <w:rPr>
          <w:rFonts w:eastAsia="宋体" w:cs="宋体"/>
          <w:color w:val="auto"/>
          <w:lang w:eastAsia="zh-CN" w:bidi="ar-SA"/>
        </w:rPr>
        <w:t>清单</w:t>
      </w:r>
    </w:p>
    <w:p w14:paraId="5E3C5438">
      <w:pPr>
        <w:wordWrap w:val="0"/>
        <w:spacing w:line="360" w:lineRule="auto"/>
        <w:ind w:firstLine="480" w:firstLineChars="200"/>
        <w:jc w:val="both"/>
        <w:rPr>
          <w:rFonts w:eastAsia="宋体" w:cs="宋体"/>
          <w:color w:val="auto"/>
          <w:lang w:eastAsia="zh-CN" w:bidi="ar-SA"/>
        </w:rPr>
      </w:pPr>
      <w:r>
        <w:rPr>
          <w:rFonts w:hint="eastAsia" w:eastAsia="宋体" w:cs="宋体"/>
          <w:color w:val="auto"/>
          <w:lang w:eastAsia="zh-CN" w:bidi="ar-SA"/>
        </w:rPr>
        <w:t>三、开标一览表</w:t>
      </w:r>
    </w:p>
    <w:p w14:paraId="4B77E240">
      <w:pPr>
        <w:spacing w:line="360" w:lineRule="auto"/>
        <w:ind w:firstLine="480" w:firstLineChars="200"/>
        <w:jc w:val="both"/>
        <w:rPr>
          <w:rFonts w:eastAsia="宋体" w:cs="宋体"/>
          <w:color w:val="auto"/>
          <w:lang w:eastAsia="zh-CN" w:bidi="ar-SA"/>
        </w:rPr>
      </w:pPr>
    </w:p>
    <w:p w14:paraId="512F9F65">
      <w:pPr>
        <w:widowControl/>
        <w:rPr>
          <w:rFonts w:eastAsia="宋体" w:cs="宋体"/>
          <w:color w:val="auto"/>
          <w:lang w:eastAsia="zh-CN" w:bidi="ar-SA"/>
        </w:rPr>
      </w:pPr>
      <w:r>
        <w:rPr>
          <w:rFonts w:eastAsia="宋体" w:cs="宋体"/>
          <w:color w:val="auto"/>
          <w:lang w:eastAsia="zh-CN" w:bidi="ar-SA"/>
        </w:rPr>
        <w:br w:type="page"/>
      </w:r>
    </w:p>
    <w:p w14:paraId="2B02BFFB">
      <w:pPr>
        <w:snapToGrid w:val="0"/>
        <w:spacing w:before="240" w:beforeLines="100" w:after="240" w:afterLines="100"/>
        <w:jc w:val="center"/>
        <w:outlineLvl w:val="1"/>
        <w:rPr>
          <w:rFonts w:hint="eastAsia" w:ascii="宋体" w:hAnsi="宋体" w:eastAsia="宋体" w:cs="宋体"/>
          <w:b/>
          <w:color w:val="auto"/>
          <w:spacing w:val="-10"/>
          <w:sz w:val="32"/>
          <w:szCs w:val="32"/>
          <w:lang w:eastAsia="zh-CN" w:bidi="ar-SA"/>
        </w:rPr>
      </w:pPr>
      <w:bookmarkStart w:id="968" w:name="_Toc17797"/>
      <w:r>
        <w:rPr>
          <w:rFonts w:ascii="宋体" w:hAnsi="宋体" w:eastAsia="宋体" w:cs="宋体"/>
          <w:b/>
          <w:color w:val="auto"/>
          <w:spacing w:val="-10"/>
          <w:sz w:val="32"/>
          <w:szCs w:val="32"/>
          <w:lang w:eastAsia="zh-CN" w:bidi="ar-SA"/>
        </w:rPr>
        <w:t>一、投标函</w:t>
      </w:r>
      <w:bookmarkEnd w:id="968"/>
    </w:p>
    <w:p w14:paraId="238BD54E">
      <w:pPr>
        <w:wordWrap w:val="0"/>
        <w:topLinePunct/>
        <w:spacing w:line="360" w:lineRule="auto"/>
        <w:jc w:val="both"/>
        <w:rPr>
          <w:rFonts w:eastAsia="宋体" w:cs="宋体"/>
          <w:b/>
          <w:bCs/>
          <w:color w:val="auto"/>
          <w:lang w:eastAsia="zh-CN" w:bidi="ar-SA"/>
        </w:rPr>
      </w:pPr>
      <w:r>
        <w:rPr>
          <w:rFonts w:hint="eastAsia" w:ascii="宋体" w:hAnsi="宋体" w:eastAsia="宋体" w:cs="Arial"/>
          <w:b/>
          <w:bCs/>
          <w:color w:val="auto"/>
          <w:lang w:eastAsia="zh-CN" w:bidi="ar-SA"/>
        </w:rPr>
        <w:t>新余市投资控股集团有限公司</w:t>
      </w:r>
      <w:r>
        <w:rPr>
          <w:rFonts w:eastAsia="宋体" w:cs="宋体"/>
          <w:b/>
          <w:bCs/>
          <w:color w:val="auto"/>
          <w:lang w:eastAsia="zh-CN" w:bidi="ar-SA"/>
        </w:rPr>
        <w:t>：</w:t>
      </w:r>
    </w:p>
    <w:p w14:paraId="4682D200">
      <w:pPr>
        <w:spacing w:line="360" w:lineRule="auto"/>
        <w:ind w:firstLine="480" w:firstLineChars="200"/>
        <w:jc w:val="both"/>
        <w:rPr>
          <w:rFonts w:eastAsia="宋体" w:cs="宋体"/>
          <w:color w:val="auto"/>
          <w:lang w:eastAsia="zh-CN" w:bidi="ar-SA"/>
        </w:rPr>
      </w:pPr>
    </w:p>
    <w:p w14:paraId="23BF1A7A">
      <w:pPr>
        <w:wordWrap w:val="0"/>
        <w:spacing w:line="360" w:lineRule="auto"/>
        <w:ind w:firstLine="480" w:firstLineChars="200"/>
        <w:jc w:val="both"/>
        <w:rPr>
          <w:rFonts w:hint="eastAsia" w:ascii="宋体" w:hAnsi="宋体" w:eastAsia="宋体" w:cs="宋体"/>
          <w:color w:val="auto"/>
          <w:lang w:eastAsia="zh-CN" w:bidi="ar-SA"/>
        </w:rPr>
      </w:pPr>
      <w:r>
        <w:rPr>
          <w:rFonts w:eastAsia="Arial"/>
          <w:color w:val="auto"/>
          <w:lang w:eastAsia="zh-CN" w:bidi="ar-SA"/>
        </w:rPr>
        <w:t>1</w:t>
      </w:r>
      <w:r>
        <w:rPr>
          <w:rFonts w:hint="eastAsia" w:ascii="宋体" w:hAnsi="宋体" w:eastAsia="宋体" w:cs="宋体"/>
          <w:color w:val="auto"/>
          <w:lang w:eastAsia="zh-CN" w:bidi="ar-SA"/>
        </w:rPr>
        <w:t>．</w:t>
      </w:r>
      <w:r>
        <w:rPr>
          <w:rFonts w:eastAsia="宋体" w:cs="宋体"/>
          <w:color w:val="auto"/>
          <w:lang w:eastAsia="zh-CN" w:bidi="ar-SA"/>
        </w:rPr>
        <w:t>我方</w:t>
      </w:r>
      <w:r>
        <w:rPr>
          <w:rFonts w:hint="eastAsia" w:eastAsia="宋体" w:cs="宋体"/>
          <w:color w:val="auto"/>
          <w:lang w:eastAsia="zh-CN" w:bidi="ar-SA"/>
        </w:rPr>
        <w:t>已</w:t>
      </w:r>
      <w:r>
        <w:rPr>
          <w:rFonts w:eastAsia="宋体" w:cs="宋体"/>
          <w:color w:val="auto"/>
          <w:lang w:eastAsia="zh-CN" w:bidi="ar-SA"/>
        </w:rPr>
        <w:t>仔细研究</w:t>
      </w:r>
      <w:r>
        <w:rPr>
          <w:rFonts w:hint="eastAsia" w:ascii="宋体" w:hAnsi="宋体" w:eastAsia="宋体" w:cs="宋体"/>
          <w:color w:val="auto"/>
          <w:u w:val="single"/>
          <w:lang w:eastAsia="zh-CN" w:bidi="ar-SA"/>
        </w:rPr>
        <w:t>新余市港口水运基础设施建设项目-袁河航道提升工程新余段库区工程第二标段监理</w:t>
      </w:r>
      <w:r>
        <w:rPr>
          <w:rFonts w:hint="eastAsia" w:eastAsia="宋体" w:cs="宋体"/>
          <w:color w:val="auto"/>
          <w:lang w:eastAsia="zh-CN" w:bidi="ar-SA"/>
        </w:rPr>
        <w:t>项目</w:t>
      </w:r>
      <w:r>
        <w:rPr>
          <w:rFonts w:eastAsia="宋体" w:cs="宋体"/>
          <w:color w:val="auto"/>
          <w:u w:val="single"/>
          <w:lang w:eastAsia="zh-CN" w:bidi="ar-SA"/>
        </w:rPr>
        <w:t xml:space="preserve">         </w:t>
      </w:r>
      <w:r>
        <w:rPr>
          <w:rFonts w:eastAsia="宋体" w:cs="宋体"/>
          <w:color w:val="auto"/>
          <w:lang w:eastAsia="zh-CN" w:bidi="ar-SA"/>
        </w:rPr>
        <w:t>标段招标文件的全部内容（含补遗书第</w:t>
      </w:r>
      <w:r>
        <w:rPr>
          <w:rFonts w:hint="eastAsia" w:eastAsia="宋体" w:cs="宋体"/>
          <w:color w:val="auto"/>
          <w:lang w:eastAsia="zh-CN" w:bidi="ar-SA"/>
        </w:rPr>
        <w:t xml:space="preserve"> </w:t>
      </w:r>
      <w:r>
        <w:rPr>
          <w:rFonts w:eastAsia="宋体" w:cs="宋体"/>
          <w:color w:val="auto"/>
          <w:u w:val="single"/>
          <w:lang w:eastAsia="zh-CN" w:bidi="ar-SA"/>
        </w:rPr>
        <w:tab/>
      </w:r>
      <w:r>
        <w:rPr>
          <w:rFonts w:eastAsia="宋体" w:cs="宋体"/>
          <w:color w:val="auto"/>
          <w:u w:val="single"/>
          <w:lang w:eastAsia="zh-CN" w:bidi="ar-SA"/>
        </w:rPr>
        <w:t xml:space="preserve"> </w:t>
      </w:r>
      <w:r>
        <w:rPr>
          <w:rFonts w:eastAsia="宋体" w:cs="宋体"/>
          <w:color w:val="auto"/>
          <w:lang w:eastAsia="zh-CN" w:bidi="ar-SA"/>
        </w:rPr>
        <w:t>号至第</w:t>
      </w:r>
      <w:r>
        <w:rPr>
          <w:rFonts w:hint="eastAsia" w:eastAsia="宋体" w:cs="宋体"/>
          <w:color w:val="auto"/>
          <w:lang w:eastAsia="zh-CN" w:bidi="ar-SA"/>
        </w:rPr>
        <w:t xml:space="preserve"> </w:t>
      </w:r>
      <w:r>
        <w:rPr>
          <w:rFonts w:eastAsia="宋体" w:cs="宋体"/>
          <w:color w:val="auto"/>
          <w:lang w:eastAsia="zh-CN" w:bidi="ar-SA"/>
        </w:rPr>
        <w:t xml:space="preserve">  </w:t>
      </w:r>
      <w:r>
        <w:rPr>
          <w:rFonts w:eastAsia="宋体" w:cs="宋体"/>
          <w:color w:val="auto"/>
          <w:u w:val="single"/>
          <w:lang w:eastAsia="zh-CN" w:bidi="ar-SA"/>
        </w:rPr>
        <w:tab/>
      </w:r>
      <w:r>
        <w:rPr>
          <w:rFonts w:eastAsia="宋体" w:cs="宋体"/>
          <w:color w:val="auto"/>
          <w:lang w:eastAsia="zh-CN" w:bidi="ar-SA"/>
        </w:rPr>
        <w:t>号），</w:t>
      </w:r>
      <w:r>
        <w:rPr>
          <w:rFonts w:hint="eastAsia" w:ascii="宋体" w:hAnsi="宋体" w:eastAsia="宋体" w:cs="宋体"/>
          <w:color w:val="auto"/>
          <w:lang w:eastAsia="zh-CN" w:bidi="ar-SA"/>
        </w:rPr>
        <w:t>愿以人民币</w:t>
      </w:r>
      <w:r>
        <w:rPr>
          <w:rFonts w:hint="eastAsia" w:ascii="宋体" w:hAnsi="宋体"/>
          <w:color w:val="auto"/>
          <w:lang w:eastAsia="zh-CN"/>
        </w:rPr>
        <w:t>（大写）</w:t>
      </w:r>
      <w:r>
        <w:rPr>
          <w:rFonts w:hint="eastAsia" w:ascii="宋体" w:hAnsi="宋体"/>
          <w:color w:val="auto"/>
          <w:u w:val="single"/>
          <w:lang w:eastAsia="zh-CN"/>
        </w:rPr>
        <w:t xml:space="preserve"> </w:t>
      </w:r>
      <w:r>
        <w:rPr>
          <w:rFonts w:ascii="宋体" w:hAnsi="宋体"/>
          <w:color w:val="auto"/>
          <w:u w:val="single"/>
          <w:lang w:eastAsia="zh-CN"/>
        </w:rPr>
        <w:t xml:space="preserve">        </w:t>
      </w:r>
      <w:r>
        <w:rPr>
          <w:rFonts w:hint="eastAsia" w:ascii="宋体" w:hAnsi="宋体"/>
          <w:color w:val="auto"/>
          <w:lang w:eastAsia="zh-CN"/>
        </w:rPr>
        <w:t>元（￥</w:t>
      </w:r>
      <w:r>
        <w:rPr>
          <w:rFonts w:hint="eastAsia" w:ascii="宋体" w:hAnsi="宋体"/>
          <w:color w:val="auto"/>
          <w:u w:val="single"/>
          <w:lang w:eastAsia="zh-CN"/>
        </w:rPr>
        <w:t xml:space="preserve">     </w:t>
      </w:r>
      <w:r>
        <w:rPr>
          <w:rFonts w:ascii="宋体" w:hAnsi="宋体"/>
          <w:color w:val="auto"/>
          <w:u w:val="single"/>
          <w:lang w:eastAsia="zh-CN"/>
        </w:rPr>
        <w:t xml:space="preserve"> </w:t>
      </w:r>
      <w:r>
        <w:rPr>
          <w:rFonts w:hint="eastAsia" w:ascii="宋体" w:hAnsi="宋体"/>
          <w:color w:val="auto"/>
          <w:u w:val="single"/>
          <w:lang w:eastAsia="zh-CN"/>
        </w:rPr>
        <w:t xml:space="preserve">  </w:t>
      </w:r>
      <w:r>
        <w:rPr>
          <w:rFonts w:hint="eastAsia" w:ascii="宋体" w:hAnsi="宋体"/>
          <w:color w:val="auto"/>
          <w:lang w:eastAsia="zh-CN"/>
        </w:rPr>
        <w:t>）的投标总报价</w:t>
      </w:r>
      <w:r>
        <w:rPr>
          <w:rFonts w:hint="eastAsia" w:ascii="宋体" w:hAnsi="宋体" w:eastAsia="宋体"/>
          <w:color w:val="auto"/>
          <w:kern w:val="2"/>
          <w:lang w:eastAsia="zh-CN" w:bidi="ar-SA"/>
        </w:rPr>
        <w:t>（或根据招标文件规定修正核实后确定的另一金额，其中，增值税税率为</w:t>
      </w:r>
      <w:r>
        <w:rPr>
          <w:rFonts w:hint="eastAsia" w:ascii="宋体" w:hAnsi="宋体" w:eastAsia="宋体"/>
          <w:color w:val="auto"/>
          <w:kern w:val="2"/>
          <w:u w:val="single"/>
          <w:lang w:eastAsia="zh-CN" w:bidi="ar-SA"/>
        </w:rPr>
        <w:t xml:space="preserve">      </w:t>
      </w:r>
      <w:r>
        <w:rPr>
          <w:rFonts w:hint="eastAsia" w:ascii="宋体" w:hAnsi="宋体" w:eastAsia="宋体"/>
          <w:color w:val="auto"/>
          <w:kern w:val="2"/>
          <w:lang w:eastAsia="zh-CN" w:bidi="ar-SA"/>
        </w:rPr>
        <w:t>），</w:t>
      </w:r>
      <w:r>
        <w:rPr>
          <w:rFonts w:hint="eastAsia" w:ascii="宋体" w:hAnsi="宋体" w:eastAsia="宋体" w:cs="宋体"/>
          <w:color w:val="auto"/>
          <w:lang w:eastAsia="zh-CN"/>
        </w:rPr>
        <w:t>按合同约定</w:t>
      </w:r>
      <w:r>
        <w:rPr>
          <w:rFonts w:hint="eastAsia" w:ascii="宋体" w:hAnsi="宋体" w:eastAsia="宋体" w:cs="宋体"/>
          <w:color w:val="auto"/>
          <w:lang w:eastAsia="zh-CN" w:bidi="ar-SA"/>
        </w:rPr>
        <w:t>完成施工监理工作</w:t>
      </w:r>
      <w:r>
        <w:rPr>
          <w:rFonts w:ascii="宋体" w:hAnsi="宋体" w:eastAsia="宋体" w:cs="宋体"/>
          <w:color w:val="auto"/>
          <w:lang w:eastAsia="zh-CN" w:bidi="ar-SA"/>
        </w:rPr>
        <w:t>。</w:t>
      </w:r>
    </w:p>
    <w:p w14:paraId="756770F1">
      <w:pPr>
        <w:tabs>
          <w:tab w:val="left" w:pos="3720"/>
        </w:tabs>
        <w:adjustRightInd w:val="0"/>
        <w:snapToGrid w:val="0"/>
        <w:spacing w:line="360" w:lineRule="auto"/>
        <w:ind w:firstLine="480" w:firstLineChars="200"/>
        <w:rPr>
          <w:rFonts w:hint="eastAsia" w:ascii="宋体" w:hAnsi="宋体" w:eastAsia="宋体"/>
          <w:color w:val="auto"/>
          <w:kern w:val="2"/>
          <w:lang w:eastAsia="zh-CN" w:bidi="ar-SA"/>
        </w:rPr>
      </w:pPr>
      <w:r>
        <w:rPr>
          <w:rFonts w:hint="eastAsia" w:ascii="宋体" w:hAnsi="宋体" w:eastAsia="宋体"/>
          <w:color w:val="auto"/>
          <w:kern w:val="2"/>
          <w:lang w:eastAsia="zh-CN" w:bidi="ar-SA"/>
        </w:rPr>
        <w:t>其中：施工阶段监理服务费：</w:t>
      </w:r>
      <w:r>
        <w:rPr>
          <w:rFonts w:hint="eastAsia" w:ascii="宋体" w:hAnsi="宋体" w:eastAsia="宋体"/>
          <w:color w:val="auto"/>
          <w:kern w:val="2"/>
          <w:u w:val="single"/>
          <w:lang w:eastAsia="zh-CN" w:bidi="ar-SA"/>
        </w:rPr>
        <w:t xml:space="preserve"> </w:t>
      </w:r>
      <w:r>
        <w:rPr>
          <w:rFonts w:ascii="宋体" w:hAnsi="宋体" w:eastAsia="宋体"/>
          <w:color w:val="auto"/>
          <w:kern w:val="2"/>
          <w:u w:val="single"/>
          <w:lang w:eastAsia="zh-CN" w:bidi="ar-SA"/>
        </w:rPr>
        <w:t xml:space="preserve">           </w:t>
      </w:r>
      <w:r>
        <w:rPr>
          <w:rFonts w:hint="eastAsia" w:ascii="宋体" w:hAnsi="宋体" w:eastAsia="宋体"/>
          <w:color w:val="auto"/>
          <w:kern w:val="2"/>
          <w:lang w:eastAsia="zh-CN" w:bidi="ar-SA"/>
        </w:rPr>
        <w:t>元；</w:t>
      </w:r>
    </w:p>
    <w:p w14:paraId="1C64B75A">
      <w:pPr>
        <w:wordWrap w:val="0"/>
        <w:spacing w:line="360" w:lineRule="auto"/>
        <w:ind w:firstLine="1200" w:firstLineChars="500"/>
        <w:rPr>
          <w:rFonts w:hint="eastAsia" w:ascii="宋体" w:hAnsi="宋体" w:eastAsia="宋体"/>
          <w:color w:val="auto"/>
          <w:kern w:val="2"/>
          <w:lang w:eastAsia="zh-CN" w:bidi="ar-SA"/>
        </w:rPr>
      </w:pPr>
      <w:r>
        <w:rPr>
          <w:rFonts w:hint="eastAsia" w:ascii="宋体" w:hAnsi="宋体" w:eastAsia="宋体"/>
          <w:color w:val="auto"/>
          <w:kern w:val="2"/>
          <w:lang w:eastAsia="zh-CN" w:bidi="ar-SA"/>
        </w:rPr>
        <w:t>缺陷责任期阶段监理服务费：</w:t>
      </w:r>
      <w:r>
        <w:rPr>
          <w:rFonts w:hint="eastAsia" w:ascii="宋体" w:hAnsi="宋体" w:eastAsia="宋体"/>
          <w:color w:val="auto"/>
          <w:kern w:val="2"/>
          <w:u w:val="single"/>
          <w:lang w:eastAsia="zh-CN" w:bidi="ar-SA"/>
        </w:rPr>
        <w:t xml:space="preserve"> </w:t>
      </w:r>
      <w:r>
        <w:rPr>
          <w:rFonts w:ascii="宋体" w:hAnsi="宋体" w:eastAsia="宋体"/>
          <w:color w:val="auto"/>
          <w:kern w:val="2"/>
          <w:u w:val="single"/>
          <w:lang w:eastAsia="zh-CN" w:bidi="ar-SA"/>
        </w:rPr>
        <w:t xml:space="preserve">           </w:t>
      </w:r>
      <w:r>
        <w:rPr>
          <w:rFonts w:hint="eastAsia" w:ascii="宋体" w:hAnsi="宋体" w:eastAsia="宋体"/>
          <w:color w:val="auto"/>
          <w:kern w:val="2"/>
          <w:lang w:eastAsia="zh-CN" w:bidi="ar-SA"/>
        </w:rPr>
        <w:t>元；</w:t>
      </w:r>
    </w:p>
    <w:p w14:paraId="5EDABD74">
      <w:pPr>
        <w:wordWrap w:val="0"/>
        <w:spacing w:line="360" w:lineRule="auto"/>
        <w:ind w:firstLine="480" w:firstLineChars="200"/>
        <w:jc w:val="both"/>
        <w:rPr>
          <w:rFonts w:eastAsia="宋体" w:cs="宋体"/>
          <w:color w:val="auto"/>
          <w:lang w:eastAsia="zh-CN" w:bidi="ar-SA"/>
        </w:rPr>
      </w:pPr>
      <w:r>
        <w:rPr>
          <w:color w:val="auto"/>
          <w:lang w:eastAsia="zh-CN" w:bidi="ar-SA"/>
        </w:rPr>
        <w:t>2</w:t>
      </w:r>
      <w:r>
        <w:rPr>
          <w:rFonts w:hint="eastAsia" w:ascii="宋体" w:hAnsi="宋体" w:eastAsia="宋体" w:cs="宋体"/>
          <w:color w:val="auto"/>
          <w:lang w:eastAsia="zh-CN" w:bidi="ar-SA"/>
        </w:rPr>
        <w:t>．</w:t>
      </w:r>
      <w:r>
        <w:rPr>
          <w:rFonts w:eastAsia="宋体" w:cs="宋体"/>
          <w:color w:val="auto"/>
          <w:lang w:eastAsia="zh-CN" w:bidi="ar-SA"/>
        </w:rPr>
        <w:t>在合同协议书正式签署生效之前，本投标函连同你方的中标通知书将构成我们双方之间共同遵守的文件，对双方具有约束力。</w:t>
      </w:r>
    </w:p>
    <w:p w14:paraId="08A2E91B">
      <w:pPr>
        <w:wordWrap w:val="0"/>
        <w:spacing w:line="360" w:lineRule="auto"/>
        <w:ind w:firstLine="480" w:firstLineChars="200"/>
        <w:jc w:val="both"/>
        <w:rPr>
          <w:rFonts w:eastAsia="宋体" w:cs="宋体"/>
          <w:color w:val="auto"/>
          <w:lang w:eastAsia="zh-CN" w:bidi="ar-SA"/>
        </w:rPr>
      </w:pPr>
      <w:r>
        <w:rPr>
          <w:rFonts w:hint="eastAsia" w:ascii="宋体" w:hAnsi="宋体" w:eastAsia="宋体"/>
          <w:color w:val="auto"/>
          <w:kern w:val="2"/>
          <w:lang w:eastAsia="zh-CN" w:bidi="ar-SA"/>
        </w:rPr>
        <w:t>3．</w:t>
      </w:r>
      <w:r>
        <w:rPr>
          <w:rFonts w:hint="eastAsia" w:ascii="宋体" w:hAnsi="宋体" w:eastAsia="宋体"/>
          <w:color w:val="auto"/>
          <w:kern w:val="2"/>
          <w:u w:val="single"/>
          <w:lang w:eastAsia="zh-CN" w:bidi="ar-SA"/>
        </w:rPr>
        <w:t xml:space="preserve"> </w:t>
      </w:r>
      <w:r>
        <w:rPr>
          <w:rFonts w:ascii="宋体" w:hAnsi="宋体" w:eastAsia="宋体"/>
          <w:color w:val="auto"/>
          <w:kern w:val="2"/>
          <w:u w:val="single"/>
          <w:lang w:eastAsia="zh-CN" w:bidi="ar-SA"/>
        </w:rPr>
        <w:t xml:space="preserve">                               </w:t>
      </w:r>
      <w:r>
        <w:rPr>
          <w:rFonts w:hint="eastAsia" w:ascii="宋体" w:hAnsi="宋体" w:eastAsia="宋体"/>
          <w:color w:val="auto"/>
          <w:kern w:val="2"/>
          <w:lang w:eastAsia="zh-CN" w:bidi="ar-SA"/>
        </w:rPr>
        <w:t>（其他补充说明）。</w:t>
      </w:r>
    </w:p>
    <w:p w14:paraId="6CD55BBD">
      <w:pPr>
        <w:wordWrap w:val="0"/>
        <w:spacing w:line="360" w:lineRule="auto"/>
        <w:ind w:firstLine="480" w:firstLineChars="200"/>
        <w:jc w:val="both"/>
        <w:rPr>
          <w:rFonts w:eastAsia="宋体" w:cs="宋体"/>
          <w:color w:val="auto"/>
          <w:lang w:eastAsia="zh-CN" w:bidi="ar-SA"/>
        </w:rPr>
      </w:pPr>
    </w:p>
    <w:p w14:paraId="502D64EF">
      <w:pPr>
        <w:wordWrap w:val="0"/>
        <w:spacing w:line="360" w:lineRule="auto"/>
        <w:ind w:firstLine="480" w:firstLineChars="200"/>
        <w:jc w:val="both"/>
        <w:rPr>
          <w:rFonts w:eastAsia="宋体" w:cs="宋体"/>
          <w:color w:val="auto"/>
          <w:lang w:eastAsia="zh-CN" w:bidi="ar-SA"/>
        </w:rPr>
      </w:pPr>
    </w:p>
    <w:p w14:paraId="788607A7">
      <w:pPr>
        <w:wordWrap w:val="0"/>
        <w:spacing w:line="360" w:lineRule="auto"/>
        <w:ind w:firstLine="3117" w:firstLineChars="1299"/>
        <w:jc w:val="both"/>
        <w:rPr>
          <w:rFonts w:eastAsia="宋体" w:cs="宋体"/>
          <w:color w:val="auto"/>
          <w:position w:val="-2"/>
          <w:lang w:eastAsia="zh-CN" w:bidi="ar-SA"/>
        </w:rPr>
      </w:pPr>
      <w:r>
        <w:rPr>
          <w:rFonts w:eastAsia="宋体" w:cs="宋体"/>
          <w:color w:val="auto"/>
          <w:position w:val="-2"/>
          <w:lang w:eastAsia="zh-CN" w:bidi="ar-SA"/>
        </w:rPr>
        <w:t>投 标 人：</w:t>
      </w:r>
      <w:r>
        <w:rPr>
          <w:rFonts w:eastAsia="宋体" w:cs="宋体"/>
          <w:color w:val="auto"/>
          <w:position w:val="-2"/>
          <w:u w:val="single"/>
          <w:lang w:eastAsia="zh-CN" w:bidi="ar-SA"/>
        </w:rPr>
        <w:t xml:space="preserve">   </w:t>
      </w:r>
      <w:r>
        <w:rPr>
          <w:rFonts w:hint="eastAsia" w:eastAsia="宋体" w:cs="宋体"/>
          <w:color w:val="auto"/>
          <w:position w:val="-2"/>
          <w:u w:val="single"/>
          <w:lang w:eastAsia="zh-CN" w:bidi="ar-SA"/>
        </w:rPr>
        <w:t>（加盖投标人单位电子公章）</w:t>
      </w:r>
      <w:r>
        <w:rPr>
          <w:rFonts w:eastAsia="宋体" w:cs="宋体"/>
          <w:color w:val="auto"/>
          <w:position w:val="-2"/>
          <w:u w:val="single"/>
          <w:lang w:eastAsia="zh-CN" w:bidi="ar-SA"/>
        </w:rPr>
        <w:t xml:space="preserve">     </w:t>
      </w:r>
    </w:p>
    <w:p w14:paraId="48E081E9">
      <w:pPr>
        <w:wordWrap w:val="0"/>
        <w:spacing w:line="360" w:lineRule="auto"/>
        <w:ind w:firstLine="3117" w:firstLineChars="1299"/>
        <w:jc w:val="both"/>
        <w:rPr>
          <w:rFonts w:eastAsia="宋体" w:cs="宋体"/>
          <w:color w:val="auto"/>
          <w:position w:val="-2"/>
          <w:lang w:eastAsia="zh-CN" w:bidi="ar-SA"/>
        </w:rPr>
      </w:pPr>
      <w:r>
        <w:rPr>
          <w:rFonts w:eastAsia="宋体" w:cs="宋体"/>
          <w:color w:val="auto"/>
          <w:position w:val="-2"/>
          <w:lang w:eastAsia="zh-CN" w:bidi="ar-SA"/>
        </w:rPr>
        <w:t>法定代表人：</w:t>
      </w:r>
      <w:r>
        <w:rPr>
          <w:rFonts w:eastAsia="宋体" w:cs="宋体"/>
          <w:color w:val="auto"/>
          <w:position w:val="-2"/>
          <w:u w:val="single"/>
          <w:lang w:eastAsia="zh-CN" w:bidi="ar-SA"/>
        </w:rPr>
        <w:t xml:space="preserve"> </w:t>
      </w:r>
      <w:r>
        <w:rPr>
          <w:rFonts w:hint="eastAsia" w:eastAsia="宋体" w:cs="宋体"/>
          <w:color w:val="auto"/>
          <w:position w:val="-2"/>
          <w:u w:val="single"/>
          <w:lang w:eastAsia="zh-CN" w:bidi="ar-SA"/>
        </w:rPr>
        <w:t xml:space="preserve">（加盖法定代表人电子签名） </w:t>
      </w:r>
      <w:r>
        <w:rPr>
          <w:rFonts w:eastAsia="宋体" w:cs="宋体"/>
          <w:color w:val="auto"/>
          <w:position w:val="-2"/>
          <w:u w:val="single"/>
          <w:lang w:eastAsia="zh-CN" w:bidi="ar-SA"/>
        </w:rPr>
        <w:t xml:space="preserve">    </w:t>
      </w:r>
    </w:p>
    <w:p w14:paraId="67E4A561">
      <w:pPr>
        <w:wordWrap w:val="0"/>
        <w:spacing w:line="360" w:lineRule="auto"/>
        <w:ind w:firstLine="3117" w:firstLineChars="1299"/>
        <w:jc w:val="both"/>
        <w:rPr>
          <w:rFonts w:eastAsia="宋体" w:cs="宋体"/>
          <w:color w:val="auto"/>
          <w:lang w:eastAsia="zh-CN" w:bidi="ar-SA"/>
        </w:rPr>
      </w:pPr>
      <w:r>
        <w:rPr>
          <w:rFonts w:eastAsia="宋体" w:cs="宋体"/>
          <w:color w:val="auto"/>
          <w:lang w:eastAsia="zh-CN" w:bidi="ar-SA"/>
        </w:rPr>
        <w:t xml:space="preserve">地  </w:t>
      </w:r>
      <w:r>
        <w:rPr>
          <w:rFonts w:hint="eastAsia" w:eastAsia="宋体" w:cs="宋体"/>
          <w:color w:val="auto"/>
          <w:lang w:eastAsia="zh-CN" w:bidi="ar-SA"/>
        </w:rPr>
        <w:t xml:space="preserve">     </w:t>
      </w:r>
      <w:r>
        <w:rPr>
          <w:rFonts w:eastAsia="宋体" w:cs="宋体"/>
          <w:color w:val="auto"/>
          <w:lang w:eastAsia="zh-CN" w:bidi="ar-SA"/>
        </w:rPr>
        <w:t xml:space="preserve"> 址：</w:t>
      </w:r>
      <w:r>
        <w:rPr>
          <w:rFonts w:eastAsia="宋体" w:cs="宋体"/>
          <w:color w:val="auto"/>
          <w:u w:val="single"/>
          <w:lang w:eastAsia="zh-CN" w:bidi="ar-SA"/>
        </w:rPr>
        <w:t xml:space="preserve"> </w:t>
      </w:r>
      <w:r>
        <w:rPr>
          <w:rFonts w:hint="eastAsia" w:eastAsia="宋体" w:cs="宋体"/>
          <w:color w:val="auto"/>
          <w:u w:val="single"/>
          <w:lang w:eastAsia="zh-CN" w:bidi="ar-SA"/>
        </w:rPr>
        <w:t xml:space="preserve">                                                                  </w:t>
      </w:r>
      <w:r>
        <w:rPr>
          <w:rFonts w:eastAsia="宋体" w:cs="宋体"/>
          <w:color w:val="auto"/>
          <w:u w:val="single"/>
          <w:lang w:eastAsia="zh-CN" w:bidi="ar-SA"/>
        </w:rPr>
        <w:t xml:space="preserve"> </w:t>
      </w:r>
    </w:p>
    <w:p w14:paraId="49A95CFE">
      <w:pPr>
        <w:wordWrap w:val="0"/>
        <w:spacing w:line="360" w:lineRule="auto"/>
        <w:ind w:firstLine="3117" w:firstLineChars="1299"/>
        <w:jc w:val="both"/>
        <w:rPr>
          <w:rFonts w:eastAsia="宋体" w:cs="宋体"/>
          <w:color w:val="auto"/>
          <w:lang w:eastAsia="zh-CN" w:bidi="ar-SA"/>
        </w:rPr>
      </w:pPr>
      <w:r>
        <w:rPr>
          <w:rFonts w:eastAsia="宋体" w:cs="宋体"/>
          <w:color w:val="auto"/>
          <w:lang w:eastAsia="zh-CN" w:bidi="ar-SA"/>
        </w:rPr>
        <w:t xml:space="preserve">网  </w:t>
      </w:r>
      <w:r>
        <w:rPr>
          <w:rFonts w:hint="eastAsia" w:eastAsia="宋体" w:cs="宋体"/>
          <w:color w:val="auto"/>
          <w:lang w:eastAsia="zh-CN" w:bidi="ar-SA"/>
        </w:rPr>
        <w:t xml:space="preserve">    </w:t>
      </w:r>
      <w:r>
        <w:rPr>
          <w:rFonts w:eastAsia="宋体" w:cs="宋体"/>
          <w:color w:val="auto"/>
          <w:lang w:eastAsia="zh-CN" w:bidi="ar-SA"/>
        </w:rPr>
        <w:t xml:space="preserve">  址：</w:t>
      </w:r>
      <w:r>
        <w:rPr>
          <w:rFonts w:eastAsia="宋体" w:cs="宋体"/>
          <w:color w:val="auto"/>
          <w:u w:val="single"/>
          <w:lang w:eastAsia="zh-CN" w:bidi="ar-SA"/>
        </w:rPr>
        <w:t xml:space="preserve"> </w:t>
      </w:r>
      <w:r>
        <w:rPr>
          <w:rFonts w:hint="eastAsia" w:eastAsia="宋体" w:cs="宋体"/>
          <w:color w:val="auto"/>
          <w:u w:val="single"/>
          <w:lang w:eastAsia="zh-CN" w:bidi="ar-SA"/>
        </w:rPr>
        <w:t xml:space="preserve">                                                                  </w:t>
      </w:r>
      <w:r>
        <w:rPr>
          <w:rFonts w:eastAsia="宋体" w:cs="宋体"/>
          <w:color w:val="auto"/>
          <w:u w:val="single"/>
          <w:lang w:eastAsia="zh-CN" w:bidi="ar-SA"/>
        </w:rPr>
        <w:t xml:space="preserve"> </w:t>
      </w:r>
    </w:p>
    <w:p w14:paraId="0161658D">
      <w:pPr>
        <w:wordWrap w:val="0"/>
        <w:spacing w:line="360" w:lineRule="auto"/>
        <w:ind w:firstLine="3117" w:firstLineChars="1299"/>
        <w:jc w:val="both"/>
        <w:rPr>
          <w:rFonts w:eastAsia="宋体" w:cs="宋体"/>
          <w:color w:val="auto"/>
          <w:lang w:eastAsia="zh-CN" w:bidi="ar-SA"/>
        </w:rPr>
      </w:pPr>
      <w:r>
        <w:rPr>
          <w:rFonts w:eastAsia="宋体" w:cs="宋体"/>
          <w:color w:val="auto"/>
          <w:lang w:eastAsia="zh-CN" w:bidi="ar-SA"/>
        </w:rPr>
        <w:t xml:space="preserve">电   </w:t>
      </w:r>
      <w:r>
        <w:rPr>
          <w:rFonts w:hint="eastAsia" w:eastAsia="宋体" w:cs="宋体"/>
          <w:color w:val="auto"/>
          <w:lang w:eastAsia="zh-CN" w:bidi="ar-SA"/>
        </w:rPr>
        <w:t xml:space="preserve">     </w:t>
      </w:r>
      <w:r>
        <w:rPr>
          <w:rFonts w:eastAsia="宋体" w:cs="宋体"/>
          <w:color w:val="auto"/>
          <w:lang w:eastAsia="zh-CN" w:bidi="ar-SA"/>
        </w:rPr>
        <w:t>话：</w:t>
      </w:r>
      <w:r>
        <w:rPr>
          <w:rFonts w:eastAsia="宋体" w:cs="宋体"/>
          <w:color w:val="auto"/>
          <w:u w:val="single"/>
          <w:lang w:eastAsia="zh-CN" w:bidi="ar-SA"/>
        </w:rPr>
        <w:t xml:space="preserve"> </w:t>
      </w:r>
      <w:r>
        <w:rPr>
          <w:rFonts w:hint="eastAsia" w:eastAsia="宋体" w:cs="宋体"/>
          <w:color w:val="auto"/>
          <w:u w:val="single"/>
          <w:lang w:eastAsia="zh-CN" w:bidi="ar-SA"/>
        </w:rPr>
        <w:t xml:space="preserve">                                                                  </w:t>
      </w:r>
      <w:r>
        <w:rPr>
          <w:rFonts w:eastAsia="宋体" w:cs="宋体"/>
          <w:color w:val="auto"/>
          <w:u w:val="single"/>
          <w:lang w:eastAsia="zh-CN" w:bidi="ar-SA"/>
        </w:rPr>
        <w:t xml:space="preserve"> </w:t>
      </w:r>
    </w:p>
    <w:p w14:paraId="10818D92">
      <w:pPr>
        <w:wordWrap w:val="0"/>
        <w:spacing w:line="360" w:lineRule="auto"/>
        <w:ind w:firstLine="3117" w:firstLineChars="1299"/>
        <w:jc w:val="both"/>
        <w:rPr>
          <w:rFonts w:eastAsia="宋体" w:cs="宋体"/>
          <w:color w:val="auto"/>
          <w:lang w:eastAsia="zh-CN" w:bidi="ar-SA"/>
        </w:rPr>
      </w:pPr>
      <w:r>
        <w:rPr>
          <w:rFonts w:eastAsia="宋体" w:cs="宋体"/>
          <w:color w:val="auto"/>
          <w:lang w:eastAsia="zh-CN" w:bidi="ar-SA"/>
        </w:rPr>
        <w:t xml:space="preserve">传  </w:t>
      </w:r>
      <w:r>
        <w:rPr>
          <w:rFonts w:hint="eastAsia" w:eastAsia="宋体" w:cs="宋体"/>
          <w:color w:val="auto"/>
          <w:lang w:eastAsia="zh-CN" w:bidi="ar-SA"/>
        </w:rPr>
        <w:t xml:space="preserve">    </w:t>
      </w:r>
      <w:r>
        <w:rPr>
          <w:rFonts w:eastAsia="宋体" w:cs="宋体"/>
          <w:color w:val="auto"/>
          <w:lang w:eastAsia="zh-CN" w:bidi="ar-SA"/>
        </w:rPr>
        <w:t xml:space="preserve">  真：</w:t>
      </w:r>
      <w:r>
        <w:rPr>
          <w:rFonts w:eastAsia="宋体" w:cs="宋体"/>
          <w:color w:val="auto"/>
          <w:u w:val="single"/>
          <w:lang w:eastAsia="zh-CN" w:bidi="ar-SA"/>
        </w:rPr>
        <w:t xml:space="preserve"> </w:t>
      </w:r>
      <w:r>
        <w:rPr>
          <w:rFonts w:hint="eastAsia" w:eastAsia="宋体" w:cs="宋体"/>
          <w:color w:val="auto"/>
          <w:u w:val="single"/>
          <w:lang w:eastAsia="zh-CN" w:bidi="ar-SA"/>
        </w:rPr>
        <w:t xml:space="preserve">                                                                  </w:t>
      </w:r>
      <w:r>
        <w:rPr>
          <w:rFonts w:eastAsia="宋体" w:cs="宋体"/>
          <w:color w:val="auto"/>
          <w:u w:val="single"/>
          <w:lang w:eastAsia="zh-CN" w:bidi="ar-SA"/>
        </w:rPr>
        <w:t xml:space="preserve"> </w:t>
      </w:r>
    </w:p>
    <w:p w14:paraId="5520C81F">
      <w:pPr>
        <w:wordWrap w:val="0"/>
        <w:spacing w:line="360" w:lineRule="auto"/>
        <w:ind w:firstLine="3117" w:firstLineChars="1299"/>
        <w:jc w:val="both"/>
        <w:rPr>
          <w:rFonts w:eastAsia="宋体" w:cs="宋体"/>
          <w:color w:val="auto"/>
          <w:lang w:eastAsia="zh-CN" w:bidi="ar-SA"/>
        </w:rPr>
      </w:pPr>
      <w:r>
        <w:rPr>
          <w:rFonts w:eastAsia="宋体" w:cs="宋体"/>
          <w:color w:val="auto"/>
          <w:lang w:eastAsia="zh-CN" w:bidi="ar-SA"/>
        </w:rPr>
        <w:t>邮政编码：</w:t>
      </w:r>
      <w:r>
        <w:rPr>
          <w:rFonts w:eastAsia="宋体" w:cs="宋体"/>
          <w:color w:val="auto"/>
          <w:u w:val="single"/>
          <w:lang w:eastAsia="zh-CN" w:bidi="ar-SA"/>
        </w:rPr>
        <w:t xml:space="preserve"> </w:t>
      </w:r>
      <w:r>
        <w:rPr>
          <w:rFonts w:hint="eastAsia" w:eastAsia="宋体" w:cs="宋体"/>
          <w:color w:val="auto"/>
          <w:u w:val="single"/>
          <w:lang w:eastAsia="zh-CN" w:bidi="ar-SA"/>
        </w:rPr>
        <w:t xml:space="preserve">                                                                  </w:t>
      </w:r>
      <w:r>
        <w:rPr>
          <w:rFonts w:eastAsia="宋体" w:cs="宋体"/>
          <w:color w:val="auto"/>
          <w:u w:val="single"/>
          <w:lang w:eastAsia="zh-CN" w:bidi="ar-SA"/>
        </w:rPr>
        <w:t xml:space="preserve"> </w:t>
      </w:r>
    </w:p>
    <w:p w14:paraId="65AA2770">
      <w:pPr>
        <w:wordWrap w:val="0"/>
        <w:spacing w:line="360" w:lineRule="auto"/>
        <w:ind w:firstLine="480" w:firstLineChars="200"/>
        <w:jc w:val="right"/>
        <w:rPr>
          <w:rFonts w:eastAsia="宋体" w:cs="宋体"/>
          <w:color w:val="auto"/>
          <w:lang w:eastAsia="zh-CN" w:bidi="ar-SA"/>
        </w:rPr>
      </w:pPr>
      <w:r>
        <w:rPr>
          <w:rFonts w:hint="eastAsia" w:eastAsia="宋体" w:cs="宋体"/>
          <w:color w:val="auto"/>
          <w:u w:val="single"/>
          <w:lang w:eastAsia="zh-CN" w:bidi="ar-SA"/>
        </w:rPr>
        <w:t xml:space="preserve">            </w:t>
      </w:r>
      <w:r>
        <w:rPr>
          <w:rFonts w:eastAsia="宋体" w:cs="宋体"/>
          <w:color w:val="auto"/>
          <w:lang w:eastAsia="zh-CN" w:bidi="ar-SA"/>
        </w:rPr>
        <w:t>年</w:t>
      </w:r>
      <w:r>
        <w:rPr>
          <w:rFonts w:hint="eastAsia" w:eastAsia="宋体" w:cs="宋体"/>
          <w:color w:val="auto"/>
          <w:u w:val="single"/>
          <w:lang w:eastAsia="zh-CN" w:bidi="ar-SA"/>
        </w:rPr>
        <w:t xml:space="preserve">       </w:t>
      </w:r>
      <w:r>
        <w:rPr>
          <w:rFonts w:eastAsia="宋体" w:cs="宋体"/>
          <w:color w:val="auto"/>
          <w:lang w:eastAsia="zh-CN" w:bidi="ar-SA"/>
        </w:rPr>
        <w:t>月</w:t>
      </w:r>
      <w:r>
        <w:rPr>
          <w:rFonts w:hint="eastAsia" w:eastAsia="宋体" w:cs="宋体"/>
          <w:color w:val="auto"/>
          <w:u w:val="single"/>
          <w:lang w:eastAsia="zh-CN" w:bidi="ar-SA"/>
        </w:rPr>
        <w:t xml:space="preserve">       </w:t>
      </w:r>
      <w:r>
        <w:rPr>
          <w:rFonts w:eastAsia="宋体" w:cs="宋体"/>
          <w:color w:val="auto"/>
          <w:lang w:eastAsia="zh-CN" w:bidi="ar-SA"/>
        </w:rPr>
        <w:t>日</w:t>
      </w:r>
    </w:p>
    <w:p w14:paraId="4BB7D17F">
      <w:pPr>
        <w:wordWrap w:val="0"/>
        <w:spacing w:line="360" w:lineRule="auto"/>
        <w:ind w:firstLine="480" w:firstLineChars="200"/>
        <w:jc w:val="right"/>
        <w:rPr>
          <w:rFonts w:eastAsia="宋体" w:cs="宋体"/>
          <w:color w:val="auto"/>
          <w:lang w:eastAsia="zh-CN" w:bidi="ar-SA"/>
        </w:rPr>
      </w:pPr>
      <w:r>
        <w:rPr>
          <w:rFonts w:eastAsia="宋体" w:cs="宋体"/>
          <w:color w:val="auto"/>
          <w:lang w:eastAsia="zh-CN" w:bidi="ar-SA"/>
        </w:rPr>
        <w:br w:type="page"/>
      </w:r>
    </w:p>
    <w:p w14:paraId="65ECDEDC">
      <w:pPr>
        <w:snapToGrid w:val="0"/>
        <w:spacing w:before="240" w:beforeLines="100" w:after="240" w:afterLines="100"/>
        <w:jc w:val="center"/>
        <w:outlineLvl w:val="1"/>
        <w:rPr>
          <w:rFonts w:hint="eastAsia" w:ascii="宋体" w:hAnsi="宋体" w:eastAsia="宋体" w:cs="宋体"/>
          <w:b/>
          <w:color w:val="auto"/>
          <w:spacing w:val="-10"/>
          <w:sz w:val="32"/>
          <w:szCs w:val="32"/>
          <w:lang w:eastAsia="zh-CN" w:bidi="ar-SA"/>
        </w:rPr>
      </w:pPr>
      <w:bookmarkStart w:id="969" w:name="_Toc6010"/>
      <w:r>
        <w:rPr>
          <w:rFonts w:ascii="宋体" w:hAnsi="宋体" w:eastAsia="宋体" w:cs="宋体"/>
          <w:b/>
          <w:color w:val="auto"/>
          <w:spacing w:val="-10"/>
          <w:sz w:val="32"/>
          <w:szCs w:val="32"/>
          <w:lang w:eastAsia="zh-CN" w:bidi="ar-SA"/>
        </w:rPr>
        <w:t>二、</w:t>
      </w:r>
      <w:r>
        <w:rPr>
          <w:rFonts w:hint="eastAsia" w:ascii="宋体" w:hAnsi="宋体" w:eastAsia="宋体" w:cs="宋体"/>
          <w:b/>
          <w:color w:val="auto"/>
          <w:spacing w:val="-10"/>
          <w:sz w:val="32"/>
          <w:szCs w:val="32"/>
          <w:lang w:eastAsia="zh-CN" w:bidi="ar-SA"/>
        </w:rPr>
        <w:t>监理报酬</w:t>
      </w:r>
      <w:r>
        <w:rPr>
          <w:rFonts w:ascii="宋体" w:hAnsi="宋体" w:eastAsia="宋体" w:cs="宋体"/>
          <w:b/>
          <w:color w:val="auto"/>
          <w:spacing w:val="-10"/>
          <w:sz w:val="32"/>
          <w:szCs w:val="32"/>
          <w:lang w:eastAsia="zh-CN" w:bidi="ar-SA"/>
        </w:rPr>
        <w:t>清单</w:t>
      </w:r>
      <w:bookmarkEnd w:id="969"/>
    </w:p>
    <w:p w14:paraId="4B2E8313">
      <w:pPr>
        <w:keepNext/>
        <w:keepLines/>
        <w:spacing w:line="360" w:lineRule="auto"/>
        <w:ind w:firstLine="482" w:firstLineChars="200"/>
        <w:jc w:val="both"/>
        <w:outlineLvl w:val="2"/>
        <w:rPr>
          <w:rFonts w:eastAsia="宋体"/>
          <w:b/>
          <w:bCs/>
          <w:color w:val="auto"/>
          <w:kern w:val="2"/>
          <w:szCs w:val="32"/>
          <w:lang w:eastAsia="zh-CN" w:bidi="ar-SA"/>
        </w:rPr>
      </w:pPr>
      <w:bookmarkStart w:id="970" w:name="_Toc26463"/>
      <w:r>
        <w:rPr>
          <w:rFonts w:eastAsia="宋体"/>
          <w:b/>
          <w:bCs/>
          <w:color w:val="auto"/>
          <w:kern w:val="2"/>
          <w:szCs w:val="32"/>
          <w:lang w:eastAsia="zh-CN" w:bidi="ar-SA"/>
        </w:rPr>
        <w:t>1. 监理报酬清单说明</w:t>
      </w:r>
      <w:bookmarkEnd w:id="970"/>
    </w:p>
    <w:p w14:paraId="526751FC">
      <w:pPr>
        <w:spacing w:line="360" w:lineRule="auto"/>
        <w:ind w:firstLine="240" w:firstLineChars="100"/>
        <w:jc w:val="both"/>
        <w:rPr>
          <w:rFonts w:hint="eastAsia" w:ascii="宋体" w:hAnsi="宋体" w:eastAsia="宋体"/>
          <w:color w:val="auto"/>
          <w:kern w:val="2"/>
          <w:szCs w:val="21"/>
          <w:lang w:eastAsia="zh-CN" w:bidi="ar-SA"/>
        </w:rPr>
      </w:pPr>
      <w:r>
        <w:rPr>
          <w:rFonts w:hint="eastAsia" w:ascii="宋体" w:hAnsi="宋体" w:eastAsia="宋体"/>
          <w:color w:val="auto"/>
          <w:kern w:val="2"/>
          <w:szCs w:val="21"/>
          <w:lang w:eastAsia="zh-CN" w:bidi="ar-SA"/>
        </w:rPr>
        <w:t>（1）“监理报酬清单”应与“投标人须知”和“合同条款”一起使用。投标人应根据本招标项目要求，按照本招标文件规定的工作内容提出投标报价。</w:t>
      </w:r>
    </w:p>
    <w:p w14:paraId="60C10178">
      <w:pPr>
        <w:spacing w:line="360" w:lineRule="auto"/>
        <w:ind w:firstLine="240" w:firstLineChars="100"/>
        <w:jc w:val="both"/>
        <w:rPr>
          <w:rFonts w:hint="eastAsia" w:ascii="宋体" w:hAnsi="宋体" w:eastAsia="宋体"/>
          <w:color w:val="auto"/>
          <w:kern w:val="2"/>
          <w:szCs w:val="21"/>
          <w:lang w:eastAsia="zh-CN" w:bidi="ar-SA"/>
        </w:rPr>
      </w:pPr>
      <w:bookmarkStart w:id="971" w:name="_Hlk502217250"/>
      <w:r>
        <w:rPr>
          <w:rFonts w:hint="eastAsia" w:ascii="宋体" w:hAnsi="宋体" w:eastAsia="宋体"/>
          <w:color w:val="auto"/>
          <w:kern w:val="2"/>
          <w:szCs w:val="21"/>
          <w:lang w:eastAsia="zh-CN" w:bidi="ar-SA"/>
        </w:rPr>
        <w:t>（2）投标人的投标报价，是完成所投项目的全部工作的投标价。投标报价应视为已包括：所有人员费用（含节假日加班、延时加班）、现场费用、工作、生活及交通工具设施及使用费，检测设备及相关费用，税金、利润等与履行本合同有关的一切费用。</w:t>
      </w:r>
    </w:p>
    <w:p w14:paraId="67623906">
      <w:pPr>
        <w:spacing w:line="360" w:lineRule="auto"/>
        <w:ind w:firstLine="241" w:firstLineChars="100"/>
        <w:jc w:val="both"/>
        <w:rPr>
          <w:rFonts w:hint="eastAsia" w:ascii="宋体" w:hAnsi="宋体" w:eastAsia="宋体"/>
          <w:b/>
          <w:color w:val="auto"/>
          <w:kern w:val="2"/>
          <w:szCs w:val="21"/>
          <w:lang w:eastAsia="zh-CN" w:bidi="ar-SA"/>
        </w:rPr>
      </w:pPr>
      <w:r>
        <w:rPr>
          <w:rFonts w:hint="eastAsia" w:ascii="宋体" w:hAnsi="宋体" w:eastAsia="宋体"/>
          <w:b/>
          <w:color w:val="auto"/>
          <w:kern w:val="2"/>
          <w:szCs w:val="21"/>
          <w:lang w:eastAsia="zh-CN" w:bidi="ar-SA"/>
        </w:rPr>
        <w:t>（3）缺陷责任期阶段监理服务费报价不得低于投标报价总额的10%，否则委托人有权进行调整。</w:t>
      </w:r>
    </w:p>
    <w:bookmarkEnd w:id="971"/>
    <w:p w14:paraId="3E32929E">
      <w:pPr>
        <w:spacing w:line="360" w:lineRule="auto"/>
        <w:ind w:firstLine="240" w:firstLineChars="100"/>
        <w:jc w:val="both"/>
        <w:rPr>
          <w:rFonts w:hint="eastAsia" w:ascii="宋体" w:hAnsi="宋体" w:eastAsia="宋体"/>
          <w:color w:val="auto"/>
          <w:kern w:val="2"/>
          <w:szCs w:val="21"/>
          <w:lang w:eastAsia="zh-CN" w:bidi="ar-SA"/>
        </w:rPr>
      </w:pPr>
      <w:r>
        <w:rPr>
          <w:rFonts w:hint="eastAsia" w:ascii="宋体" w:hAnsi="宋体" w:eastAsia="宋体"/>
          <w:color w:val="auto"/>
          <w:kern w:val="2"/>
          <w:szCs w:val="21"/>
          <w:lang w:eastAsia="zh-CN" w:bidi="ar-SA"/>
        </w:rPr>
        <w:t>（4）投标人应根据本项目工作内容，按照表格格式详细填写，以免遗漏或有误。投标人没有报价的项目，将认为有关费用已包含在总报价中，不再另行支付。</w:t>
      </w:r>
    </w:p>
    <w:p w14:paraId="5B1CBA8B">
      <w:pPr>
        <w:spacing w:line="360" w:lineRule="auto"/>
        <w:ind w:firstLine="240" w:firstLineChars="100"/>
        <w:jc w:val="both"/>
        <w:rPr>
          <w:rFonts w:hint="eastAsia" w:ascii="宋体" w:hAnsi="宋体" w:eastAsia="宋体"/>
          <w:color w:val="auto"/>
          <w:kern w:val="2"/>
          <w:szCs w:val="21"/>
          <w:lang w:eastAsia="zh-CN" w:bidi="ar-SA"/>
        </w:rPr>
        <w:sectPr>
          <w:pgSz w:w="11906" w:h="16838"/>
          <w:pgMar w:top="1418" w:right="1588" w:bottom="1418" w:left="1588" w:header="680" w:footer="992" w:gutter="0"/>
          <w:cols w:space="720" w:num="1"/>
          <w:docGrid w:linePitch="312" w:charSpace="0"/>
        </w:sectPr>
      </w:pPr>
      <w:r>
        <w:rPr>
          <w:rFonts w:hint="eastAsia" w:ascii="宋体" w:hAnsi="宋体" w:eastAsia="宋体"/>
          <w:color w:val="auto"/>
          <w:kern w:val="2"/>
          <w:szCs w:val="21"/>
          <w:lang w:eastAsia="zh-CN" w:bidi="ar-SA"/>
        </w:rPr>
        <w:t>（5）报价文件中报价以人民币为单位。</w:t>
      </w:r>
    </w:p>
    <w:p w14:paraId="7A37819C">
      <w:pPr>
        <w:keepNext/>
        <w:keepLines/>
        <w:spacing w:line="360" w:lineRule="auto"/>
        <w:jc w:val="both"/>
        <w:outlineLvl w:val="2"/>
        <w:rPr>
          <w:rFonts w:eastAsia="宋体"/>
          <w:b/>
          <w:bCs/>
          <w:color w:val="auto"/>
          <w:kern w:val="2"/>
          <w:szCs w:val="32"/>
          <w:lang w:eastAsia="zh-CN" w:bidi="ar-SA"/>
        </w:rPr>
      </w:pPr>
      <w:bookmarkStart w:id="972" w:name="_Toc29972"/>
      <w:r>
        <w:rPr>
          <w:rFonts w:eastAsia="宋体"/>
          <w:b/>
          <w:bCs/>
          <w:color w:val="auto"/>
          <w:kern w:val="2"/>
          <w:szCs w:val="32"/>
          <w:lang w:eastAsia="zh-CN" w:bidi="ar-SA"/>
        </w:rPr>
        <w:t>2. 监理报酬清单</w:t>
      </w:r>
      <w:bookmarkEnd w:id="972"/>
    </w:p>
    <w:p w14:paraId="3E742CCA">
      <w:pPr>
        <w:jc w:val="both"/>
        <w:rPr>
          <w:rFonts w:eastAsia="宋体"/>
          <w:color w:val="auto"/>
          <w:kern w:val="2"/>
          <w:sz w:val="21"/>
          <w:lang w:eastAsia="zh-CN" w:bidi="ar-SA"/>
        </w:rPr>
      </w:pPr>
    </w:p>
    <w:p w14:paraId="09E7299D">
      <w:pPr>
        <w:jc w:val="center"/>
        <w:rPr>
          <w:rFonts w:eastAsia="宋体"/>
          <w:b/>
          <w:color w:val="auto"/>
          <w:kern w:val="2"/>
          <w:sz w:val="28"/>
          <w:lang w:eastAsia="zh-CN" w:bidi="ar-SA"/>
        </w:rPr>
      </w:pPr>
      <w:r>
        <w:rPr>
          <w:rFonts w:hint="eastAsia" w:eastAsia="宋体"/>
          <w:b/>
          <w:color w:val="auto"/>
          <w:kern w:val="2"/>
          <w:sz w:val="28"/>
          <w:lang w:eastAsia="zh-CN" w:bidi="ar-SA"/>
        </w:rPr>
        <w:t>监理报酬清单</w:t>
      </w:r>
    </w:p>
    <w:p w14:paraId="0434128D">
      <w:pPr>
        <w:spacing w:line="440" w:lineRule="exact"/>
        <w:ind w:right="210"/>
        <w:rPr>
          <w:rFonts w:eastAsia="宋体"/>
          <w:color w:val="auto"/>
          <w:kern w:val="2"/>
          <w:sz w:val="21"/>
          <w:szCs w:val="21"/>
          <w:lang w:eastAsia="zh-CN" w:bidi="ar-SA"/>
        </w:rPr>
      </w:pPr>
      <w:r>
        <w:rPr>
          <w:rFonts w:hint="eastAsia" w:eastAsia="宋体"/>
          <w:color w:val="auto"/>
          <w:kern w:val="2"/>
          <w:sz w:val="21"/>
          <w:szCs w:val="21"/>
          <w:lang w:eastAsia="zh-CN" w:bidi="ar-SA"/>
        </w:rPr>
        <w:t>标段：</w:t>
      </w:r>
      <w:r>
        <w:rPr>
          <w:rFonts w:hint="eastAsia" w:eastAsia="宋体"/>
          <w:color w:val="auto"/>
          <w:kern w:val="2"/>
          <w:sz w:val="21"/>
          <w:szCs w:val="21"/>
          <w:u w:val="single"/>
          <w:lang w:eastAsia="zh-CN" w:bidi="ar-SA"/>
        </w:rPr>
        <w:t xml:space="preserve">   </w:t>
      </w:r>
      <w:r>
        <w:rPr>
          <w:rFonts w:eastAsia="宋体"/>
          <w:color w:val="auto"/>
          <w:kern w:val="2"/>
          <w:sz w:val="21"/>
          <w:szCs w:val="21"/>
          <w:u w:val="single"/>
          <w:lang w:eastAsia="zh-CN" w:bidi="ar-SA"/>
        </w:rPr>
        <w:t xml:space="preserve">    </w:t>
      </w:r>
      <w:r>
        <w:rPr>
          <w:rFonts w:hint="eastAsia" w:eastAsia="宋体"/>
          <w:color w:val="auto"/>
          <w:kern w:val="2"/>
          <w:sz w:val="21"/>
          <w:szCs w:val="21"/>
          <w:u w:val="single"/>
          <w:lang w:eastAsia="zh-CN" w:bidi="ar-SA"/>
        </w:rPr>
        <w:t xml:space="preserve">      </w:t>
      </w:r>
      <w:r>
        <w:rPr>
          <w:rFonts w:hint="eastAsia" w:eastAsia="宋体"/>
          <w:color w:val="auto"/>
          <w:kern w:val="2"/>
          <w:sz w:val="21"/>
          <w:szCs w:val="21"/>
          <w:lang w:eastAsia="zh-CN" w:bidi="ar-SA"/>
        </w:rPr>
        <w:t xml:space="preserve">                                                          </w:t>
      </w:r>
      <w:r>
        <w:rPr>
          <w:rFonts w:eastAsia="宋体"/>
          <w:color w:val="auto"/>
          <w:kern w:val="2"/>
          <w:sz w:val="21"/>
          <w:szCs w:val="21"/>
          <w:lang w:eastAsia="zh-CN" w:bidi="ar-SA"/>
        </w:rPr>
        <w:t xml:space="preserve">                                              单位：人民币元</w:t>
      </w:r>
    </w:p>
    <w:tbl>
      <w:tblPr>
        <w:tblStyle w:val="47"/>
        <w:tblW w:w="96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2439"/>
        <w:gridCol w:w="1417"/>
        <w:gridCol w:w="1701"/>
        <w:gridCol w:w="1560"/>
        <w:gridCol w:w="1700"/>
      </w:tblGrid>
      <w:tr w14:paraId="1A9F51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7" w:type="dxa"/>
            <w:vAlign w:val="center"/>
          </w:tcPr>
          <w:p w14:paraId="5CB86CA2">
            <w:pPr>
              <w:widowControl/>
              <w:jc w:val="center"/>
              <w:rPr>
                <w:rFonts w:hint="eastAsia" w:ascii="宋体" w:hAnsi="宋体" w:eastAsia="宋体"/>
                <w:b/>
                <w:color w:val="auto"/>
                <w:sz w:val="21"/>
                <w:szCs w:val="21"/>
                <w:lang w:eastAsia="zh-CN" w:bidi="ar-SA"/>
              </w:rPr>
            </w:pPr>
            <w:r>
              <w:rPr>
                <w:rFonts w:ascii="宋体" w:hAnsi="宋体" w:eastAsia="宋体"/>
                <w:b/>
                <w:color w:val="auto"/>
                <w:sz w:val="21"/>
                <w:szCs w:val="21"/>
                <w:lang w:eastAsia="zh-CN" w:bidi="ar-SA"/>
              </w:rPr>
              <w:t>序号</w:t>
            </w:r>
          </w:p>
        </w:tc>
        <w:tc>
          <w:tcPr>
            <w:tcW w:w="2439" w:type="dxa"/>
            <w:vAlign w:val="center"/>
          </w:tcPr>
          <w:p w14:paraId="2A2C72A5">
            <w:pPr>
              <w:widowControl/>
              <w:jc w:val="center"/>
              <w:rPr>
                <w:rFonts w:hint="eastAsia" w:ascii="宋体" w:hAnsi="宋体" w:eastAsia="宋体"/>
                <w:b/>
                <w:color w:val="auto"/>
                <w:sz w:val="21"/>
                <w:szCs w:val="21"/>
                <w:lang w:eastAsia="zh-CN" w:bidi="ar-SA"/>
              </w:rPr>
            </w:pPr>
            <w:r>
              <w:rPr>
                <w:rFonts w:ascii="宋体" w:hAnsi="宋体" w:eastAsia="宋体"/>
                <w:b/>
                <w:color w:val="auto"/>
                <w:sz w:val="21"/>
                <w:szCs w:val="21"/>
                <w:lang w:eastAsia="zh-CN" w:bidi="ar-SA"/>
              </w:rPr>
              <w:t>监理报酬分项名称</w:t>
            </w:r>
          </w:p>
        </w:tc>
        <w:tc>
          <w:tcPr>
            <w:tcW w:w="1417" w:type="dxa"/>
            <w:vAlign w:val="center"/>
          </w:tcPr>
          <w:p w14:paraId="0636FE16">
            <w:pPr>
              <w:widowControl/>
              <w:jc w:val="center"/>
              <w:rPr>
                <w:rFonts w:hint="eastAsia" w:ascii="宋体" w:hAnsi="宋体" w:eastAsia="宋体"/>
                <w:b/>
                <w:color w:val="auto"/>
                <w:sz w:val="21"/>
                <w:szCs w:val="21"/>
                <w:lang w:eastAsia="zh-CN" w:bidi="ar-SA"/>
              </w:rPr>
            </w:pPr>
            <w:r>
              <w:rPr>
                <w:rFonts w:hint="eastAsia" w:ascii="宋体" w:hAnsi="宋体" w:eastAsia="宋体"/>
                <w:b/>
                <w:color w:val="auto"/>
                <w:sz w:val="21"/>
                <w:szCs w:val="21"/>
                <w:lang w:eastAsia="zh-CN" w:bidi="ar-SA"/>
              </w:rPr>
              <w:t>人月数</w:t>
            </w:r>
          </w:p>
          <w:p w14:paraId="06BE32D1">
            <w:pPr>
              <w:widowControl/>
              <w:jc w:val="center"/>
              <w:rPr>
                <w:rFonts w:hint="eastAsia" w:ascii="宋体" w:hAnsi="宋体" w:eastAsia="宋体"/>
                <w:b/>
                <w:color w:val="auto"/>
                <w:sz w:val="21"/>
                <w:szCs w:val="21"/>
                <w:lang w:eastAsia="zh-CN" w:bidi="ar-SA"/>
              </w:rPr>
            </w:pPr>
            <w:r>
              <w:rPr>
                <w:rFonts w:hint="eastAsia" w:ascii="宋体" w:hAnsi="宋体" w:eastAsia="宋体"/>
                <w:b/>
                <w:color w:val="auto"/>
                <w:sz w:val="21"/>
                <w:szCs w:val="21"/>
                <w:lang w:eastAsia="zh-CN" w:bidi="ar-SA"/>
              </w:rPr>
              <w:t>（人*月）</w:t>
            </w:r>
          </w:p>
        </w:tc>
        <w:tc>
          <w:tcPr>
            <w:tcW w:w="1701" w:type="dxa"/>
          </w:tcPr>
          <w:p w14:paraId="49B01E78">
            <w:pPr>
              <w:widowControl/>
              <w:jc w:val="center"/>
              <w:rPr>
                <w:rFonts w:hint="eastAsia" w:ascii="宋体" w:hAnsi="宋体" w:eastAsia="宋体"/>
                <w:b/>
                <w:color w:val="auto"/>
                <w:sz w:val="21"/>
                <w:szCs w:val="21"/>
                <w:lang w:eastAsia="zh-CN" w:bidi="ar-SA"/>
              </w:rPr>
            </w:pPr>
            <w:r>
              <w:rPr>
                <w:rFonts w:hint="eastAsia" w:ascii="宋体" w:hAnsi="宋体" w:eastAsia="宋体"/>
                <w:b/>
                <w:color w:val="auto"/>
                <w:sz w:val="21"/>
                <w:szCs w:val="21"/>
                <w:lang w:eastAsia="zh-CN" w:bidi="ar-SA"/>
              </w:rPr>
              <w:t>人月费单价</w:t>
            </w:r>
          </w:p>
          <w:p w14:paraId="048DB152">
            <w:pPr>
              <w:widowControl/>
              <w:jc w:val="center"/>
              <w:rPr>
                <w:rFonts w:hint="eastAsia" w:ascii="宋体" w:hAnsi="宋体" w:eastAsia="宋体"/>
                <w:b/>
                <w:color w:val="auto"/>
                <w:sz w:val="21"/>
                <w:szCs w:val="21"/>
                <w:lang w:eastAsia="zh-CN" w:bidi="ar-SA"/>
              </w:rPr>
            </w:pPr>
            <w:r>
              <w:rPr>
                <w:rFonts w:hint="eastAsia" w:ascii="宋体" w:hAnsi="宋体" w:eastAsia="宋体"/>
                <w:b/>
                <w:color w:val="auto"/>
                <w:sz w:val="21"/>
                <w:szCs w:val="21"/>
                <w:lang w:eastAsia="zh-CN" w:bidi="ar-SA"/>
              </w:rPr>
              <w:t>（元/人*月）</w:t>
            </w:r>
          </w:p>
        </w:tc>
        <w:tc>
          <w:tcPr>
            <w:tcW w:w="1560" w:type="dxa"/>
            <w:vAlign w:val="center"/>
          </w:tcPr>
          <w:p w14:paraId="4AD85474">
            <w:pPr>
              <w:widowControl/>
              <w:jc w:val="center"/>
              <w:rPr>
                <w:rFonts w:hint="eastAsia" w:ascii="宋体" w:hAnsi="宋体" w:eastAsia="宋体"/>
                <w:b/>
                <w:color w:val="auto"/>
                <w:sz w:val="21"/>
                <w:szCs w:val="21"/>
                <w:lang w:eastAsia="zh-CN" w:bidi="ar-SA"/>
              </w:rPr>
            </w:pPr>
            <w:r>
              <w:rPr>
                <w:rFonts w:ascii="宋体" w:hAnsi="宋体" w:eastAsia="宋体"/>
                <w:b/>
                <w:color w:val="auto"/>
                <w:sz w:val="21"/>
                <w:szCs w:val="21"/>
                <w:lang w:eastAsia="zh-CN" w:bidi="ar-SA"/>
              </w:rPr>
              <w:t>金额（元）</w:t>
            </w:r>
          </w:p>
        </w:tc>
        <w:tc>
          <w:tcPr>
            <w:tcW w:w="1700" w:type="dxa"/>
            <w:vAlign w:val="center"/>
          </w:tcPr>
          <w:p w14:paraId="682CD2C9">
            <w:pPr>
              <w:widowControl/>
              <w:jc w:val="center"/>
              <w:rPr>
                <w:rFonts w:hint="eastAsia" w:ascii="宋体" w:hAnsi="宋体" w:eastAsia="宋体"/>
                <w:b/>
                <w:color w:val="auto"/>
                <w:sz w:val="21"/>
                <w:szCs w:val="21"/>
                <w:lang w:eastAsia="zh-CN" w:bidi="ar-SA"/>
              </w:rPr>
            </w:pPr>
            <w:r>
              <w:rPr>
                <w:rFonts w:ascii="宋体" w:hAnsi="宋体" w:eastAsia="宋体"/>
                <w:b/>
                <w:color w:val="auto"/>
                <w:sz w:val="21"/>
                <w:szCs w:val="21"/>
                <w:lang w:eastAsia="zh-CN" w:bidi="ar-SA"/>
              </w:rPr>
              <w:t>备注</w:t>
            </w:r>
          </w:p>
        </w:tc>
      </w:tr>
      <w:tr w14:paraId="41246F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Align w:val="center"/>
          </w:tcPr>
          <w:p w14:paraId="6D026A81">
            <w:pPr>
              <w:jc w:val="center"/>
              <w:rPr>
                <w:rFonts w:hint="eastAsia" w:ascii="宋体" w:hAnsi="宋体" w:eastAsia="宋体"/>
                <w:b/>
                <w:color w:val="auto"/>
                <w:kern w:val="2"/>
                <w:sz w:val="21"/>
                <w:szCs w:val="21"/>
                <w:lang w:eastAsia="zh-CN" w:bidi="ar-SA"/>
              </w:rPr>
            </w:pPr>
            <w:r>
              <w:rPr>
                <w:rFonts w:ascii="宋体" w:hAnsi="宋体" w:eastAsia="宋体"/>
                <w:b/>
                <w:color w:val="auto"/>
                <w:kern w:val="2"/>
                <w:sz w:val="21"/>
                <w:szCs w:val="21"/>
                <w:lang w:eastAsia="zh-CN" w:bidi="ar-SA"/>
              </w:rPr>
              <w:t>1</w:t>
            </w:r>
          </w:p>
        </w:tc>
        <w:tc>
          <w:tcPr>
            <w:tcW w:w="2439" w:type="dxa"/>
            <w:vAlign w:val="center"/>
          </w:tcPr>
          <w:p w14:paraId="10BCB666">
            <w:pPr>
              <w:jc w:val="center"/>
              <w:rPr>
                <w:rFonts w:hint="eastAsia" w:ascii="宋体" w:hAnsi="宋体" w:eastAsia="宋体"/>
                <w:b/>
                <w:color w:val="auto"/>
                <w:kern w:val="2"/>
                <w:sz w:val="21"/>
                <w:szCs w:val="21"/>
                <w:lang w:eastAsia="zh-CN" w:bidi="ar-SA"/>
              </w:rPr>
            </w:pPr>
            <w:r>
              <w:rPr>
                <w:rFonts w:hint="eastAsia" w:ascii="宋体" w:hAnsi="宋体" w:eastAsia="宋体"/>
                <w:b/>
                <w:color w:val="auto"/>
                <w:kern w:val="2"/>
                <w:sz w:val="21"/>
                <w:szCs w:val="21"/>
                <w:lang w:eastAsia="zh-CN" w:bidi="ar-SA"/>
              </w:rPr>
              <w:t>施工阶段</w:t>
            </w:r>
          </w:p>
        </w:tc>
        <w:tc>
          <w:tcPr>
            <w:tcW w:w="1417" w:type="dxa"/>
            <w:vAlign w:val="center"/>
          </w:tcPr>
          <w:p w14:paraId="32AE314F">
            <w:pPr>
              <w:jc w:val="center"/>
              <w:rPr>
                <w:rFonts w:hint="eastAsia" w:ascii="宋体" w:hAnsi="宋体" w:eastAsia="宋体"/>
                <w:b/>
                <w:color w:val="auto"/>
                <w:kern w:val="2"/>
                <w:sz w:val="21"/>
                <w:szCs w:val="21"/>
                <w:lang w:eastAsia="zh-CN" w:bidi="ar-SA"/>
              </w:rPr>
            </w:pPr>
          </w:p>
        </w:tc>
        <w:tc>
          <w:tcPr>
            <w:tcW w:w="1701" w:type="dxa"/>
            <w:vAlign w:val="center"/>
          </w:tcPr>
          <w:p w14:paraId="5FA67DC3">
            <w:pPr>
              <w:jc w:val="center"/>
              <w:rPr>
                <w:rFonts w:hint="eastAsia" w:ascii="宋体" w:hAnsi="宋体" w:eastAsia="宋体"/>
                <w:b/>
                <w:color w:val="auto"/>
                <w:kern w:val="2"/>
                <w:sz w:val="21"/>
                <w:szCs w:val="21"/>
                <w:lang w:eastAsia="zh-CN" w:bidi="ar-SA"/>
              </w:rPr>
            </w:pPr>
          </w:p>
        </w:tc>
        <w:tc>
          <w:tcPr>
            <w:tcW w:w="1560" w:type="dxa"/>
            <w:vAlign w:val="center"/>
          </w:tcPr>
          <w:p w14:paraId="1133886B">
            <w:pPr>
              <w:jc w:val="center"/>
              <w:rPr>
                <w:rFonts w:hint="eastAsia" w:ascii="宋体" w:hAnsi="宋体" w:eastAsia="宋体"/>
                <w:b/>
                <w:color w:val="auto"/>
                <w:kern w:val="2"/>
                <w:sz w:val="21"/>
                <w:szCs w:val="21"/>
                <w:lang w:eastAsia="zh-CN" w:bidi="ar-SA"/>
              </w:rPr>
            </w:pPr>
          </w:p>
        </w:tc>
        <w:tc>
          <w:tcPr>
            <w:tcW w:w="1700" w:type="dxa"/>
            <w:vAlign w:val="center"/>
          </w:tcPr>
          <w:p w14:paraId="01053DE7">
            <w:pPr>
              <w:jc w:val="center"/>
              <w:rPr>
                <w:rFonts w:hint="eastAsia" w:ascii="宋体" w:hAnsi="宋体" w:eastAsia="宋体"/>
                <w:b/>
                <w:color w:val="auto"/>
                <w:kern w:val="2"/>
                <w:sz w:val="21"/>
                <w:szCs w:val="21"/>
                <w:lang w:eastAsia="zh-CN" w:bidi="ar-SA"/>
              </w:rPr>
            </w:pPr>
          </w:p>
        </w:tc>
      </w:tr>
      <w:tr w14:paraId="0BBECE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Align w:val="center"/>
          </w:tcPr>
          <w:p w14:paraId="2DE5D879">
            <w:pPr>
              <w:spacing w:before="100" w:beforeAutospacing="1" w:after="100" w:afterAutospacing="1"/>
              <w:jc w:val="center"/>
              <w:rPr>
                <w:rFonts w:hint="eastAsia" w:ascii="宋体" w:hAnsi="宋体" w:eastAsia="宋体"/>
                <w:color w:val="auto"/>
                <w:kern w:val="2"/>
                <w:sz w:val="21"/>
                <w:szCs w:val="21"/>
                <w:lang w:eastAsia="zh-CN" w:bidi="ar-SA"/>
              </w:rPr>
            </w:pPr>
            <w:r>
              <w:rPr>
                <w:rFonts w:hint="eastAsia" w:ascii="宋体" w:hAnsi="宋体" w:eastAsia="宋体"/>
                <w:color w:val="auto"/>
                <w:kern w:val="2"/>
                <w:sz w:val="21"/>
                <w:szCs w:val="21"/>
                <w:lang w:eastAsia="zh-CN" w:bidi="ar-SA"/>
              </w:rPr>
              <w:t>(1)</w:t>
            </w:r>
          </w:p>
        </w:tc>
        <w:tc>
          <w:tcPr>
            <w:tcW w:w="2439" w:type="dxa"/>
            <w:vAlign w:val="center"/>
          </w:tcPr>
          <w:p w14:paraId="65AE59F2">
            <w:pPr>
              <w:jc w:val="center"/>
              <w:rPr>
                <w:rFonts w:hint="eastAsia" w:ascii="宋体" w:hAnsi="宋体" w:eastAsia="宋体"/>
                <w:color w:val="auto"/>
                <w:kern w:val="2"/>
                <w:sz w:val="21"/>
                <w:szCs w:val="21"/>
                <w:lang w:eastAsia="zh-CN" w:bidi="ar-SA"/>
              </w:rPr>
            </w:pPr>
            <w:r>
              <w:rPr>
                <w:rFonts w:hint="eastAsia" w:ascii="宋体" w:hAnsi="宋体" w:eastAsia="宋体"/>
                <w:color w:val="auto"/>
                <w:kern w:val="2"/>
                <w:sz w:val="21"/>
                <w:szCs w:val="21"/>
                <w:lang w:eastAsia="zh-CN" w:bidi="ar-SA"/>
              </w:rPr>
              <w:t>总监理工程师</w:t>
            </w:r>
          </w:p>
        </w:tc>
        <w:tc>
          <w:tcPr>
            <w:tcW w:w="1417" w:type="dxa"/>
            <w:vAlign w:val="center"/>
          </w:tcPr>
          <w:p w14:paraId="6CBD7765">
            <w:pPr>
              <w:jc w:val="center"/>
              <w:rPr>
                <w:rFonts w:hint="eastAsia" w:ascii="宋体" w:hAnsi="宋体" w:eastAsia="宋体"/>
                <w:color w:val="auto"/>
                <w:kern w:val="2"/>
                <w:sz w:val="21"/>
                <w:szCs w:val="21"/>
                <w:lang w:eastAsia="zh-CN" w:bidi="ar-SA"/>
              </w:rPr>
            </w:pPr>
            <w:r>
              <w:rPr>
                <w:rFonts w:hint="eastAsia" w:ascii="宋体" w:hAnsi="宋体" w:eastAsia="宋体"/>
                <w:color w:val="auto"/>
                <w:kern w:val="2"/>
                <w:sz w:val="21"/>
                <w:szCs w:val="21"/>
                <w:lang w:eastAsia="zh-CN" w:bidi="ar-SA"/>
              </w:rPr>
              <w:t>18</w:t>
            </w:r>
          </w:p>
        </w:tc>
        <w:tc>
          <w:tcPr>
            <w:tcW w:w="1701" w:type="dxa"/>
            <w:vAlign w:val="center"/>
          </w:tcPr>
          <w:p w14:paraId="3B9A5FC4">
            <w:pPr>
              <w:jc w:val="center"/>
              <w:rPr>
                <w:rFonts w:hint="eastAsia" w:ascii="宋体" w:hAnsi="宋体" w:eastAsia="宋体"/>
                <w:color w:val="auto"/>
                <w:kern w:val="2"/>
                <w:sz w:val="21"/>
                <w:szCs w:val="21"/>
                <w:lang w:eastAsia="zh-CN" w:bidi="ar-SA"/>
              </w:rPr>
            </w:pPr>
          </w:p>
        </w:tc>
        <w:tc>
          <w:tcPr>
            <w:tcW w:w="1560" w:type="dxa"/>
            <w:vAlign w:val="center"/>
          </w:tcPr>
          <w:p w14:paraId="2C58C8A2">
            <w:pPr>
              <w:jc w:val="center"/>
              <w:rPr>
                <w:rFonts w:hint="eastAsia" w:ascii="宋体" w:hAnsi="宋体" w:eastAsia="宋体"/>
                <w:color w:val="auto"/>
                <w:kern w:val="2"/>
                <w:sz w:val="21"/>
                <w:szCs w:val="21"/>
                <w:lang w:eastAsia="zh-CN" w:bidi="ar-SA"/>
              </w:rPr>
            </w:pPr>
          </w:p>
        </w:tc>
        <w:tc>
          <w:tcPr>
            <w:tcW w:w="1700" w:type="dxa"/>
            <w:vAlign w:val="center"/>
          </w:tcPr>
          <w:p w14:paraId="6515ADF0">
            <w:pPr>
              <w:jc w:val="center"/>
              <w:rPr>
                <w:rFonts w:hint="eastAsia" w:ascii="宋体" w:hAnsi="宋体" w:eastAsia="宋体"/>
                <w:color w:val="auto"/>
                <w:kern w:val="2"/>
                <w:sz w:val="21"/>
                <w:szCs w:val="21"/>
                <w:lang w:eastAsia="zh-CN" w:bidi="ar-SA"/>
              </w:rPr>
            </w:pPr>
          </w:p>
        </w:tc>
      </w:tr>
      <w:tr w14:paraId="23A87E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Align w:val="center"/>
          </w:tcPr>
          <w:p w14:paraId="31F721E2">
            <w:pPr>
              <w:spacing w:before="100" w:beforeAutospacing="1" w:after="100" w:afterAutospacing="1"/>
              <w:jc w:val="center"/>
              <w:rPr>
                <w:rFonts w:hint="eastAsia" w:ascii="宋体" w:hAnsi="宋体" w:eastAsia="宋体"/>
                <w:color w:val="auto"/>
                <w:kern w:val="2"/>
                <w:sz w:val="21"/>
                <w:szCs w:val="21"/>
                <w:lang w:eastAsia="zh-CN" w:bidi="ar-SA"/>
              </w:rPr>
            </w:pPr>
            <w:r>
              <w:rPr>
                <w:rFonts w:hint="eastAsia" w:ascii="宋体" w:hAnsi="宋体" w:eastAsia="宋体"/>
                <w:color w:val="auto"/>
                <w:kern w:val="2"/>
                <w:sz w:val="21"/>
                <w:szCs w:val="21"/>
                <w:lang w:eastAsia="zh-CN" w:bidi="ar-SA"/>
              </w:rPr>
              <w:t>(</w:t>
            </w:r>
            <w:r>
              <w:rPr>
                <w:rFonts w:ascii="宋体" w:hAnsi="宋体" w:eastAsia="宋体"/>
                <w:color w:val="auto"/>
                <w:kern w:val="2"/>
                <w:sz w:val="21"/>
                <w:szCs w:val="21"/>
                <w:lang w:eastAsia="zh-CN" w:bidi="ar-SA"/>
              </w:rPr>
              <w:t>2</w:t>
            </w:r>
            <w:r>
              <w:rPr>
                <w:rFonts w:hint="eastAsia" w:ascii="宋体" w:hAnsi="宋体" w:eastAsia="宋体"/>
                <w:color w:val="auto"/>
                <w:kern w:val="2"/>
                <w:sz w:val="21"/>
                <w:szCs w:val="21"/>
                <w:lang w:eastAsia="zh-CN" w:bidi="ar-SA"/>
              </w:rPr>
              <w:t>)</w:t>
            </w:r>
          </w:p>
        </w:tc>
        <w:tc>
          <w:tcPr>
            <w:tcW w:w="2439" w:type="dxa"/>
            <w:vAlign w:val="center"/>
          </w:tcPr>
          <w:p w14:paraId="70DB96AB">
            <w:pPr>
              <w:jc w:val="center"/>
              <w:rPr>
                <w:rFonts w:hint="eastAsia" w:ascii="宋体" w:hAnsi="宋体" w:eastAsia="宋体"/>
                <w:color w:val="auto"/>
                <w:kern w:val="2"/>
                <w:sz w:val="21"/>
                <w:szCs w:val="21"/>
                <w:lang w:eastAsia="zh-CN" w:bidi="ar-SA"/>
              </w:rPr>
            </w:pPr>
            <w:r>
              <w:rPr>
                <w:rFonts w:hint="eastAsia" w:ascii="宋体" w:hAnsi="宋体" w:eastAsia="宋体"/>
                <w:color w:val="auto"/>
                <w:kern w:val="2"/>
                <w:sz w:val="21"/>
                <w:szCs w:val="21"/>
                <w:lang w:eastAsia="zh-CN" w:bidi="ar-SA"/>
              </w:rPr>
              <w:t>专业监理工程师</w:t>
            </w:r>
          </w:p>
        </w:tc>
        <w:tc>
          <w:tcPr>
            <w:tcW w:w="1417" w:type="dxa"/>
            <w:vAlign w:val="center"/>
          </w:tcPr>
          <w:p w14:paraId="33300779">
            <w:pPr>
              <w:jc w:val="center"/>
              <w:rPr>
                <w:rFonts w:hint="eastAsia" w:ascii="宋体" w:hAnsi="宋体" w:eastAsia="宋体"/>
                <w:color w:val="auto"/>
                <w:kern w:val="2"/>
                <w:sz w:val="21"/>
                <w:szCs w:val="21"/>
                <w:lang w:eastAsia="zh-CN" w:bidi="ar-SA"/>
              </w:rPr>
            </w:pPr>
            <w:r>
              <w:rPr>
                <w:rFonts w:hint="eastAsia" w:ascii="宋体" w:hAnsi="宋体" w:eastAsia="宋体"/>
                <w:color w:val="auto"/>
                <w:kern w:val="2"/>
                <w:sz w:val="21"/>
                <w:szCs w:val="21"/>
                <w:lang w:eastAsia="zh-CN" w:bidi="ar-SA"/>
              </w:rPr>
              <w:t>54</w:t>
            </w:r>
          </w:p>
        </w:tc>
        <w:tc>
          <w:tcPr>
            <w:tcW w:w="1701" w:type="dxa"/>
            <w:vAlign w:val="center"/>
          </w:tcPr>
          <w:p w14:paraId="549B6F6B">
            <w:pPr>
              <w:jc w:val="center"/>
              <w:rPr>
                <w:rFonts w:hint="eastAsia" w:ascii="宋体" w:hAnsi="宋体" w:eastAsia="宋体"/>
                <w:color w:val="auto"/>
                <w:kern w:val="2"/>
                <w:sz w:val="21"/>
                <w:szCs w:val="21"/>
                <w:lang w:eastAsia="zh-CN" w:bidi="ar-SA"/>
              </w:rPr>
            </w:pPr>
          </w:p>
        </w:tc>
        <w:tc>
          <w:tcPr>
            <w:tcW w:w="1560" w:type="dxa"/>
            <w:vAlign w:val="center"/>
          </w:tcPr>
          <w:p w14:paraId="6A0E3A21">
            <w:pPr>
              <w:jc w:val="center"/>
              <w:rPr>
                <w:rFonts w:hint="eastAsia" w:ascii="宋体" w:hAnsi="宋体" w:eastAsia="宋体"/>
                <w:color w:val="auto"/>
                <w:kern w:val="2"/>
                <w:sz w:val="21"/>
                <w:szCs w:val="21"/>
                <w:lang w:eastAsia="zh-CN" w:bidi="ar-SA"/>
              </w:rPr>
            </w:pPr>
          </w:p>
        </w:tc>
        <w:tc>
          <w:tcPr>
            <w:tcW w:w="1700" w:type="dxa"/>
            <w:vAlign w:val="center"/>
          </w:tcPr>
          <w:p w14:paraId="3ED8F129">
            <w:pPr>
              <w:jc w:val="center"/>
              <w:rPr>
                <w:rFonts w:hint="eastAsia" w:ascii="宋体" w:hAnsi="宋体" w:eastAsia="宋体"/>
                <w:color w:val="auto"/>
                <w:kern w:val="2"/>
                <w:sz w:val="21"/>
                <w:szCs w:val="21"/>
                <w:lang w:eastAsia="zh-CN" w:bidi="ar-SA"/>
              </w:rPr>
            </w:pPr>
          </w:p>
        </w:tc>
      </w:tr>
      <w:tr w14:paraId="71FB11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56" w:type="dxa"/>
            <w:gridSpan w:val="2"/>
            <w:vAlign w:val="center"/>
          </w:tcPr>
          <w:p w14:paraId="1202F41F">
            <w:pPr>
              <w:jc w:val="center"/>
              <w:rPr>
                <w:rFonts w:hint="eastAsia" w:ascii="宋体" w:hAnsi="宋体" w:eastAsia="宋体"/>
                <w:color w:val="auto"/>
                <w:kern w:val="2"/>
                <w:sz w:val="21"/>
                <w:szCs w:val="21"/>
                <w:lang w:eastAsia="zh-CN" w:bidi="ar-SA"/>
              </w:rPr>
            </w:pPr>
            <w:r>
              <w:rPr>
                <w:rFonts w:hint="eastAsia" w:ascii="宋体" w:hAnsi="宋体" w:eastAsia="宋体"/>
                <w:color w:val="auto"/>
                <w:kern w:val="2"/>
                <w:sz w:val="21"/>
                <w:szCs w:val="21"/>
                <w:lang w:eastAsia="zh-CN" w:bidi="ar-SA"/>
              </w:rPr>
              <w:t xml:space="preserve">小 </w:t>
            </w:r>
            <w:r>
              <w:rPr>
                <w:rFonts w:ascii="宋体" w:hAnsi="宋体" w:eastAsia="宋体"/>
                <w:color w:val="auto"/>
                <w:kern w:val="2"/>
                <w:sz w:val="21"/>
                <w:szCs w:val="21"/>
                <w:lang w:eastAsia="zh-CN" w:bidi="ar-SA"/>
              </w:rPr>
              <w:t xml:space="preserve"> </w:t>
            </w:r>
            <w:r>
              <w:rPr>
                <w:rFonts w:hint="eastAsia" w:ascii="宋体" w:hAnsi="宋体" w:eastAsia="宋体"/>
                <w:color w:val="auto"/>
                <w:kern w:val="2"/>
                <w:sz w:val="21"/>
                <w:szCs w:val="21"/>
                <w:lang w:eastAsia="zh-CN" w:bidi="ar-SA"/>
              </w:rPr>
              <w:t>计</w:t>
            </w:r>
          </w:p>
        </w:tc>
        <w:tc>
          <w:tcPr>
            <w:tcW w:w="1417" w:type="dxa"/>
            <w:vAlign w:val="center"/>
          </w:tcPr>
          <w:p w14:paraId="165C050F">
            <w:pPr>
              <w:jc w:val="center"/>
              <w:rPr>
                <w:rFonts w:hint="eastAsia" w:ascii="宋体" w:hAnsi="宋体" w:eastAsia="宋体"/>
                <w:color w:val="auto"/>
                <w:kern w:val="2"/>
                <w:sz w:val="21"/>
                <w:szCs w:val="21"/>
                <w:lang w:eastAsia="zh-CN" w:bidi="ar-SA"/>
              </w:rPr>
            </w:pPr>
          </w:p>
        </w:tc>
        <w:tc>
          <w:tcPr>
            <w:tcW w:w="1701" w:type="dxa"/>
            <w:vAlign w:val="center"/>
          </w:tcPr>
          <w:p w14:paraId="633AC1FA">
            <w:pPr>
              <w:jc w:val="center"/>
              <w:rPr>
                <w:rFonts w:hint="eastAsia" w:ascii="宋体" w:hAnsi="宋体" w:eastAsia="宋体"/>
                <w:color w:val="auto"/>
                <w:kern w:val="2"/>
                <w:sz w:val="21"/>
                <w:szCs w:val="21"/>
                <w:lang w:eastAsia="zh-CN" w:bidi="ar-SA"/>
              </w:rPr>
            </w:pPr>
          </w:p>
        </w:tc>
        <w:tc>
          <w:tcPr>
            <w:tcW w:w="1560" w:type="dxa"/>
            <w:vAlign w:val="center"/>
          </w:tcPr>
          <w:p w14:paraId="60307021">
            <w:pPr>
              <w:jc w:val="center"/>
              <w:rPr>
                <w:rFonts w:hint="eastAsia" w:ascii="宋体" w:hAnsi="宋体" w:eastAsia="宋体"/>
                <w:color w:val="auto"/>
                <w:kern w:val="2"/>
                <w:sz w:val="21"/>
                <w:szCs w:val="21"/>
                <w:lang w:eastAsia="zh-CN" w:bidi="ar-SA"/>
              </w:rPr>
            </w:pPr>
          </w:p>
        </w:tc>
        <w:tc>
          <w:tcPr>
            <w:tcW w:w="1700" w:type="dxa"/>
            <w:vAlign w:val="center"/>
          </w:tcPr>
          <w:p w14:paraId="3D4A99CD">
            <w:pPr>
              <w:jc w:val="center"/>
              <w:rPr>
                <w:rFonts w:hint="eastAsia" w:ascii="宋体" w:hAnsi="宋体" w:eastAsia="宋体"/>
                <w:color w:val="auto"/>
                <w:kern w:val="2"/>
                <w:sz w:val="21"/>
                <w:szCs w:val="21"/>
                <w:lang w:eastAsia="zh-CN" w:bidi="ar-SA"/>
              </w:rPr>
            </w:pPr>
          </w:p>
        </w:tc>
      </w:tr>
      <w:tr w14:paraId="649ED6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Align w:val="center"/>
          </w:tcPr>
          <w:p w14:paraId="47ECBE98">
            <w:pPr>
              <w:spacing w:before="100" w:beforeAutospacing="1" w:after="100" w:afterAutospacing="1"/>
              <w:jc w:val="center"/>
              <w:rPr>
                <w:rFonts w:hint="eastAsia" w:ascii="宋体" w:hAnsi="宋体" w:eastAsia="宋体"/>
                <w:b/>
                <w:color w:val="auto"/>
                <w:kern w:val="2"/>
                <w:sz w:val="21"/>
                <w:szCs w:val="21"/>
                <w:lang w:eastAsia="zh-CN" w:bidi="ar-SA"/>
              </w:rPr>
            </w:pPr>
            <w:r>
              <w:rPr>
                <w:rFonts w:hint="eastAsia" w:ascii="宋体" w:hAnsi="宋体" w:eastAsia="宋体"/>
                <w:b/>
                <w:color w:val="auto"/>
                <w:kern w:val="2"/>
                <w:sz w:val="21"/>
                <w:szCs w:val="21"/>
                <w:lang w:eastAsia="zh-CN" w:bidi="ar-SA"/>
              </w:rPr>
              <w:t>2</w:t>
            </w:r>
          </w:p>
        </w:tc>
        <w:tc>
          <w:tcPr>
            <w:tcW w:w="2439" w:type="dxa"/>
            <w:vAlign w:val="center"/>
          </w:tcPr>
          <w:p w14:paraId="605897EC">
            <w:pPr>
              <w:jc w:val="center"/>
              <w:rPr>
                <w:rFonts w:hint="eastAsia" w:ascii="宋体" w:hAnsi="宋体" w:eastAsia="宋体"/>
                <w:b/>
                <w:color w:val="auto"/>
                <w:sz w:val="21"/>
                <w:szCs w:val="21"/>
                <w:lang w:eastAsia="zh-CN" w:bidi="ar-SA"/>
              </w:rPr>
            </w:pPr>
            <w:r>
              <w:rPr>
                <w:rFonts w:hint="eastAsia" w:ascii="宋体" w:hAnsi="宋体" w:eastAsia="宋体"/>
                <w:b/>
                <w:color w:val="auto"/>
                <w:sz w:val="21"/>
                <w:szCs w:val="21"/>
                <w:lang w:eastAsia="zh-CN" w:bidi="ar-SA"/>
              </w:rPr>
              <w:t>缺陷责任期阶段</w:t>
            </w:r>
          </w:p>
        </w:tc>
        <w:tc>
          <w:tcPr>
            <w:tcW w:w="1417" w:type="dxa"/>
            <w:vAlign w:val="center"/>
          </w:tcPr>
          <w:p w14:paraId="41C9163F">
            <w:pPr>
              <w:jc w:val="center"/>
              <w:rPr>
                <w:rFonts w:hint="eastAsia" w:ascii="宋体" w:hAnsi="宋体" w:eastAsia="宋体"/>
                <w:b/>
                <w:color w:val="auto"/>
                <w:kern w:val="2"/>
                <w:sz w:val="21"/>
                <w:szCs w:val="21"/>
                <w:lang w:eastAsia="zh-CN" w:bidi="ar-SA"/>
              </w:rPr>
            </w:pPr>
          </w:p>
        </w:tc>
        <w:tc>
          <w:tcPr>
            <w:tcW w:w="1701" w:type="dxa"/>
            <w:vAlign w:val="center"/>
          </w:tcPr>
          <w:p w14:paraId="5A673CBC">
            <w:pPr>
              <w:jc w:val="center"/>
              <w:rPr>
                <w:rFonts w:hint="eastAsia" w:ascii="宋体" w:hAnsi="宋体" w:eastAsia="宋体"/>
                <w:b/>
                <w:color w:val="auto"/>
                <w:kern w:val="2"/>
                <w:sz w:val="21"/>
                <w:szCs w:val="21"/>
                <w:lang w:eastAsia="zh-CN" w:bidi="ar-SA"/>
              </w:rPr>
            </w:pPr>
          </w:p>
        </w:tc>
        <w:tc>
          <w:tcPr>
            <w:tcW w:w="1560" w:type="dxa"/>
            <w:vAlign w:val="center"/>
          </w:tcPr>
          <w:p w14:paraId="4591EDEF">
            <w:pPr>
              <w:jc w:val="center"/>
              <w:rPr>
                <w:rFonts w:hint="eastAsia" w:ascii="宋体" w:hAnsi="宋体" w:eastAsia="宋体"/>
                <w:b/>
                <w:color w:val="auto"/>
                <w:kern w:val="2"/>
                <w:sz w:val="21"/>
                <w:szCs w:val="21"/>
                <w:lang w:eastAsia="zh-CN" w:bidi="ar-SA"/>
              </w:rPr>
            </w:pPr>
          </w:p>
        </w:tc>
        <w:tc>
          <w:tcPr>
            <w:tcW w:w="1700" w:type="dxa"/>
            <w:vAlign w:val="center"/>
          </w:tcPr>
          <w:p w14:paraId="0A61CA69">
            <w:pPr>
              <w:jc w:val="center"/>
              <w:rPr>
                <w:rFonts w:hint="eastAsia" w:ascii="宋体" w:hAnsi="宋体" w:eastAsia="宋体"/>
                <w:b/>
                <w:color w:val="auto"/>
                <w:kern w:val="2"/>
                <w:sz w:val="21"/>
                <w:szCs w:val="21"/>
                <w:lang w:eastAsia="zh-CN" w:bidi="ar-SA"/>
              </w:rPr>
            </w:pPr>
          </w:p>
        </w:tc>
      </w:tr>
      <w:tr w14:paraId="1F610C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7" w:type="dxa"/>
            <w:vAlign w:val="center"/>
          </w:tcPr>
          <w:p w14:paraId="3CA2E983">
            <w:pPr>
              <w:spacing w:before="100" w:beforeAutospacing="1" w:after="100" w:afterAutospacing="1"/>
              <w:jc w:val="center"/>
              <w:rPr>
                <w:rFonts w:hint="eastAsia" w:ascii="宋体" w:hAnsi="宋体" w:eastAsia="宋体"/>
                <w:color w:val="auto"/>
                <w:kern w:val="2"/>
                <w:sz w:val="21"/>
                <w:szCs w:val="21"/>
                <w:lang w:eastAsia="zh-CN" w:bidi="ar-SA"/>
              </w:rPr>
            </w:pPr>
            <w:r>
              <w:rPr>
                <w:rFonts w:hint="eastAsia" w:ascii="宋体" w:hAnsi="宋体" w:eastAsia="宋体"/>
                <w:color w:val="auto"/>
                <w:kern w:val="2"/>
                <w:sz w:val="21"/>
                <w:szCs w:val="21"/>
                <w:lang w:eastAsia="zh-CN" w:bidi="ar-SA"/>
              </w:rPr>
              <w:t>(1)</w:t>
            </w:r>
          </w:p>
        </w:tc>
        <w:tc>
          <w:tcPr>
            <w:tcW w:w="2439" w:type="dxa"/>
            <w:vAlign w:val="center"/>
          </w:tcPr>
          <w:p w14:paraId="50E5102B">
            <w:pPr>
              <w:jc w:val="center"/>
              <w:rPr>
                <w:rFonts w:hint="eastAsia" w:ascii="宋体" w:hAnsi="宋体" w:eastAsia="宋体"/>
                <w:color w:val="auto"/>
                <w:kern w:val="2"/>
                <w:sz w:val="21"/>
                <w:szCs w:val="21"/>
                <w:lang w:eastAsia="zh-CN" w:bidi="ar-SA"/>
              </w:rPr>
            </w:pPr>
            <w:r>
              <w:rPr>
                <w:rFonts w:hint="eastAsia" w:ascii="宋体" w:hAnsi="宋体" w:eastAsia="宋体"/>
                <w:color w:val="auto"/>
                <w:kern w:val="2"/>
                <w:sz w:val="21"/>
                <w:szCs w:val="21"/>
                <w:lang w:eastAsia="zh-CN" w:bidi="ar-SA"/>
              </w:rPr>
              <w:t>监理工程师</w:t>
            </w:r>
          </w:p>
        </w:tc>
        <w:tc>
          <w:tcPr>
            <w:tcW w:w="1417" w:type="dxa"/>
            <w:vAlign w:val="center"/>
          </w:tcPr>
          <w:p w14:paraId="7EAA29B1">
            <w:pPr>
              <w:jc w:val="center"/>
              <w:rPr>
                <w:rFonts w:hint="eastAsia" w:ascii="宋体" w:hAnsi="宋体" w:eastAsia="宋体"/>
                <w:color w:val="auto"/>
                <w:kern w:val="2"/>
                <w:sz w:val="21"/>
                <w:szCs w:val="21"/>
                <w:lang w:eastAsia="zh-CN" w:bidi="ar-SA"/>
              </w:rPr>
            </w:pPr>
            <w:r>
              <w:rPr>
                <w:rFonts w:hint="eastAsia" w:ascii="宋体" w:hAnsi="宋体" w:eastAsia="宋体"/>
                <w:color w:val="auto"/>
                <w:kern w:val="2"/>
                <w:sz w:val="21"/>
                <w:szCs w:val="21"/>
                <w:lang w:eastAsia="zh-CN" w:bidi="ar-SA"/>
              </w:rPr>
              <w:t>24</w:t>
            </w:r>
          </w:p>
        </w:tc>
        <w:tc>
          <w:tcPr>
            <w:tcW w:w="1701" w:type="dxa"/>
            <w:vAlign w:val="center"/>
          </w:tcPr>
          <w:p w14:paraId="610E76F7">
            <w:pPr>
              <w:jc w:val="center"/>
              <w:rPr>
                <w:rFonts w:hint="eastAsia" w:ascii="宋体" w:hAnsi="宋体" w:eastAsia="宋体"/>
                <w:color w:val="auto"/>
                <w:kern w:val="2"/>
                <w:sz w:val="21"/>
                <w:szCs w:val="21"/>
                <w:lang w:eastAsia="zh-CN" w:bidi="ar-SA"/>
              </w:rPr>
            </w:pPr>
          </w:p>
        </w:tc>
        <w:tc>
          <w:tcPr>
            <w:tcW w:w="1560" w:type="dxa"/>
            <w:vAlign w:val="center"/>
          </w:tcPr>
          <w:p w14:paraId="02F6D1C1">
            <w:pPr>
              <w:jc w:val="center"/>
              <w:rPr>
                <w:rFonts w:hint="eastAsia" w:ascii="宋体" w:hAnsi="宋体" w:eastAsia="宋体"/>
                <w:color w:val="auto"/>
                <w:kern w:val="2"/>
                <w:sz w:val="21"/>
                <w:szCs w:val="21"/>
                <w:lang w:eastAsia="zh-CN" w:bidi="ar-SA"/>
              </w:rPr>
            </w:pPr>
          </w:p>
        </w:tc>
        <w:tc>
          <w:tcPr>
            <w:tcW w:w="1700" w:type="dxa"/>
            <w:vAlign w:val="center"/>
          </w:tcPr>
          <w:p w14:paraId="51D97B6E">
            <w:pPr>
              <w:jc w:val="center"/>
              <w:rPr>
                <w:rFonts w:hint="eastAsia" w:ascii="宋体" w:hAnsi="宋体" w:eastAsia="宋体"/>
                <w:color w:val="auto"/>
                <w:kern w:val="2"/>
                <w:sz w:val="21"/>
                <w:szCs w:val="21"/>
                <w:lang w:eastAsia="zh-CN" w:bidi="ar-SA"/>
              </w:rPr>
            </w:pPr>
          </w:p>
        </w:tc>
      </w:tr>
      <w:tr w14:paraId="5B47DB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56" w:type="dxa"/>
            <w:gridSpan w:val="2"/>
            <w:vAlign w:val="center"/>
          </w:tcPr>
          <w:p w14:paraId="691BC879">
            <w:pPr>
              <w:jc w:val="center"/>
              <w:rPr>
                <w:rFonts w:eastAsia="宋体"/>
                <w:color w:val="auto"/>
                <w:kern w:val="2"/>
                <w:sz w:val="21"/>
                <w:lang w:eastAsia="zh-CN" w:bidi="ar-SA"/>
              </w:rPr>
            </w:pPr>
            <w:r>
              <w:rPr>
                <w:rFonts w:hint="eastAsia" w:ascii="宋体" w:hAnsi="宋体" w:eastAsia="宋体"/>
                <w:color w:val="auto"/>
                <w:kern w:val="2"/>
                <w:sz w:val="21"/>
                <w:szCs w:val="21"/>
                <w:lang w:eastAsia="zh-CN" w:bidi="ar-SA"/>
              </w:rPr>
              <w:t xml:space="preserve">小 </w:t>
            </w:r>
            <w:r>
              <w:rPr>
                <w:rFonts w:ascii="宋体" w:hAnsi="宋体" w:eastAsia="宋体"/>
                <w:color w:val="auto"/>
                <w:kern w:val="2"/>
                <w:sz w:val="21"/>
                <w:szCs w:val="21"/>
                <w:lang w:eastAsia="zh-CN" w:bidi="ar-SA"/>
              </w:rPr>
              <w:t xml:space="preserve"> </w:t>
            </w:r>
            <w:r>
              <w:rPr>
                <w:rFonts w:hint="eastAsia" w:ascii="宋体" w:hAnsi="宋体" w:eastAsia="宋体"/>
                <w:color w:val="auto"/>
                <w:kern w:val="2"/>
                <w:sz w:val="21"/>
                <w:szCs w:val="21"/>
                <w:lang w:eastAsia="zh-CN" w:bidi="ar-SA"/>
              </w:rPr>
              <w:t>计</w:t>
            </w:r>
          </w:p>
        </w:tc>
        <w:tc>
          <w:tcPr>
            <w:tcW w:w="1417" w:type="dxa"/>
            <w:vAlign w:val="center"/>
          </w:tcPr>
          <w:p w14:paraId="69E6AC69">
            <w:pPr>
              <w:spacing w:before="100" w:beforeAutospacing="1" w:after="100" w:afterAutospacing="1"/>
              <w:jc w:val="center"/>
              <w:rPr>
                <w:rFonts w:hint="eastAsia" w:ascii="宋体" w:hAnsi="宋体" w:eastAsia="宋体"/>
                <w:color w:val="auto"/>
                <w:kern w:val="2"/>
                <w:sz w:val="21"/>
                <w:szCs w:val="21"/>
                <w:lang w:eastAsia="zh-CN" w:bidi="ar-SA"/>
              </w:rPr>
            </w:pPr>
          </w:p>
        </w:tc>
        <w:tc>
          <w:tcPr>
            <w:tcW w:w="1701" w:type="dxa"/>
            <w:vAlign w:val="center"/>
          </w:tcPr>
          <w:p w14:paraId="51712BE8">
            <w:pPr>
              <w:spacing w:before="100" w:beforeAutospacing="1" w:after="100" w:afterAutospacing="1"/>
              <w:jc w:val="center"/>
              <w:rPr>
                <w:rFonts w:hint="eastAsia" w:ascii="宋体" w:hAnsi="宋体" w:eastAsia="宋体"/>
                <w:color w:val="auto"/>
                <w:kern w:val="2"/>
                <w:sz w:val="21"/>
                <w:szCs w:val="21"/>
                <w:lang w:eastAsia="zh-CN" w:bidi="ar-SA"/>
              </w:rPr>
            </w:pPr>
          </w:p>
        </w:tc>
        <w:tc>
          <w:tcPr>
            <w:tcW w:w="1560" w:type="dxa"/>
            <w:vAlign w:val="center"/>
          </w:tcPr>
          <w:p w14:paraId="7DAE5578">
            <w:pPr>
              <w:spacing w:before="100" w:beforeAutospacing="1" w:after="100" w:afterAutospacing="1"/>
              <w:jc w:val="center"/>
              <w:rPr>
                <w:rFonts w:hint="eastAsia" w:ascii="宋体" w:hAnsi="宋体" w:eastAsia="宋体"/>
                <w:color w:val="auto"/>
                <w:kern w:val="2"/>
                <w:sz w:val="21"/>
                <w:szCs w:val="21"/>
                <w:lang w:eastAsia="zh-CN" w:bidi="ar-SA"/>
              </w:rPr>
            </w:pPr>
          </w:p>
        </w:tc>
        <w:tc>
          <w:tcPr>
            <w:tcW w:w="1700" w:type="dxa"/>
            <w:vAlign w:val="center"/>
          </w:tcPr>
          <w:p w14:paraId="2411D5E8">
            <w:pPr>
              <w:spacing w:before="100" w:beforeAutospacing="1" w:after="100" w:afterAutospacing="1"/>
              <w:jc w:val="center"/>
              <w:rPr>
                <w:rFonts w:hint="eastAsia" w:ascii="宋体" w:hAnsi="宋体" w:eastAsia="宋体"/>
                <w:color w:val="auto"/>
                <w:kern w:val="2"/>
                <w:sz w:val="21"/>
                <w:szCs w:val="21"/>
                <w:lang w:eastAsia="zh-CN" w:bidi="ar-SA"/>
              </w:rPr>
            </w:pPr>
          </w:p>
        </w:tc>
      </w:tr>
      <w:tr w14:paraId="4096D9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374" w:type="dxa"/>
            <w:gridSpan w:val="4"/>
            <w:vAlign w:val="center"/>
          </w:tcPr>
          <w:p w14:paraId="6EC656F9">
            <w:pPr>
              <w:jc w:val="center"/>
              <w:rPr>
                <w:rFonts w:hint="eastAsia" w:ascii="宋体" w:hAnsi="宋体" w:eastAsia="宋体"/>
                <w:color w:val="auto"/>
                <w:kern w:val="2"/>
                <w:sz w:val="21"/>
                <w:szCs w:val="21"/>
                <w:lang w:eastAsia="zh-CN" w:bidi="ar-SA"/>
              </w:rPr>
            </w:pPr>
            <w:r>
              <w:rPr>
                <w:rFonts w:hint="eastAsia" w:ascii="宋体" w:hAnsi="宋体" w:eastAsia="宋体"/>
                <w:b/>
                <w:color w:val="auto"/>
                <w:sz w:val="21"/>
                <w:szCs w:val="21"/>
                <w:lang w:eastAsia="zh-CN" w:bidi="ar-SA"/>
              </w:rPr>
              <w:t>合计报价</w:t>
            </w:r>
          </w:p>
        </w:tc>
        <w:tc>
          <w:tcPr>
            <w:tcW w:w="1560" w:type="dxa"/>
            <w:vAlign w:val="center"/>
          </w:tcPr>
          <w:p w14:paraId="4A0382D2">
            <w:pPr>
              <w:jc w:val="center"/>
              <w:rPr>
                <w:rFonts w:hint="eastAsia" w:ascii="宋体" w:hAnsi="宋体" w:eastAsia="宋体"/>
                <w:color w:val="auto"/>
                <w:kern w:val="2"/>
                <w:sz w:val="21"/>
                <w:szCs w:val="21"/>
                <w:lang w:eastAsia="zh-CN" w:bidi="ar-SA"/>
              </w:rPr>
            </w:pPr>
          </w:p>
        </w:tc>
        <w:tc>
          <w:tcPr>
            <w:tcW w:w="1700" w:type="dxa"/>
            <w:vAlign w:val="center"/>
          </w:tcPr>
          <w:p w14:paraId="03BE8F94">
            <w:pPr>
              <w:jc w:val="center"/>
              <w:rPr>
                <w:rFonts w:hint="eastAsia" w:ascii="宋体" w:hAnsi="宋体" w:eastAsia="宋体"/>
                <w:color w:val="auto"/>
                <w:kern w:val="2"/>
                <w:sz w:val="21"/>
                <w:szCs w:val="21"/>
                <w:lang w:eastAsia="zh-CN" w:bidi="ar-SA"/>
              </w:rPr>
            </w:pPr>
          </w:p>
        </w:tc>
      </w:tr>
    </w:tbl>
    <w:p w14:paraId="762AF6C0">
      <w:pPr>
        <w:spacing w:line="360" w:lineRule="auto"/>
        <w:ind w:right="45" w:firstLine="210" w:firstLineChars="100"/>
        <w:jc w:val="both"/>
        <w:rPr>
          <w:rFonts w:hint="eastAsia" w:ascii="宋体" w:hAnsi="宋体" w:eastAsia="宋体"/>
          <w:color w:val="auto"/>
          <w:kern w:val="2"/>
          <w:sz w:val="21"/>
          <w:szCs w:val="21"/>
          <w:lang w:eastAsia="zh-CN" w:bidi="ar-SA"/>
        </w:rPr>
      </w:pPr>
      <w:r>
        <w:rPr>
          <w:rFonts w:hint="eastAsia" w:ascii="宋体" w:hAnsi="宋体" w:eastAsia="宋体"/>
          <w:color w:val="auto"/>
          <w:kern w:val="2"/>
          <w:sz w:val="21"/>
          <w:szCs w:val="21"/>
          <w:lang w:eastAsia="zh-CN" w:bidi="ar-SA"/>
        </w:rPr>
        <w:t>注：1、监理服务时间（人月数）按专用合同条款4</w:t>
      </w:r>
      <w:r>
        <w:rPr>
          <w:rFonts w:ascii="宋体" w:hAnsi="宋体" w:eastAsia="宋体"/>
          <w:color w:val="auto"/>
          <w:kern w:val="2"/>
          <w:sz w:val="21"/>
          <w:szCs w:val="21"/>
          <w:lang w:eastAsia="zh-CN" w:bidi="ar-SA"/>
        </w:rPr>
        <w:t>.5.5</w:t>
      </w:r>
      <w:r>
        <w:rPr>
          <w:rFonts w:hint="eastAsia" w:ascii="宋体" w:hAnsi="宋体" w:eastAsia="宋体"/>
          <w:color w:val="auto"/>
          <w:kern w:val="2"/>
          <w:sz w:val="21"/>
          <w:szCs w:val="21"/>
          <w:lang w:eastAsia="zh-CN" w:bidi="ar-SA"/>
        </w:rPr>
        <w:t>给定的数量计算。</w:t>
      </w:r>
    </w:p>
    <w:p w14:paraId="69492992">
      <w:pPr>
        <w:spacing w:line="360" w:lineRule="auto"/>
        <w:ind w:right="45" w:firstLine="630" w:firstLineChars="300"/>
        <w:jc w:val="both"/>
        <w:rPr>
          <w:rFonts w:hint="eastAsia" w:ascii="宋体" w:hAnsi="宋体" w:eastAsia="宋体"/>
          <w:color w:val="auto"/>
          <w:kern w:val="2"/>
          <w:sz w:val="21"/>
          <w:szCs w:val="21"/>
          <w:lang w:eastAsia="zh-CN" w:bidi="ar-SA"/>
        </w:rPr>
      </w:pPr>
      <w:r>
        <w:rPr>
          <w:rFonts w:hint="eastAsia" w:ascii="宋体" w:hAnsi="宋体" w:eastAsia="宋体"/>
          <w:color w:val="auto"/>
          <w:kern w:val="2"/>
          <w:sz w:val="21"/>
          <w:szCs w:val="21"/>
          <w:lang w:eastAsia="zh-CN" w:bidi="ar-SA"/>
        </w:rPr>
        <w:t>2、缺陷责任期阶段监理服务费报价不得低于投标报价总额的10%。</w:t>
      </w:r>
    </w:p>
    <w:p w14:paraId="36CCAFC4">
      <w:pPr>
        <w:spacing w:line="360" w:lineRule="auto"/>
        <w:ind w:right="45" w:firstLine="210" w:firstLineChars="100"/>
        <w:jc w:val="both"/>
        <w:rPr>
          <w:rFonts w:hint="eastAsia" w:ascii="宋体" w:hAnsi="宋体" w:eastAsia="宋体"/>
          <w:color w:val="auto"/>
          <w:kern w:val="2"/>
          <w:sz w:val="21"/>
          <w:szCs w:val="21"/>
          <w:lang w:eastAsia="zh-CN" w:bidi="ar-SA"/>
        </w:rPr>
      </w:pPr>
      <w:r>
        <w:rPr>
          <w:rFonts w:hint="eastAsia" w:ascii="宋体" w:hAnsi="宋体" w:eastAsia="宋体"/>
          <w:color w:val="auto"/>
          <w:kern w:val="2"/>
          <w:sz w:val="21"/>
          <w:szCs w:val="21"/>
          <w:lang w:eastAsia="zh-CN" w:bidi="ar-SA"/>
        </w:rPr>
        <w:t xml:space="preserve"> </w:t>
      </w:r>
      <w:r>
        <w:rPr>
          <w:rFonts w:ascii="宋体" w:hAnsi="宋体" w:eastAsia="宋体"/>
          <w:color w:val="auto"/>
          <w:kern w:val="2"/>
          <w:sz w:val="21"/>
          <w:szCs w:val="21"/>
          <w:lang w:eastAsia="zh-CN" w:bidi="ar-SA"/>
        </w:rPr>
        <w:t xml:space="preserve">   </w:t>
      </w:r>
    </w:p>
    <w:p w14:paraId="657FB0FE">
      <w:pPr>
        <w:spacing w:line="360" w:lineRule="auto"/>
        <w:ind w:right="45" w:firstLine="210" w:firstLineChars="100"/>
        <w:jc w:val="both"/>
        <w:rPr>
          <w:rFonts w:hint="eastAsia" w:ascii="宋体" w:hAnsi="宋体" w:eastAsia="宋体"/>
          <w:color w:val="auto"/>
          <w:kern w:val="2"/>
          <w:sz w:val="21"/>
          <w:szCs w:val="21"/>
          <w:lang w:eastAsia="zh-CN" w:bidi="ar-SA"/>
        </w:rPr>
      </w:pPr>
    </w:p>
    <w:p w14:paraId="6EB5E25A">
      <w:pPr>
        <w:spacing w:line="360" w:lineRule="auto"/>
        <w:ind w:firstLine="3456" w:firstLineChars="1440"/>
        <w:jc w:val="both"/>
        <w:rPr>
          <w:rFonts w:hint="eastAsia" w:ascii="宋体" w:hAnsi="宋体" w:eastAsia="宋体"/>
          <w:color w:val="auto"/>
          <w:kern w:val="2"/>
          <w:lang w:eastAsia="zh-CN" w:bidi="ar-SA"/>
        </w:rPr>
      </w:pPr>
      <w:bookmarkStart w:id="973" w:name="_Hlk44494401"/>
      <w:r>
        <w:rPr>
          <w:rFonts w:ascii="宋体" w:hAnsi="宋体" w:eastAsia="宋体"/>
          <w:color w:val="auto"/>
          <w:kern w:val="2"/>
          <w:lang w:eastAsia="zh-CN" w:bidi="ar-SA"/>
        </w:rPr>
        <w:t>投 标 人：</w:t>
      </w:r>
      <w:r>
        <w:rPr>
          <w:rFonts w:ascii="宋体" w:hAnsi="宋体" w:eastAsia="宋体"/>
          <w:color w:val="auto"/>
          <w:kern w:val="2"/>
          <w:u w:val="single"/>
          <w:lang w:eastAsia="zh-CN" w:bidi="ar-SA"/>
        </w:rPr>
        <w:t xml:space="preserve">   </w:t>
      </w:r>
      <w:r>
        <w:rPr>
          <w:rFonts w:hint="eastAsia" w:ascii="宋体" w:hAnsi="宋体" w:eastAsia="宋体"/>
          <w:color w:val="auto"/>
          <w:kern w:val="2"/>
          <w:u w:val="single"/>
          <w:lang w:eastAsia="zh-CN" w:bidi="ar-SA"/>
        </w:rPr>
        <w:t>（加盖投标人单位电子公章）</w:t>
      </w:r>
      <w:r>
        <w:rPr>
          <w:rFonts w:ascii="宋体" w:hAnsi="宋体" w:eastAsia="宋体"/>
          <w:color w:val="auto"/>
          <w:kern w:val="2"/>
          <w:u w:val="single"/>
          <w:lang w:eastAsia="zh-CN" w:bidi="ar-SA"/>
        </w:rPr>
        <w:t xml:space="preserve">     </w:t>
      </w:r>
    </w:p>
    <w:p w14:paraId="0E3F6172">
      <w:pPr>
        <w:topLinePunct/>
        <w:spacing w:line="360" w:lineRule="auto"/>
        <w:ind w:left="334" w:firstLine="3084" w:firstLineChars="1285"/>
        <w:jc w:val="both"/>
        <w:rPr>
          <w:rFonts w:hint="eastAsia" w:ascii="宋体" w:hAnsi="宋体" w:eastAsia="宋体"/>
          <w:color w:val="auto"/>
          <w:kern w:val="2"/>
          <w:u w:val="single"/>
          <w:lang w:eastAsia="zh-CN" w:bidi="ar-SA"/>
        </w:rPr>
        <w:sectPr>
          <w:pgSz w:w="11906" w:h="16838"/>
          <w:pgMar w:top="1418" w:right="1588" w:bottom="1418" w:left="1588" w:header="680" w:footer="992" w:gutter="0"/>
          <w:cols w:space="720" w:num="1"/>
          <w:docGrid w:linePitch="360" w:charSpace="0"/>
        </w:sectPr>
      </w:pPr>
      <w:r>
        <w:rPr>
          <w:rFonts w:ascii="宋体" w:hAnsi="宋体" w:eastAsia="宋体"/>
          <w:color w:val="auto"/>
          <w:kern w:val="2"/>
          <w:lang w:eastAsia="zh-CN" w:bidi="ar-SA"/>
        </w:rPr>
        <w:t>法定代表人：</w:t>
      </w:r>
      <w:r>
        <w:rPr>
          <w:rFonts w:ascii="宋体" w:hAnsi="宋体" w:eastAsia="宋体"/>
          <w:color w:val="auto"/>
          <w:kern w:val="2"/>
          <w:u w:val="single"/>
          <w:lang w:eastAsia="zh-CN" w:bidi="ar-SA"/>
        </w:rPr>
        <w:t xml:space="preserve"> </w:t>
      </w:r>
      <w:r>
        <w:rPr>
          <w:rFonts w:hint="eastAsia" w:ascii="宋体" w:hAnsi="宋体" w:eastAsia="宋体"/>
          <w:color w:val="auto"/>
          <w:kern w:val="2"/>
          <w:u w:val="single"/>
          <w:lang w:eastAsia="zh-CN" w:bidi="ar-SA"/>
        </w:rPr>
        <w:t xml:space="preserve">（加盖法定代表人电子签名） </w:t>
      </w:r>
      <w:r>
        <w:rPr>
          <w:rFonts w:ascii="宋体" w:hAnsi="宋体" w:eastAsia="宋体"/>
          <w:color w:val="auto"/>
          <w:kern w:val="2"/>
          <w:u w:val="single"/>
          <w:lang w:eastAsia="zh-CN" w:bidi="ar-SA"/>
        </w:rPr>
        <w:t xml:space="preserve">    </w:t>
      </w:r>
      <w:bookmarkEnd w:id="965"/>
      <w:bookmarkEnd w:id="973"/>
    </w:p>
    <w:p w14:paraId="3388B69E">
      <w:pPr>
        <w:snapToGrid w:val="0"/>
        <w:spacing w:before="240" w:beforeLines="100" w:after="240" w:afterLines="100"/>
        <w:jc w:val="center"/>
        <w:outlineLvl w:val="1"/>
        <w:rPr>
          <w:rFonts w:hint="eastAsia" w:ascii="宋体" w:hAnsi="宋体" w:eastAsia="宋体" w:cs="宋体"/>
          <w:b/>
          <w:color w:val="auto"/>
          <w:spacing w:val="-10"/>
          <w:sz w:val="32"/>
          <w:szCs w:val="32"/>
          <w:lang w:eastAsia="zh-CN" w:bidi="ar-SA"/>
        </w:rPr>
      </w:pPr>
      <w:bookmarkStart w:id="974" w:name="_Toc10169"/>
      <w:r>
        <w:rPr>
          <w:rFonts w:hint="eastAsia" w:ascii="宋体" w:hAnsi="宋体" w:eastAsia="宋体" w:cs="宋体"/>
          <w:b/>
          <w:color w:val="auto"/>
          <w:spacing w:val="-10"/>
          <w:sz w:val="32"/>
          <w:szCs w:val="32"/>
          <w:lang w:eastAsia="zh-CN" w:bidi="ar-SA"/>
        </w:rPr>
        <w:t>三、开标一览表</w:t>
      </w:r>
      <w:bookmarkEnd w:id="974"/>
    </w:p>
    <w:p w14:paraId="1ED29C79">
      <w:pPr>
        <w:ind w:firstLine="480"/>
        <w:rPr>
          <w:color w:val="auto"/>
          <w:lang w:eastAsia="zh-CN"/>
        </w:rPr>
      </w:pPr>
    </w:p>
    <w:p w14:paraId="10C995F7">
      <w:pPr>
        <w:spacing w:line="360" w:lineRule="auto"/>
        <w:ind w:firstLine="480" w:firstLineChars="200"/>
        <w:rPr>
          <w:color w:val="auto"/>
          <w:lang w:eastAsia="zh-CN"/>
        </w:rPr>
      </w:pPr>
      <w:r>
        <w:rPr>
          <w:rFonts w:hint="eastAsia"/>
          <w:color w:val="auto"/>
          <w:lang w:eastAsia="zh-CN"/>
        </w:rPr>
        <w:t>请投标人在投标文件制作软件“开标一览表”模块中填写，本表由交易系统自动生成，编入投标文件中。</w:t>
      </w:r>
    </w:p>
    <w:p w14:paraId="208AED90">
      <w:pPr>
        <w:spacing w:line="360" w:lineRule="auto"/>
        <w:ind w:firstLine="480" w:firstLineChars="200"/>
        <w:rPr>
          <w:color w:val="auto"/>
          <w:lang w:eastAsia="zh-CN"/>
        </w:rPr>
      </w:pPr>
      <w:r>
        <w:rPr>
          <w:rFonts w:hint="eastAsia"/>
          <w:color w:val="auto"/>
          <w:lang w:eastAsia="zh-CN"/>
        </w:rPr>
        <w:t>开标一览表中所填报的投标报价与投标函中填报的投标总报价必须一致，否则投标人的投标将被否决。</w:t>
      </w:r>
    </w:p>
    <w:p w14:paraId="0CC87612">
      <w:pPr>
        <w:spacing w:line="400" w:lineRule="exact"/>
        <w:ind w:firstLine="480"/>
        <w:rPr>
          <w:snapToGrid w:val="0"/>
          <w:color w:val="auto"/>
          <w:lang w:eastAsia="zh-CN"/>
        </w:rPr>
      </w:pPr>
    </w:p>
    <w:p w14:paraId="01665255">
      <w:pPr>
        <w:topLinePunct/>
        <w:spacing w:line="360" w:lineRule="auto"/>
        <w:ind w:left="334" w:firstLine="3084" w:firstLineChars="1285"/>
        <w:jc w:val="both"/>
        <w:rPr>
          <w:color w:val="auto"/>
          <w:lang w:eastAsia="zh-CN"/>
        </w:rPr>
      </w:pPr>
    </w:p>
    <w:sectPr>
      <w:pgSz w:w="11906" w:h="16838"/>
      <w:pgMar w:top="1418" w:right="1588" w:bottom="1418" w:left="1588" w:header="680" w:footer="992"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mbria">
    <w:panose1 w:val="02040503050406030204"/>
    <w:charset w:val="00"/>
    <w:family w:val="roman"/>
    <w:pitch w:val="default"/>
    <w:sig w:usb0="E00002FF" w:usb1="400004FF" w:usb2="00000000" w:usb3="00000000" w:csb0="2000019F" w:csb1="00000000"/>
  </w:font>
  <w:font w:name="Arial">
    <w:panose1 w:val="020B0604020202020204"/>
    <w:charset w:val="00"/>
    <w:family w:val="swiss"/>
    <w:pitch w:val="default"/>
    <w:sig w:usb0="E0002EFF" w:usb1="C0007843"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华文细黑">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隶书">
    <w:panose1 w:val="0201050906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文鼎大标宋简">
    <w:altName w:val="宋体"/>
    <w:panose1 w:val="00000000000000000000"/>
    <w:charset w:val="86"/>
    <w:family w:val="auto"/>
    <w:pitch w:val="default"/>
    <w:sig w:usb0="00000000" w:usb1="00000000" w:usb2="00000010" w:usb3="00000000" w:csb0="00040000" w:csb1="00000000"/>
  </w:font>
  <w:font w:name="等线 Light">
    <w:panose1 w:val="02010600030101010101"/>
    <w:charset w:val="86"/>
    <w:family w:val="auto"/>
    <w:pitch w:val="default"/>
    <w:sig w:usb0="A00002BF" w:usb1="38CF7CFA" w:usb2="00000016" w:usb3="00000000" w:csb0="0004000F" w:csb1="00000000"/>
  </w:font>
  <w:font w:name="Calibri Light">
    <w:panose1 w:val="020F0302020204030204"/>
    <w:charset w:val="00"/>
    <w:family w:val="swiss"/>
    <w:pitch w:val="default"/>
    <w:sig w:usb0="E0002AFF" w:usb1="C000247B" w:usb2="00000009" w:usb3="00000000" w:csb0="200001FF" w:csb1="00000000"/>
  </w:font>
  <w:font w:name="新宋体">
    <w:panose1 w:val="02010609030101010101"/>
    <w:charset w:val="86"/>
    <w:family w:val="modern"/>
    <w:pitch w:val="default"/>
    <w:sig w:usb0="00000203" w:usb1="288F0000" w:usb2="00000006" w:usb3="00000000" w:csb0="00040001" w:csb1="00000000"/>
  </w:font>
  <w:font w:name="Wingdings 2">
    <w:panose1 w:val="05020102010507070707"/>
    <w:charset w:val="02"/>
    <w:family w:val="roman"/>
    <w:pitch w:val="default"/>
    <w:sig w:usb0="00000000" w:usb1="00000000" w:usb2="00000000" w:usb3="00000000" w:csb0="80000000" w:csb1="00000000"/>
  </w:font>
  <w:font w:name="Arial Unicode MS">
    <w:panose1 w:val="020B0604020202020204"/>
    <w:charset w:val="86"/>
    <w:family w:val="auto"/>
    <w:pitch w:val="default"/>
    <w:sig w:usb0="FFFFFFFF" w:usb1="E9FFFFFF" w:usb2="0000003F" w:usb3="00000000" w:csb0="603F01FF" w:csb1="FFFF0000"/>
  </w:font>
  <w:font w:name="Segoe UI Emoji">
    <w:panose1 w:val="020B0502040204020203"/>
    <w:charset w:val="00"/>
    <w:family w:val="swiss"/>
    <w:pitch w:val="default"/>
    <w:sig w:usb0="00000001" w:usb1="02000000" w:usb2="00000000" w:usb3="00000000" w:csb0="00000001" w:csb1="00000000"/>
  </w:font>
  <w:font w:name="MS Gothic">
    <w:panose1 w:val="020B0609070205080204"/>
    <w:charset w:val="80"/>
    <w:family w:val="modern"/>
    <w:pitch w:val="default"/>
    <w:sig w:usb0="E00002FF" w:usb1="6AC7FDFB" w:usb2="08000012" w:usb3="00000000" w:csb0="4002009F" w:csb1="DFD70000"/>
  </w:font>
  <w:font w:name="Segoe UI Symbol">
    <w:panose1 w:val="020B0502040204020203"/>
    <w:charset w:val="00"/>
    <w:family w:val="swiss"/>
    <w:pitch w:val="default"/>
    <w:sig w:usb0="800001E3" w:usb1="1200FFEF" w:usb2="00040000" w:usb3="04000000" w:csb0="00000001" w:csb1="40000000"/>
  </w:font>
  <w:font w:name="MS Mincho">
    <w:panose1 w:val="02020609040205080304"/>
    <w:charset w:val="80"/>
    <w:family w:val="modern"/>
    <w:pitch w:val="default"/>
    <w:sig w:usb0="A00002BF" w:usb1="68C7FCFB" w:usb2="00000010" w:usb3="00000000" w:csb0="4002009F" w:csb1="DFD70000"/>
  </w:font>
  <w:font w:name="等线">
    <w:panose1 w:val="02010600030101010101"/>
    <w:charset w:val="86"/>
    <w:family w:val="auto"/>
    <w:pitch w:val="default"/>
    <w:sig w:usb0="A00002BF" w:usb1="38CF7CFA" w:usb2="00000016" w:usb3="00000000" w:csb0="0004000F" w:csb1="00000000"/>
  </w:font>
  <w:font w:name="ˎ̥">
    <w:altName w:val="Times New Roman"/>
    <w:panose1 w:val="00000000000000000000"/>
    <w:charset w:val="00"/>
    <w:family w:val="auto"/>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0A6259">
    <w:pPr>
      <w:jc w:val="center"/>
      <w:rPr>
        <w:rFonts w:eastAsiaTheme="minorEastAsia"/>
        <w:lang w:eastAsia="zh-C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07193B">
    <w:pPr>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2AA6C1">
    <w:pPr>
      <w:pStyle w:val="29"/>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22148240"/>
    </w:sdtPr>
    <w:sdtContent>
      <w:p w14:paraId="2931696C">
        <w:pPr>
          <w:jc w:val="center"/>
        </w:pPr>
        <w:r>
          <w:fldChar w:fldCharType="begin"/>
        </w:r>
        <w:r>
          <w:instrText xml:space="preserve">PAGE   \* MERGEFORMAT</w:instrText>
        </w:r>
        <w:r>
          <w:fldChar w:fldCharType="separate"/>
        </w:r>
        <w:r>
          <w:t>II</w:t>
        </w:r>
        <w:r>
          <w:fldChar w:fldCharType="end"/>
        </w:r>
      </w:p>
    </w:sdtContent>
  </w:sdt>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96FE42">
    <w:pPr>
      <w:ind w:left="-120" w:right="-120" w:firstLine="361"/>
      <w:jc w:val="center"/>
      <w:rPr>
        <w:sz w:val="18"/>
      </w:rPr>
    </w:pPr>
    <w:r>
      <w:rPr>
        <w:sz w:val="18"/>
      </w:rPr>
      <w:fldChar w:fldCharType="begin"/>
    </w:r>
    <w:r>
      <w:rPr>
        <w:sz w:val="18"/>
      </w:rPr>
      <w:instrText xml:space="preserve"> PAGE   \* MERGEFORMAT </w:instrText>
    </w:r>
    <w:r>
      <w:rPr>
        <w:sz w:val="18"/>
      </w:rPr>
      <w:fldChar w:fldCharType="separate"/>
    </w:r>
    <w:r>
      <w:rPr>
        <w:sz w:val="18"/>
        <w:lang w:val="zh-CN"/>
      </w:rPr>
      <w:t>12</w:t>
    </w:r>
    <w:r>
      <w:rPr>
        <w:sz w:val="18"/>
        <w:lang w:val="zh-CN"/>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95025508"/>
    </w:sdtPr>
    <w:sdtContent>
      <w:p w14:paraId="2F0D0C0B">
        <w:pPr>
          <w:ind w:firstLine="360"/>
          <w:jc w:val="center"/>
        </w:pPr>
        <w:r>
          <w:fldChar w:fldCharType="begin"/>
        </w:r>
        <w:r>
          <w:instrText xml:space="preserve">PAGE   \* MERGEFORMAT</w:instrText>
        </w:r>
        <w:r>
          <w:fldChar w:fldCharType="separate"/>
        </w:r>
        <w:r>
          <w:rPr>
            <w:lang w:val="zh-CN"/>
          </w:rPr>
          <w:t>6</w:t>
        </w:r>
        <w:r>
          <w:fldChar w:fldCharType="end"/>
        </w:r>
      </w:p>
    </w:sdtContent>
  </w:sdt>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3634700"/>
    </w:sdtPr>
    <w:sdtContent>
      <w:p w14:paraId="57B908D6">
        <w:pPr>
          <w:ind w:firstLine="360"/>
          <w:jc w:val="center"/>
        </w:pPr>
        <w:r>
          <w:fldChar w:fldCharType="begin"/>
        </w:r>
        <w:r>
          <w:instrText xml:space="preserve">PAGE   \* MERGEFORMAT</w:instrText>
        </w:r>
        <w:r>
          <w:fldChar w:fldCharType="separate"/>
        </w:r>
        <w:r>
          <w:rPr>
            <w:lang w:val="zh-CN"/>
          </w:rPr>
          <w:t>3</w:t>
        </w:r>
        <w:r>
          <w:fldChar w:fldCharType="end"/>
        </w:r>
      </w:p>
    </w:sdtContent>
  </w:sdt>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97059228"/>
    </w:sdtPr>
    <w:sdtContent>
      <w:p w14:paraId="030BD621">
        <w:pPr>
          <w:pStyle w:val="29"/>
          <w:ind w:firstLine="360"/>
          <w:jc w:val="center"/>
        </w:pPr>
        <w:r>
          <w:fldChar w:fldCharType="begin"/>
        </w:r>
        <w:r>
          <w:instrText xml:space="preserve">PAGE   \* MERGEFORMAT</w:instrText>
        </w:r>
        <w:r>
          <w:fldChar w:fldCharType="separate"/>
        </w:r>
        <w:r>
          <w:rPr>
            <w:lang w:val="zh-CN"/>
          </w:rPr>
          <w:t>2</w:t>
        </w:r>
        <w:r>
          <w:fldChar w:fldCharType="end"/>
        </w:r>
      </w:p>
    </w:sdtContent>
  </w:sdt>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76834439"/>
    </w:sdtPr>
    <w:sdtContent>
      <w:p w14:paraId="13EF836E">
        <w:pPr>
          <w:ind w:firstLine="360"/>
          <w:jc w:val="center"/>
        </w:pPr>
        <w:r>
          <w:fldChar w:fldCharType="begin"/>
        </w:r>
        <w:r>
          <w:instrText xml:space="preserve">PAGE   \* MERGEFORMAT</w:instrText>
        </w:r>
        <w:r>
          <w:fldChar w:fldCharType="separate"/>
        </w:r>
        <w:r>
          <w:rPr>
            <w:lang w:val="zh-CN"/>
          </w:rPr>
          <w:t>24</w:t>
        </w:r>
        <w:r>
          <w:fldChar w:fldCharType="end"/>
        </w:r>
      </w:p>
    </w:sdtContent>
  </w:sdt>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35118523"/>
    </w:sdtPr>
    <w:sdtContent>
      <w:p w14:paraId="5965C861">
        <w:pPr>
          <w:pStyle w:val="29"/>
          <w:ind w:firstLine="360"/>
          <w:jc w:val="center"/>
        </w:pPr>
        <w:r>
          <w:fldChar w:fldCharType="begin"/>
        </w:r>
        <w:r>
          <w:instrText xml:space="preserve">PAGE   \* MERGEFORMAT</w:instrText>
        </w:r>
        <w:r>
          <w:fldChar w:fldCharType="separate"/>
        </w:r>
        <w:r>
          <w:rPr>
            <w:lang w:val="zh-CN"/>
          </w:rPr>
          <w:t>2</w:t>
        </w:r>
        <w:r>
          <w:fldChar w:fldCharType="end"/>
        </w:r>
      </w:p>
    </w:sdtContent>
  </w:sdt>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A0ABAE"/>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24127469"/>
    </w:sdtPr>
    <w:sdtContent>
      <w:p w14:paraId="50F91B9D">
        <w:pPr>
          <w:pStyle w:val="29"/>
          <w:ind w:firstLine="360"/>
          <w:jc w:val="center"/>
        </w:pPr>
        <w:r>
          <w:fldChar w:fldCharType="begin"/>
        </w:r>
        <w:r>
          <w:instrText xml:space="preserve">PAGE   \* MERGEFORMAT</w:instrText>
        </w:r>
        <w:r>
          <w:fldChar w:fldCharType="separate"/>
        </w:r>
        <w:r>
          <w:rPr>
            <w:lang w:val="zh-CN"/>
          </w:rPr>
          <w:t>2</w:t>
        </w:r>
        <w:r>
          <w:fldChar w:fldCharType="end"/>
        </w:r>
      </w:p>
    </w:sdtContent>
  </w:sdt>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136129558"/>
    </w:sdtPr>
    <w:sdtContent>
      <w:p w14:paraId="67B91A15">
        <w:pPr>
          <w:ind w:firstLine="360"/>
          <w:jc w:val="center"/>
        </w:pPr>
        <w:r>
          <w:fldChar w:fldCharType="begin"/>
        </w:r>
        <w:r>
          <w:instrText xml:space="preserve">PAGE   \* MERGEFORMAT</w:instrText>
        </w:r>
        <w:r>
          <w:fldChar w:fldCharType="separate"/>
        </w:r>
        <w:r>
          <w:rPr>
            <w:lang w:val="zh-CN"/>
          </w:rPr>
          <w:t>36</w:t>
        </w:r>
        <w:r>
          <w:fldChar w:fldCharType="end"/>
        </w:r>
      </w:p>
    </w:sdtContent>
  </w:sdt>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21141539"/>
    </w:sdtPr>
    <w:sdtContent>
      <w:p w14:paraId="5539F1CC">
        <w:pPr>
          <w:pStyle w:val="29"/>
          <w:ind w:firstLine="360"/>
          <w:jc w:val="center"/>
        </w:pPr>
        <w:r>
          <w:fldChar w:fldCharType="begin"/>
        </w:r>
        <w:r>
          <w:instrText xml:space="preserve">PAGE   \* MERGEFORMAT</w:instrText>
        </w:r>
        <w:r>
          <w:fldChar w:fldCharType="separate"/>
        </w:r>
        <w:r>
          <w:rPr>
            <w:lang w:val="zh-CN"/>
          </w:rPr>
          <w:t>2</w:t>
        </w:r>
        <w:r>
          <w:fldChar w:fldCharType="end"/>
        </w:r>
      </w:p>
    </w:sdtContent>
  </w:sdt>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43345120"/>
    </w:sdtPr>
    <w:sdtContent>
      <w:p w14:paraId="00331317">
        <w:pPr>
          <w:pStyle w:val="29"/>
          <w:ind w:firstLine="360"/>
          <w:jc w:val="center"/>
        </w:pPr>
        <w:r>
          <w:fldChar w:fldCharType="begin"/>
        </w:r>
        <w:r>
          <w:instrText xml:space="preserve">PAGE   \* MERGEFORMAT</w:instrText>
        </w:r>
        <w:r>
          <w:fldChar w:fldCharType="separate"/>
        </w:r>
        <w:r>
          <w:rPr>
            <w:lang w:val="zh-CN"/>
          </w:rPr>
          <w:t>2</w:t>
        </w:r>
        <w:r>
          <w:fldChar w:fldCharType="end"/>
        </w:r>
      </w:p>
    </w:sdtContent>
  </w:sdt>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88289940"/>
    </w:sdtPr>
    <w:sdtContent>
      <w:p w14:paraId="4EC5BA19">
        <w:pPr>
          <w:ind w:firstLine="360"/>
          <w:jc w:val="center"/>
        </w:pPr>
        <w:r>
          <w:fldChar w:fldCharType="begin"/>
        </w:r>
        <w:r>
          <w:instrText xml:space="preserve">PAGE   \* MERGEFORMAT</w:instrText>
        </w:r>
        <w:r>
          <w:fldChar w:fldCharType="separate"/>
        </w:r>
        <w:r>
          <w:rPr>
            <w:lang w:val="zh-CN"/>
          </w:rPr>
          <w:t>54</w:t>
        </w:r>
        <w:r>
          <w:fldChar w:fldCharType="end"/>
        </w:r>
      </w:p>
    </w:sdtContent>
  </w:sdt>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7869804"/>
    </w:sdtPr>
    <w:sdtContent>
      <w:p w14:paraId="4A6E9498">
        <w:pPr>
          <w:pStyle w:val="29"/>
          <w:ind w:firstLine="360"/>
          <w:jc w:val="center"/>
        </w:pPr>
        <w:r>
          <w:fldChar w:fldCharType="begin"/>
        </w:r>
        <w:r>
          <w:instrText xml:space="preserve">PAGE   \* MERGEFORMAT</w:instrText>
        </w:r>
        <w:r>
          <w:fldChar w:fldCharType="separate"/>
        </w:r>
        <w:r>
          <w:rPr>
            <w:lang w:val="zh-CN"/>
          </w:rPr>
          <w:t>2</w:t>
        </w:r>
        <w:r>
          <w:fldChar w:fldCharType="end"/>
        </w:r>
      </w:p>
    </w:sdtContent>
  </w:sdt>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53057708"/>
    </w:sdtPr>
    <w:sdtContent>
      <w:p w14:paraId="11708236">
        <w:pPr>
          <w:ind w:firstLine="360"/>
          <w:jc w:val="center"/>
        </w:pPr>
        <w:r>
          <w:fldChar w:fldCharType="begin"/>
        </w:r>
        <w:r>
          <w:instrText xml:space="preserve">PAGE   \* MERGEFORMAT</w:instrText>
        </w:r>
        <w:r>
          <w:fldChar w:fldCharType="separate"/>
        </w:r>
        <w:r>
          <w:rPr>
            <w:lang w:val="zh-CN"/>
          </w:rPr>
          <w:t>66</w:t>
        </w:r>
        <w:r>
          <w:fldChar w:fldCharType="end"/>
        </w:r>
      </w:p>
    </w:sdtContent>
  </w:sdt>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09535159"/>
    </w:sdtPr>
    <w:sdtContent>
      <w:p w14:paraId="5684B428">
        <w:pPr>
          <w:ind w:firstLine="360"/>
          <w:jc w:val="center"/>
        </w:pPr>
        <w:r>
          <w:fldChar w:fldCharType="begin"/>
        </w:r>
        <w:r>
          <w:instrText xml:space="preserve">PAGE   \* MERGEFORMAT</w:instrText>
        </w:r>
        <w:r>
          <w:fldChar w:fldCharType="separate"/>
        </w:r>
        <w:r>
          <w:rPr>
            <w:lang w:val="zh-CN"/>
          </w:rPr>
          <w:t>84</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CDBC96">
    <w:pP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31A133">
    <w:pPr>
      <w:ind w:firstLine="48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CA9093">
    <w:pPr>
      <w:pStyle w:val="2"/>
      <w:ind w:firstLine="460"/>
      <w:rPr>
        <w:rFonts w:hint="eastAsia"/>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ECF535"/>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588CC2">
    <w:pPr>
      <w:ind w:left="48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C01258">
    <w:pPr>
      <w:rPr>
        <w:lang w:eastAsia="zh-CN"/>
      </w:rP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D5257C">
    <w:pPr>
      <w:ind w:firstLine="480"/>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23820A">
    <w:pPr>
      <w:pBdr>
        <w:bottom w:val="single" w:color="auto" w:sz="4" w:space="1"/>
      </w:pBdr>
      <w:spacing w:line="400" w:lineRule="exact"/>
      <w:rPr>
        <w:sz w:val="21"/>
        <w:lang w:eastAsia="zh-CN"/>
      </w:rPr>
    </w:pPr>
    <w:r>
      <w:rPr>
        <w:rFonts w:hint="eastAsia" w:eastAsia="宋体"/>
        <w:color w:val="auto"/>
        <w:spacing w:val="-4"/>
        <w:kern w:val="2"/>
        <w:sz w:val="18"/>
        <w:szCs w:val="20"/>
        <w:lang w:eastAsia="zh-CN" w:bidi="ar-SA"/>
      </w:rPr>
      <w:t xml:space="preserve">江西省港口集团有限公司招标代理服务招标 </w:t>
    </w:r>
    <w:r>
      <w:rPr>
        <w:rFonts w:eastAsia="宋体"/>
        <w:color w:val="auto"/>
        <w:spacing w:val="-4"/>
        <w:kern w:val="2"/>
        <w:sz w:val="18"/>
        <w:szCs w:val="20"/>
        <w:lang w:eastAsia="zh-CN" w:bidi="ar-SA"/>
      </w:rPr>
      <w:t xml:space="preserve">                                                                                                 </w:t>
    </w:r>
    <w:r>
      <w:rPr>
        <w:rFonts w:hint="eastAsia" w:eastAsia="宋体"/>
        <w:color w:val="auto"/>
        <w:spacing w:val="-4"/>
        <w:kern w:val="2"/>
        <w:sz w:val="18"/>
        <w:szCs w:val="20"/>
        <w:lang w:eastAsia="zh-CN" w:bidi="ar-SA"/>
      </w:rPr>
      <w:t xml:space="preserve"> </w:t>
    </w:r>
    <w:r>
      <w:rPr>
        <w:rFonts w:eastAsia="宋体"/>
        <w:color w:val="auto"/>
        <w:spacing w:val="-4"/>
        <w:kern w:val="2"/>
        <w:sz w:val="18"/>
        <w:szCs w:val="20"/>
        <w:lang w:eastAsia="zh-CN" w:bidi="ar-SA"/>
      </w:rPr>
      <w:t xml:space="preserve">               </w:t>
    </w:r>
    <w:r>
      <w:rPr>
        <w:rFonts w:hint="eastAsia" w:eastAsia="宋体"/>
        <w:color w:val="auto"/>
        <w:spacing w:val="-4"/>
        <w:kern w:val="2"/>
        <w:sz w:val="18"/>
        <w:szCs w:val="20"/>
        <w:lang w:eastAsia="zh-CN" w:bidi="ar-SA"/>
      </w:rPr>
      <w:t xml:space="preserve">目 </w:t>
    </w:r>
    <w:r>
      <w:rPr>
        <w:rFonts w:eastAsia="宋体"/>
        <w:color w:val="auto"/>
        <w:spacing w:val="-4"/>
        <w:kern w:val="2"/>
        <w:sz w:val="18"/>
        <w:szCs w:val="20"/>
        <w:lang w:eastAsia="zh-CN" w:bidi="ar-SA"/>
      </w:rPr>
      <w:t xml:space="preserve">   </w:t>
    </w:r>
    <w:r>
      <w:rPr>
        <w:rFonts w:hint="eastAsia" w:eastAsia="宋体"/>
        <w:color w:val="auto"/>
        <w:spacing w:val="-4"/>
        <w:kern w:val="2"/>
        <w:sz w:val="18"/>
        <w:szCs w:val="20"/>
        <w:lang w:eastAsia="zh-CN" w:bidi="ar-SA"/>
      </w:rPr>
      <w:t>录</w: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4C246B">
    <w:pPr>
      <w:rPr>
        <w:rFonts w:eastAsiaTheme="minorEastAsia"/>
        <w:sz w:val="20"/>
        <w:szCs w:val="20"/>
        <w:lang w:eastAsia="zh-CN"/>
      </w:rP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264308">
    <w:pPr>
      <w:rPr>
        <w:b/>
      </w:rP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487100">
    <w:pPr>
      <w:pStyle w:val="30"/>
      <w:ind w:firstLine="0" w:firstLineChars="0"/>
    </w:pPr>
    <w:bookmarkStart w:id="975" w:name="_Hlk48488690"/>
    <w:r>
      <w:rPr>
        <w:rFonts w:hint="eastAsia"/>
      </w:rPr>
      <w:t xml:space="preserve">第三章 </w:t>
    </w:r>
    <w:r>
      <w:t xml:space="preserve"> </w:t>
    </w:r>
    <w:r>
      <w:rPr>
        <w:rFonts w:hint="eastAsia"/>
      </w:rPr>
      <w:t>评标办法</w:t>
    </w:r>
    <w:bookmarkEnd w:id="975"/>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F03CCD">
    <w:pPr>
      <w:rPr>
        <w:b/>
      </w:rP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06371A">
    <w:pPr>
      <w:rPr>
        <w:b/>
      </w:rP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357301">
    <w:pPr>
      <w:pBdr>
        <w:bottom w:val="single" w:color="auto" w:sz="4" w:space="1"/>
      </w:pBdr>
      <w:spacing w:line="400" w:lineRule="exact"/>
      <w:jc w:val="center"/>
      <w:rPr>
        <w:sz w:val="18"/>
        <w:szCs w:val="21"/>
        <w:lang w:eastAsia="zh-CN"/>
      </w:rPr>
    </w:pPr>
    <w:r>
      <w:rPr>
        <w:rFonts w:hint="eastAsia" w:ascii="宋体" w:hAnsi="宋体" w:eastAsia="宋体" w:cs="宋体"/>
        <w:sz w:val="18"/>
        <w:szCs w:val="21"/>
        <w:lang w:eastAsia="zh-CN"/>
      </w:rPr>
      <w:t>第四章</w:t>
    </w:r>
    <w:r>
      <w:rPr>
        <w:sz w:val="18"/>
        <w:szCs w:val="21"/>
        <w:lang w:eastAsia="zh-CN"/>
      </w:rPr>
      <w:t xml:space="preserve">  </w:t>
    </w:r>
    <w:r>
      <w:rPr>
        <w:rFonts w:hint="eastAsia" w:ascii="宋体" w:hAnsi="宋体" w:eastAsia="宋体" w:cs="宋体"/>
        <w:sz w:val="18"/>
        <w:szCs w:val="21"/>
        <w:lang w:eastAsia="zh-CN"/>
      </w:rPr>
      <w:t>合同条款及格式</w:t>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B16386">
    <w:pPr>
      <w:rPr>
        <w:b/>
      </w:rP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DF5F93">
    <w:pPr>
      <w:pBdr>
        <w:bottom w:val="single" w:color="auto" w:sz="4" w:space="1"/>
      </w:pBdr>
      <w:spacing w:line="400" w:lineRule="exact"/>
      <w:jc w:val="center"/>
      <w:rPr>
        <w:sz w:val="21"/>
        <w:lang w:eastAsia="zh-CN"/>
      </w:rPr>
    </w:pPr>
    <w:bookmarkStart w:id="976" w:name="_Hlk48489506"/>
    <w:bookmarkStart w:id="977" w:name="_Hlk48489505"/>
    <w:r>
      <w:rPr>
        <w:rFonts w:hint="eastAsia" w:eastAsia="宋体"/>
        <w:color w:val="auto"/>
        <w:spacing w:val="-4"/>
        <w:kern w:val="2"/>
        <w:sz w:val="18"/>
        <w:szCs w:val="20"/>
        <w:lang w:eastAsia="zh-CN" w:bidi="ar-SA"/>
      </w:rPr>
      <w:t>第五章</w:t>
    </w:r>
    <w:r>
      <w:rPr>
        <w:rFonts w:eastAsia="宋体"/>
        <w:color w:val="auto"/>
        <w:spacing w:val="-4"/>
        <w:kern w:val="2"/>
        <w:sz w:val="18"/>
        <w:szCs w:val="20"/>
        <w:lang w:eastAsia="zh-CN" w:bidi="ar-SA"/>
      </w:rPr>
      <w:t xml:space="preserve"> </w:t>
    </w:r>
    <w:r>
      <w:rPr>
        <w:rFonts w:hint="eastAsia" w:eastAsia="宋体"/>
        <w:color w:val="auto"/>
        <w:spacing w:val="-4"/>
        <w:kern w:val="2"/>
        <w:sz w:val="18"/>
        <w:szCs w:val="20"/>
        <w:lang w:eastAsia="zh-CN" w:bidi="ar-SA"/>
      </w:rPr>
      <w:t>委托人要求</w:t>
    </w:r>
    <w:bookmarkEnd w:id="976"/>
    <w:bookmarkEnd w:id="977"/>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37E5B3">
    <w:pPr>
      <w:pStyle w:val="30"/>
      <w:ind w:firstLine="0" w:firstLineChars="0"/>
    </w:pPr>
    <w:r>
      <w:rPr>
        <w:rFonts w:hint="eastAsia"/>
      </w:rPr>
      <w:t>第六章</w:t>
    </w:r>
    <w:r>
      <w:t xml:space="preserve"> </w:t>
    </w:r>
    <w:r>
      <w:rPr>
        <w:rFonts w:hint="eastAsia"/>
      </w:rPr>
      <w:t>投标文件格式</w:t>
    </w:r>
  </w:p>
  <w:p w14:paraId="4973BE52">
    <w:pPr>
      <w:rPr>
        <w:lang w:eastAsia="zh-CN"/>
      </w:rPr>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D482E0">
    <w:pPr>
      <w:rPr>
        <w:b/>
      </w:rPr>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9E11E6">
    <w:pPr>
      <w:rPr>
        <w: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2074DEE"/>
    <w:multiLevelType w:val="singleLevel"/>
    <w:tmpl w:val="B2074DEE"/>
    <w:lvl w:ilvl="0" w:tentative="0">
      <w:start w:val="5"/>
      <w:numFmt w:val="chineseCounting"/>
      <w:suff w:val="nothing"/>
      <w:lvlText w:val="（%1）"/>
      <w:lvlJc w:val="left"/>
      <w:rPr>
        <w:rFonts w:hint="eastAsia"/>
      </w:rPr>
    </w:lvl>
  </w:abstractNum>
  <w:abstractNum w:abstractNumId="1">
    <w:nsid w:val="07160406"/>
    <w:multiLevelType w:val="singleLevel"/>
    <w:tmpl w:val="07160406"/>
    <w:lvl w:ilvl="0" w:tentative="0">
      <w:start w:val="1"/>
      <w:numFmt w:val="decimal"/>
      <w:suff w:val="space"/>
      <w:lvlText w:val="%1."/>
      <w:lvlJc w:val="left"/>
    </w:lvl>
  </w:abstractNum>
  <w:abstractNum w:abstractNumId="2">
    <w:nsid w:val="09DA2C4F"/>
    <w:multiLevelType w:val="multilevel"/>
    <w:tmpl w:val="09DA2C4F"/>
    <w:lvl w:ilvl="0" w:tentative="0">
      <w:start w:val="1"/>
      <w:numFmt w:val="decimal"/>
      <w:suff w:val="nothing"/>
      <w:lvlText w:val="（%1）"/>
      <w:lvlJc w:val="left"/>
      <w:pPr>
        <w:ind w:left="0" w:firstLine="482"/>
      </w:pPr>
      <w:rPr>
        <w:rFonts w:hint="default" w:ascii="Times New Roman" w:hAnsi="Times New Roman" w:eastAsia="宋体"/>
        <w:sz w:val="24"/>
      </w:rPr>
    </w:lvl>
    <w:lvl w:ilvl="1" w:tentative="0">
      <w:start w:val="1"/>
      <w:numFmt w:val="decimalEnclosedCircle"/>
      <w:lvlText w:val="%2"/>
      <w:lvlJc w:val="left"/>
      <w:pPr>
        <w:ind w:left="780" w:hanging="360"/>
      </w:pPr>
      <w:rPr>
        <w:rFonts w:hint="default" w:ascii="宋体" w:hAnsi="宋体"/>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1A8E61F7"/>
    <w:multiLevelType w:val="multilevel"/>
    <w:tmpl w:val="1A8E61F7"/>
    <w:lvl w:ilvl="0" w:tentative="0">
      <w:start w:val="1"/>
      <w:numFmt w:val="decimal"/>
      <w:suff w:val="nothing"/>
      <w:lvlText w:val="%1"/>
      <w:lvlJc w:val="left"/>
      <w:pPr>
        <w:ind w:left="0" w:firstLine="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4A295494"/>
    <w:multiLevelType w:val="multilevel"/>
    <w:tmpl w:val="4A295494"/>
    <w:lvl w:ilvl="0" w:tentative="0">
      <w:start w:val="1"/>
      <w:numFmt w:val="decimal"/>
      <w:suff w:val="nothing"/>
      <w:lvlText w:val="%1"/>
      <w:lvlJc w:val="left"/>
      <w:pPr>
        <w:ind w:left="0" w:firstLine="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54F17251"/>
    <w:multiLevelType w:val="multilevel"/>
    <w:tmpl w:val="54F17251"/>
    <w:lvl w:ilvl="0" w:tentative="0">
      <w:start w:val="2"/>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6">
    <w:nsid w:val="5DF13E1D"/>
    <w:multiLevelType w:val="multilevel"/>
    <w:tmpl w:val="5DF13E1D"/>
    <w:lvl w:ilvl="0" w:tentative="0">
      <w:start w:val="1"/>
      <w:numFmt w:val="decimal"/>
      <w:suff w:val="nothing"/>
      <w:lvlText w:val="（%1）"/>
      <w:lvlJc w:val="left"/>
      <w:pPr>
        <w:ind w:left="0" w:firstLine="482"/>
      </w:pPr>
      <w:rPr>
        <w:rFonts w:hint="default" w:ascii="Times New Roman" w:hAnsi="Times New Roman" w:eastAsia="宋体"/>
        <w:sz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6B1133CB"/>
    <w:multiLevelType w:val="multilevel"/>
    <w:tmpl w:val="6B1133CB"/>
    <w:lvl w:ilvl="0" w:tentative="0">
      <w:start w:val="1"/>
      <w:numFmt w:val="decimal"/>
      <w:suff w:val="nothing"/>
      <w:lvlText w:val="（%1）"/>
      <w:lvlJc w:val="left"/>
      <w:pPr>
        <w:ind w:left="0" w:firstLine="567"/>
      </w:pPr>
      <w:rPr>
        <w:rFonts w:hint="default" w:ascii="Times New Roman" w:hAnsi="Times New Roman" w:eastAsia="宋体"/>
        <w:sz w:val="24"/>
      </w:rPr>
    </w:lvl>
    <w:lvl w:ilvl="1" w:tentative="0">
      <w:start w:val="1"/>
      <w:numFmt w:val="decimalEnclosedCircle"/>
      <w:lvlText w:val="%2"/>
      <w:lvlJc w:val="left"/>
      <w:pPr>
        <w:ind w:left="780" w:hanging="36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5"/>
  </w:num>
  <w:num w:numId="3">
    <w:abstractNumId w:val="3"/>
  </w:num>
  <w:num w:numId="4">
    <w:abstractNumId w:val="2"/>
  </w:num>
  <w:num w:numId="5">
    <w:abstractNumId w:val="7"/>
  </w:num>
  <w:num w:numId="6">
    <w:abstractNumId w:val="6"/>
  </w:num>
  <w:num w:numId="7">
    <w:abstractNumId w:val="4"/>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hideSpellingErrors/>
  <w:documentProtection w:enforcement="0"/>
  <w:defaultTabStop w:val="420"/>
  <w:drawingGridHorizontalSpacing w:val="181"/>
  <w:drawingGridVerticalSpacing w:val="181"/>
  <w:noPunctuationKerning w:val="1"/>
  <w:characterSpacingControl w:val="compressPunctuation"/>
  <w:footnotePr>
    <w:footnote w:id="0"/>
    <w:footnote w:id="1"/>
  </w:footnotePr>
  <w:endnotePr>
    <w:endnote w:id="0"/>
    <w:endnote w:id="1"/>
  </w:endnotePr>
  <w:compat>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4DD8"/>
    <w:rsid w:val="00003312"/>
    <w:rsid w:val="000071F6"/>
    <w:rsid w:val="00007D3F"/>
    <w:rsid w:val="000112D1"/>
    <w:rsid w:val="00011311"/>
    <w:rsid w:val="00014EDC"/>
    <w:rsid w:val="000223F7"/>
    <w:rsid w:val="00023C07"/>
    <w:rsid w:val="00034AD7"/>
    <w:rsid w:val="00034F46"/>
    <w:rsid w:val="00034FE5"/>
    <w:rsid w:val="00035E2A"/>
    <w:rsid w:val="00042215"/>
    <w:rsid w:val="00047874"/>
    <w:rsid w:val="00047AE9"/>
    <w:rsid w:val="00047B5D"/>
    <w:rsid w:val="000513CD"/>
    <w:rsid w:val="000518E9"/>
    <w:rsid w:val="000624AF"/>
    <w:rsid w:val="0006650A"/>
    <w:rsid w:val="000677B1"/>
    <w:rsid w:val="0007295A"/>
    <w:rsid w:val="000814D7"/>
    <w:rsid w:val="00081609"/>
    <w:rsid w:val="0008540F"/>
    <w:rsid w:val="0008596B"/>
    <w:rsid w:val="00086574"/>
    <w:rsid w:val="000876A4"/>
    <w:rsid w:val="000934DA"/>
    <w:rsid w:val="00093674"/>
    <w:rsid w:val="00095337"/>
    <w:rsid w:val="0009580F"/>
    <w:rsid w:val="0009731C"/>
    <w:rsid w:val="000A17A9"/>
    <w:rsid w:val="000A40D6"/>
    <w:rsid w:val="000A5B73"/>
    <w:rsid w:val="000B0C61"/>
    <w:rsid w:val="000B2726"/>
    <w:rsid w:val="000B2D00"/>
    <w:rsid w:val="000B4230"/>
    <w:rsid w:val="000B5E30"/>
    <w:rsid w:val="000B7807"/>
    <w:rsid w:val="000B7860"/>
    <w:rsid w:val="000C0C0D"/>
    <w:rsid w:val="000C23DB"/>
    <w:rsid w:val="000C2AE9"/>
    <w:rsid w:val="000C4832"/>
    <w:rsid w:val="000D2480"/>
    <w:rsid w:val="000D2C1D"/>
    <w:rsid w:val="000D33B6"/>
    <w:rsid w:val="000D5DC1"/>
    <w:rsid w:val="000D5FFE"/>
    <w:rsid w:val="000D78B2"/>
    <w:rsid w:val="000E0938"/>
    <w:rsid w:val="000E1D41"/>
    <w:rsid w:val="000E323E"/>
    <w:rsid w:val="000E39D0"/>
    <w:rsid w:val="000E43F4"/>
    <w:rsid w:val="000E58F2"/>
    <w:rsid w:val="000F120B"/>
    <w:rsid w:val="000F25D2"/>
    <w:rsid w:val="000F2D42"/>
    <w:rsid w:val="000F2EC2"/>
    <w:rsid w:val="000F2EFA"/>
    <w:rsid w:val="000F401C"/>
    <w:rsid w:val="000F7DC5"/>
    <w:rsid w:val="001047E2"/>
    <w:rsid w:val="00106980"/>
    <w:rsid w:val="00111F5A"/>
    <w:rsid w:val="0011749D"/>
    <w:rsid w:val="00124BC1"/>
    <w:rsid w:val="0012706A"/>
    <w:rsid w:val="00127354"/>
    <w:rsid w:val="00134314"/>
    <w:rsid w:val="0013434F"/>
    <w:rsid w:val="00134651"/>
    <w:rsid w:val="00135035"/>
    <w:rsid w:val="00141107"/>
    <w:rsid w:val="0014624C"/>
    <w:rsid w:val="00147DFF"/>
    <w:rsid w:val="00150941"/>
    <w:rsid w:val="00156BC1"/>
    <w:rsid w:val="00161511"/>
    <w:rsid w:val="001644AA"/>
    <w:rsid w:val="00166115"/>
    <w:rsid w:val="001665F4"/>
    <w:rsid w:val="00172CFE"/>
    <w:rsid w:val="00176CA2"/>
    <w:rsid w:val="0017729E"/>
    <w:rsid w:val="001835CC"/>
    <w:rsid w:val="001845FA"/>
    <w:rsid w:val="00186F9C"/>
    <w:rsid w:val="00187D61"/>
    <w:rsid w:val="0019263C"/>
    <w:rsid w:val="00193AE0"/>
    <w:rsid w:val="00194C3E"/>
    <w:rsid w:val="001952FE"/>
    <w:rsid w:val="00196499"/>
    <w:rsid w:val="00197ECA"/>
    <w:rsid w:val="001A0130"/>
    <w:rsid w:val="001A6EA6"/>
    <w:rsid w:val="001B0F34"/>
    <w:rsid w:val="001B4E94"/>
    <w:rsid w:val="001B5BC0"/>
    <w:rsid w:val="001C7194"/>
    <w:rsid w:val="001C767F"/>
    <w:rsid w:val="001C76C6"/>
    <w:rsid w:val="001D0F61"/>
    <w:rsid w:val="001D1614"/>
    <w:rsid w:val="001D3DB7"/>
    <w:rsid w:val="001D44A5"/>
    <w:rsid w:val="001D542E"/>
    <w:rsid w:val="001D5BFB"/>
    <w:rsid w:val="001D7D43"/>
    <w:rsid w:val="001E0945"/>
    <w:rsid w:val="001E0A39"/>
    <w:rsid w:val="001E2998"/>
    <w:rsid w:val="001E2A71"/>
    <w:rsid w:val="001E3683"/>
    <w:rsid w:val="001E4F26"/>
    <w:rsid w:val="001E5637"/>
    <w:rsid w:val="001E5AB3"/>
    <w:rsid w:val="001E78AF"/>
    <w:rsid w:val="001F0869"/>
    <w:rsid w:val="001F19FC"/>
    <w:rsid w:val="001F30EE"/>
    <w:rsid w:val="001F364D"/>
    <w:rsid w:val="001F4749"/>
    <w:rsid w:val="001F4C26"/>
    <w:rsid w:val="001F784E"/>
    <w:rsid w:val="00201A9A"/>
    <w:rsid w:val="00202C6D"/>
    <w:rsid w:val="00204591"/>
    <w:rsid w:val="00205E71"/>
    <w:rsid w:val="002073E0"/>
    <w:rsid w:val="00212CEF"/>
    <w:rsid w:val="00213AF9"/>
    <w:rsid w:val="00214396"/>
    <w:rsid w:val="00215260"/>
    <w:rsid w:val="0021659A"/>
    <w:rsid w:val="00217582"/>
    <w:rsid w:val="00217DAB"/>
    <w:rsid w:val="002262C5"/>
    <w:rsid w:val="002267F8"/>
    <w:rsid w:val="00227C2B"/>
    <w:rsid w:val="002335D0"/>
    <w:rsid w:val="00233DC7"/>
    <w:rsid w:val="002357B2"/>
    <w:rsid w:val="0024270C"/>
    <w:rsid w:val="00251D9F"/>
    <w:rsid w:val="00255200"/>
    <w:rsid w:val="00260BFA"/>
    <w:rsid w:val="002611F5"/>
    <w:rsid w:val="002626E6"/>
    <w:rsid w:val="00263426"/>
    <w:rsid w:val="00263CB1"/>
    <w:rsid w:val="00273831"/>
    <w:rsid w:val="002801DC"/>
    <w:rsid w:val="002804B4"/>
    <w:rsid w:val="002806FD"/>
    <w:rsid w:val="00280FD3"/>
    <w:rsid w:val="00281C9A"/>
    <w:rsid w:val="00283D19"/>
    <w:rsid w:val="00283FF9"/>
    <w:rsid w:val="0029163E"/>
    <w:rsid w:val="0029272A"/>
    <w:rsid w:val="002929E2"/>
    <w:rsid w:val="00296168"/>
    <w:rsid w:val="002A1919"/>
    <w:rsid w:val="002A4149"/>
    <w:rsid w:val="002A553E"/>
    <w:rsid w:val="002A627B"/>
    <w:rsid w:val="002A6BAC"/>
    <w:rsid w:val="002A6EE8"/>
    <w:rsid w:val="002B56B7"/>
    <w:rsid w:val="002B7352"/>
    <w:rsid w:val="002C11DD"/>
    <w:rsid w:val="002C1B34"/>
    <w:rsid w:val="002C275F"/>
    <w:rsid w:val="002C39E2"/>
    <w:rsid w:val="002C4C8F"/>
    <w:rsid w:val="002C7E5A"/>
    <w:rsid w:val="002D1B4F"/>
    <w:rsid w:val="002D2665"/>
    <w:rsid w:val="002D29FF"/>
    <w:rsid w:val="002D443E"/>
    <w:rsid w:val="002D4B66"/>
    <w:rsid w:val="002D538A"/>
    <w:rsid w:val="002D76B6"/>
    <w:rsid w:val="002E59B7"/>
    <w:rsid w:val="002F1C98"/>
    <w:rsid w:val="002F680F"/>
    <w:rsid w:val="00300E70"/>
    <w:rsid w:val="003010B5"/>
    <w:rsid w:val="0030589D"/>
    <w:rsid w:val="00305E49"/>
    <w:rsid w:val="00305FDA"/>
    <w:rsid w:val="00310DD6"/>
    <w:rsid w:val="00310F16"/>
    <w:rsid w:val="00311773"/>
    <w:rsid w:val="00312B8C"/>
    <w:rsid w:val="0031374E"/>
    <w:rsid w:val="003168BB"/>
    <w:rsid w:val="0031759E"/>
    <w:rsid w:val="003228A2"/>
    <w:rsid w:val="00323805"/>
    <w:rsid w:val="003249F3"/>
    <w:rsid w:val="00327371"/>
    <w:rsid w:val="00330D49"/>
    <w:rsid w:val="00331F26"/>
    <w:rsid w:val="00334DD8"/>
    <w:rsid w:val="00337516"/>
    <w:rsid w:val="003430AE"/>
    <w:rsid w:val="00343740"/>
    <w:rsid w:val="00347EEF"/>
    <w:rsid w:val="003501E3"/>
    <w:rsid w:val="0035024D"/>
    <w:rsid w:val="00352DE9"/>
    <w:rsid w:val="0035343A"/>
    <w:rsid w:val="00356720"/>
    <w:rsid w:val="0036041B"/>
    <w:rsid w:val="00363DC9"/>
    <w:rsid w:val="00366D82"/>
    <w:rsid w:val="003715E0"/>
    <w:rsid w:val="0037417E"/>
    <w:rsid w:val="003771A8"/>
    <w:rsid w:val="00382FC8"/>
    <w:rsid w:val="003837DB"/>
    <w:rsid w:val="00390000"/>
    <w:rsid w:val="003919B6"/>
    <w:rsid w:val="00394A70"/>
    <w:rsid w:val="00395E86"/>
    <w:rsid w:val="003960AC"/>
    <w:rsid w:val="003A0BC3"/>
    <w:rsid w:val="003A19BC"/>
    <w:rsid w:val="003A4A61"/>
    <w:rsid w:val="003A71C2"/>
    <w:rsid w:val="003A72F1"/>
    <w:rsid w:val="003B1FD7"/>
    <w:rsid w:val="003B2A05"/>
    <w:rsid w:val="003B71B9"/>
    <w:rsid w:val="003C1C68"/>
    <w:rsid w:val="003C1CD9"/>
    <w:rsid w:val="003C4CA0"/>
    <w:rsid w:val="003C4EE2"/>
    <w:rsid w:val="003C5215"/>
    <w:rsid w:val="003D0785"/>
    <w:rsid w:val="003D07C5"/>
    <w:rsid w:val="003D2331"/>
    <w:rsid w:val="003D3332"/>
    <w:rsid w:val="003D53B2"/>
    <w:rsid w:val="003E0738"/>
    <w:rsid w:val="003E0CB4"/>
    <w:rsid w:val="003E4BD0"/>
    <w:rsid w:val="003E6A63"/>
    <w:rsid w:val="003F0093"/>
    <w:rsid w:val="00400F59"/>
    <w:rsid w:val="004023FB"/>
    <w:rsid w:val="00403944"/>
    <w:rsid w:val="004048A4"/>
    <w:rsid w:val="00407E98"/>
    <w:rsid w:val="00411F67"/>
    <w:rsid w:val="00412D3A"/>
    <w:rsid w:val="00414E88"/>
    <w:rsid w:val="0041565C"/>
    <w:rsid w:val="0041688D"/>
    <w:rsid w:val="00417F5A"/>
    <w:rsid w:val="00421FB9"/>
    <w:rsid w:val="004254A0"/>
    <w:rsid w:val="0042749B"/>
    <w:rsid w:val="004277B1"/>
    <w:rsid w:val="00431A0F"/>
    <w:rsid w:val="00434D29"/>
    <w:rsid w:val="00435660"/>
    <w:rsid w:val="0043771B"/>
    <w:rsid w:val="00442E8F"/>
    <w:rsid w:val="004440AF"/>
    <w:rsid w:val="004655A6"/>
    <w:rsid w:val="00465D17"/>
    <w:rsid w:val="0046782A"/>
    <w:rsid w:val="00470EFB"/>
    <w:rsid w:val="0047112A"/>
    <w:rsid w:val="00474BAC"/>
    <w:rsid w:val="00477659"/>
    <w:rsid w:val="00480115"/>
    <w:rsid w:val="00480A40"/>
    <w:rsid w:val="00481F48"/>
    <w:rsid w:val="00482237"/>
    <w:rsid w:val="00484DBF"/>
    <w:rsid w:val="0048525A"/>
    <w:rsid w:val="0048729D"/>
    <w:rsid w:val="00487E9A"/>
    <w:rsid w:val="004941BD"/>
    <w:rsid w:val="00497677"/>
    <w:rsid w:val="00497D0F"/>
    <w:rsid w:val="00497D3E"/>
    <w:rsid w:val="004A0283"/>
    <w:rsid w:val="004A5EA2"/>
    <w:rsid w:val="004A61E1"/>
    <w:rsid w:val="004B065A"/>
    <w:rsid w:val="004B2168"/>
    <w:rsid w:val="004B3195"/>
    <w:rsid w:val="004B53CF"/>
    <w:rsid w:val="004B7807"/>
    <w:rsid w:val="004C524C"/>
    <w:rsid w:val="004D35D2"/>
    <w:rsid w:val="004E217B"/>
    <w:rsid w:val="004E7045"/>
    <w:rsid w:val="004E7F5D"/>
    <w:rsid w:val="004F21CE"/>
    <w:rsid w:val="004F32A8"/>
    <w:rsid w:val="004F35CA"/>
    <w:rsid w:val="004F4CE2"/>
    <w:rsid w:val="004F6084"/>
    <w:rsid w:val="004F6711"/>
    <w:rsid w:val="004F6B22"/>
    <w:rsid w:val="005065A3"/>
    <w:rsid w:val="00512311"/>
    <w:rsid w:val="005124EA"/>
    <w:rsid w:val="00513F06"/>
    <w:rsid w:val="0051468B"/>
    <w:rsid w:val="0051522A"/>
    <w:rsid w:val="00515899"/>
    <w:rsid w:val="00517B84"/>
    <w:rsid w:val="0052253B"/>
    <w:rsid w:val="00522DB6"/>
    <w:rsid w:val="005246FD"/>
    <w:rsid w:val="00525543"/>
    <w:rsid w:val="005268D9"/>
    <w:rsid w:val="0052785B"/>
    <w:rsid w:val="00535879"/>
    <w:rsid w:val="00537AA3"/>
    <w:rsid w:val="00547A09"/>
    <w:rsid w:val="00547C53"/>
    <w:rsid w:val="00550759"/>
    <w:rsid w:val="005508BC"/>
    <w:rsid w:val="00551C95"/>
    <w:rsid w:val="005545FE"/>
    <w:rsid w:val="00554DC0"/>
    <w:rsid w:val="00557613"/>
    <w:rsid w:val="0056066C"/>
    <w:rsid w:val="00560A49"/>
    <w:rsid w:val="00560C38"/>
    <w:rsid w:val="00561DED"/>
    <w:rsid w:val="00567139"/>
    <w:rsid w:val="0057321C"/>
    <w:rsid w:val="00574C61"/>
    <w:rsid w:val="0057548C"/>
    <w:rsid w:val="00581711"/>
    <w:rsid w:val="005821DD"/>
    <w:rsid w:val="0058248F"/>
    <w:rsid w:val="00582492"/>
    <w:rsid w:val="005825E0"/>
    <w:rsid w:val="00583898"/>
    <w:rsid w:val="00583CB2"/>
    <w:rsid w:val="005872C4"/>
    <w:rsid w:val="00587F87"/>
    <w:rsid w:val="005A3226"/>
    <w:rsid w:val="005A3293"/>
    <w:rsid w:val="005A606E"/>
    <w:rsid w:val="005B5C4D"/>
    <w:rsid w:val="005B5F06"/>
    <w:rsid w:val="005C424B"/>
    <w:rsid w:val="005C43E2"/>
    <w:rsid w:val="005C7C78"/>
    <w:rsid w:val="005D3428"/>
    <w:rsid w:val="005D56BF"/>
    <w:rsid w:val="005D6296"/>
    <w:rsid w:val="005E390D"/>
    <w:rsid w:val="005E47C1"/>
    <w:rsid w:val="005F2227"/>
    <w:rsid w:val="005F2574"/>
    <w:rsid w:val="005F3F5F"/>
    <w:rsid w:val="005F5D70"/>
    <w:rsid w:val="005F708D"/>
    <w:rsid w:val="00600CEA"/>
    <w:rsid w:val="0060111B"/>
    <w:rsid w:val="0060142E"/>
    <w:rsid w:val="00605D02"/>
    <w:rsid w:val="00610389"/>
    <w:rsid w:val="0061150A"/>
    <w:rsid w:val="006119B9"/>
    <w:rsid w:val="00611CBF"/>
    <w:rsid w:val="00617A8D"/>
    <w:rsid w:val="0062176C"/>
    <w:rsid w:val="00625426"/>
    <w:rsid w:val="00626380"/>
    <w:rsid w:val="006268F6"/>
    <w:rsid w:val="00631026"/>
    <w:rsid w:val="006336D6"/>
    <w:rsid w:val="00633EDA"/>
    <w:rsid w:val="00637D07"/>
    <w:rsid w:val="0064036C"/>
    <w:rsid w:val="00642520"/>
    <w:rsid w:val="00643602"/>
    <w:rsid w:val="00644FCF"/>
    <w:rsid w:val="00646331"/>
    <w:rsid w:val="00652BD0"/>
    <w:rsid w:val="00656309"/>
    <w:rsid w:val="00656844"/>
    <w:rsid w:val="00661B3E"/>
    <w:rsid w:val="0066264F"/>
    <w:rsid w:val="0066480D"/>
    <w:rsid w:val="00664BAE"/>
    <w:rsid w:val="00665D26"/>
    <w:rsid w:val="006667A0"/>
    <w:rsid w:val="0066750B"/>
    <w:rsid w:val="0067369D"/>
    <w:rsid w:val="006740C4"/>
    <w:rsid w:val="0069056E"/>
    <w:rsid w:val="00690E90"/>
    <w:rsid w:val="00695341"/>
    <w:rsid w:val="006A29AB"/>
    <w:rsid w:val="006A62CC"/>
    <w:rsid w:val="006B187C"/>
    <w:rsid w:val="006B1DF2"/>
    <w:rsid w:val="006B37B7"/>
    <w:rsid w:val="006B3FD8"/>
    <w:rsid w:val="006B790D"/>
    <w:rsid w:val="006C1B1C"/>
    <w:rsid w:val="006C63A8"/>
    <w:rsid w:val="006C72EE"/>
    <w:rsid w:val="006D08B5"/>
    <w:rsid w:val="006D1596"/>
    <w:rsid w:val="006D3B55"/>
    <w:rsid w:val="006D49F3"/>
    <w:rsid w:val="006D60D3"/>
    <w:rsid w:val="006D7FCC"/>
    <w:rsid w:val="006E0FB7"/>
    <w:rsid w:val="006E2CE4"/>
    <w:rsid w:val="006E4816"/>
    <w:rsid w:val="006E6071"/>
    <w:rsid w:val="006E7ACD"/>
    <w:rsid w:val="006F2DD4"/>
    <w:rsid w:val="006F54BF"/>
    <w:rsid w:val="006F60F3"/>
    <w:rsid w:val="006F7568"/>
    <w:rsid w:val="0070201D"/>
    <w:rsid w:val="007062BB"/>
    <w:rsid w:val="0071456C"/>
    <w:rsid w:val="00714CEB"/>
    <w:rsid w:val="00720698"/>
    <w:rsid w:val="00721E1D"/>
    <w:rsid w:val="007229E1"/>
    <w:rsid w:val="00722CFE"/>
    <w:rsid w:val="00723900"/>
    <w:rsid w:val="00723C1C"/>
    <w:rsid w:val="00723ED0"/>
    <w:rsid w:val="0072727E"/>
    <w:rsid w:val="007307FE"/>
    <w:rsid w:val="00730FE1"/>
    <w:rsid w:val="00732C24"/>
    <w:rsid w:val="00734341"/>
    <w:rsid w:val="00734A17"/>
    <w:rsid w:val="00737922"/>
    <w:rsid w:val="007432D9"/>
    <w:rsid w:val="00743ABA"/>
    <w:rsid w:val="00747490"/>
    <w:rsid w:val="007532FD"/>
    <w:rsid w:val="007544FC"/>
    <w:rsid w:val="00760129"/>
    <w:rsid w:val="00760AA1"/>
    <w:rsid w:val="007610CA"/>
    <w:rsid w:val="0076180F"/>
    <w:rsid w:val="00763525"/>
    <w:rsid w:val="00763EA6"/>
    <w:rsid w:val="00765DF7"/>
    <w:rsid w:val="00767858"/>
    <w:rsid w:val="00767F6F"/>
    <w:rsid w:val="00773FAE"/>
    <w:rsid w:val="00780071"/>
    <w:rsid w:val="007931CA"/>
    <w:rsid w:val="007A3297"/>
    <w:rsid w:val="007A5145"/>
    <w:rsid w:val="007A6A93"/>
    <w:rsid w:val="007B1B03"/>
    <w:rsid w:val="007B2FDB"/>
    <w:rsid w:val="007B4388"/>
    <w:rsid w:val="007B621E"/>
    <w:rsid w:val="007B6BD3"/>
    <w:rsid w:val="007B72E8"/>
    <w:rsid w:val="007B7945"/>
    <w:rsid w:val="007C1401"/>
    <w:rsid w:val="007C538B"/>
    <w:rsid w:val="007C71EC"/>
    <w:rsid w:val="007D25E8"/>
    <w:rsid w:val="007D2972"/>
    <w:rsid w:val="007D6795"/>
    <w:rsid w:val="007D741E"/>
    <w:rsid w:val="007E13DB"/>
    <w:rsid w:val="007E29AE"/>
    <w:rsid w:val="007E4165"/>
    <w:rsid w:val="007E715A"/>
    <w:rsid w:val="007F0BC8"/>
    <w:rsid w:val="007F17C2"/>
    <w:rsid w:val="007F669F"/>
    <w:rsid w:val="0080043D"/>
    <w:rsid w:val="00800C65"/>
    <w:rsid w:val="008012C2"/>
    <w:rsid w:val="00802162"/>
    <w:rsid w:val="00804F13"/>
    <w:rsid w:val="00806163"/>
    <w:rsid w:val="00807DA6"/>
    <w:rsid w:val="008138A7"/>
    <w:rsid w:val="00814241"/>
    <w:rsid w:val="00823D42"/>
    <w:rsid w:val="00825A03"/>
    <w:rsid w:val="008337F7"/>
    <w:rsid w:val="00836FD8"/>
    <w:rsid w:val="00840145"/>
    <w:rsid w:val="00843902"/>
    <w:rsid w:val="00845437"/>
    <w:rsid w:val="00850DDE"/>
    <w:rsid w:val="00851C53"/>
    <w:rsid w:val="00851CE5"/>
    <w:rsid w:val="00854019"/>
    <w:rsid w:val="00854760"/>
    <w:rsid w:val="00855BE2"/>
    <w:rsid w:val="00855C97"/>
    <w:rsid w:val="00855FB2"/>
    <w:rsid w:val="00856A3A"/>
    <w:rsid w:val="008620B9"/>
    <w:rsid w:val="00863E93"/>
    <w:rsid w:val="008641C7"/>
    <w:rsid w:val="00865A93"/>
    <w:rsid w:val="008664F2"/>
    <w:rsid w:val="008670F2"/>
    <w:rsid w:val="008710F9"/>
    <w:rsid w:val="008716C0"/>
    <w:rsid w:val="00873079"/>
    <w:rsid w:val="0088061B"/>
    <w:rsid w:val="00883248"/>
    <w:rsid w:val="00883278"/>
    <w:rsid w:val="008849ED"/>
    <w:rsid w:val="008862F3"/>
    <w:rsid w:val="00893679"/>
    <w:rsid w:val="008948BF"/>
    <w:rsid w:val="00897BA0"/>
    <w:rsid w:val="008A0F6F"/>
    <w:rsid w:val="008A2BA4"/>
    <w:rsid w:val="008A3AFE"/>
    <w:rsid w:val="008A4AF4"/>
    <w:rsid w:val="008B16F4"/>
    <w:rsid w:val="008B4AA8"/>
    <w:rsid w:val="008C15F0"/>
    <w:rsid w:val="008C17CC"/>
    <w:rsid w:val="008C1BED"/>
    <w:rsid w:val="008C4D72"/>
    <w:rsid w:val="008C6596"/>
    <w:rsid w:val="008D5659"/>
    <w:rsid w:val="008E1504"/>
    <w:rsid w:val="008E175D"/>
    <w:rsid w:val="008E19E7"/>
    <w:rsid w:val="008E4947"/>
    <w:rsid w:val="008F0C6A"/>
    <w:rsid w:val="008F6B90"/>
    <w:rsid w:val="009005EA"/>
    <w:rsid w:val="00902A3D"/>
    <w:rsid w:val="00906DA2"/>
    <w:rsid w:val="00907B59"/>
    <w:rsid w:val="009100D2"/>
    <w:rsid w:val="0091096B"/>
    <w:rsid w:val="00921133"/>
    <w:rsid w:val="00921E46"/>
    <w:rsid w:val="0093380D"/>
    <w:rsid w:val="009346E8"/>
    <w:rsid w:val="00934E30"/>
    <w:rsid w:val="0093508F"/>
    <w:rsid w:val="00935C90"/>
    <w:rsid w:val="00940152"/>
    <w:rsid w:val="00941628"/>
    <w:rsid w:val="00943D97"/>
    <w:rsid w:val="00943EA3"/>
    <w:rsid w:val="009453E5"/>
    <w:rsid w:val="00945E98"/>
    <w:rsid w:val="0095124C"/>
    <w:rsid w:val="00953C41"/>
    <w:rsid w:val="00956CCB"/>
    <w:rsid w:val="00961A12"/>
    <w:rsid w:val="0096213A"/>
    <w:rsid w:val="009646CB"/>
    <w:rsid w:val="00965BE7"/>
    <w:rsid w:val="009668DB"/>
    <w:rsid w:val="00966AB7"/>
    <w:rsid w:val="00971AA8"/>
    <w:rsid w:val="00972DA3"/>
    <w:rsid w:val="00974476"/>
    <w:rsid w:val="00974A48"/>
    <w:rsid w:val="0097641A"/>
    <w:rsid w:val="00980547"/>
    <w:rsid w:val="00980CB0"/>
    <w:rsid w:val="00985F05"/>
    <w:rsid w:val="00990BFE"/>
    <w:rsid w:val="00997673"/>
    <w:rsid w:val="009977D6"/>
    <w:rsid w:val="00997D5E"/>
    <w:rsid w:val="009A162A"/>
    <w:rsid w:val="009A1FC9"/>
    <w:rsid w:val="009A4018"/>
    <w:rsid w:val="009A6719"/>
    <w:rsid w:val="009A6FD7"/>
    <w:rsid w:val="009B2DF6"/>
    <w:rsid w:val="009B4320"/>
    <w:rsid w:val="009B5A25"/>
    <w:rsid w:val="009B73AF"/>
    <w:rsid w:val="009C13A8"/>
    <w:rsid w:val="009C3AA0"/>
    <w:rsid w:val="009C45EB"/>
    <w:rsid w:val="009C4B5F"/>
    <w:rsid w:val="009C5D6F"/>
    <w:rsid w:val="009C64F8"/>
    <w:rsid w:val="009C7D83"/>
    <w:rsid w:val="009C7D86"/>
    <w:rsid w:val="009D0EC0"/>
    <w:rsid w:val="009D1536"/>
    <w:rsid w:val="009D1D85"/>
    <w:rsid w:val="009D56CA"/>
    <w:rsid w:val="009D5D3B"/>
    <w:rsid w:val="009D6A8E"/>
    <w:rsid w:val="009E1117"/>
    <w:rsid w:val="009E1696"/>
    <w:rsid w:val="009E2738"/>
    <w:rsid w:val="009F5B93"/>
    <w:rsid w:val="009F6195"/>
    <w:rsid w:val="00A014AB"/>
    <w:rsid w:val="00A01D20"/>
    <w:rsid w:val="00A02FBD"/>
    <w:rsid w:val="00A049BA"/>
    <w:rsid w:val="00A055E1"/>
    <w:rsid w:val="00A06C6E"/>
    <w:rsid w:val="00A10B3C"/>
    <w:rsid w:val="00A10E82"/>
    <w:rsid w:val="00A14875"/>
    <w:rsid w:val="00A14A18"/>
    <w:rsid w:val="00A1598D"/>
    <w:rsid w:val="00A15DDB"/>
    <w:rsid w:val="00A17E98"/>
    <w:rsid w:val="00A219A9"/>
    <w:rsid w:val="00A23490"/>
    <w:rsid w:val="00A2476B"/>
    <w:rsid w:val="00A33BE2"/>
    <w:rsid w:val="00A34087"/>
    <w:rsid w:val="00A3733B"/>
    <w:rsid w:val="00A4179E"/>
    <w:rsid w:val="00A43C93"/>
    <w:rsid w:val="00A47086"/>
    <w:rsid w:val="00A54117"/>
    <w:rsid w:val="00A54134"/>
    <w:rsid w:val="00A54869"/>
    <w:rsid w:val="00A552E8"/>
    <w:rsid w:val="00A6021D"/>
    <w:rsid w:val="00A6162D"/>
    <w:rsid w:val="00A706A8"/>
    <w:rsid w:val="00A7581A"/>
    <w:rsid w:val="00A76A8F"/>
    <w:rsid w:val="00A81243"/>
    <w:rsid w:val="00A83775"/>
    <w:rsid w:val="00A84CEF"/>
    <w:rsid w:val="00A87C48"/>
    <w:rsid w:val="00A91826"/>
    <w:rsid w:val="00A91B92"/>
    <w:rsid w:val="00A92802"/>
    <w:rsid w:val="00A9707D"/>
    <w:rsid w:val="00A9767F"/>
    <w:rsid w:val="00AA2E82"/>
    <w:rsid w:val="00AA3261"/>
    <w:rsid w:val="00AA3F96"/>
    <w:rsid w:val="00AA5EFC"/>
    <w:rsid w:val="00AA6D49"/>
    <w:rsid w:val="00AB1B38"/>
    <w:rsid w:val="00AB2951"/>
    <w:rsid w:val="00AC0AB0"/>
    <w:rsid w:val="00AC10B9"/>
    <w:rsid w:val="00AD03D6"/>
    <w:rsid w:val="00AD11C0"/>
    <w:rsid w:val="00AD1920"/>
    <w:rsid w:val="00AD2FA1"/>
    <w:rsid w:val="00AD44D2"/>
    <w:rsid w:val="00AD45E6"/>
    <w:rsid w:val="00AD668C"/>
    <w:rsid w:val="00AD7A04"/>
    <w:rsid w:val="00AE000D"/>
    <w:rsid w:val="00AE1011"/>
    <w:rsid w:val="00AE338C"/>
    <w:rsid w:val="00AE35D3"/>
    <w:rsid w:val="00AE391D"/>
    <w:rsid w:val="00AE4046"/>
    <w:rsid w:val="00AE4305"/>
    <w:rsid w:val="00AE6E48"/>
    <w:rsid w:val="00AF5C16"/>
    <w:rsid w:val="00B0079C"/>
    <w:rsid w:val="00B0131F"/>
    <w:rsid w:val="00B04B17"/>
    <w:rsid w:val="00B0638B"/>
    <w:rsid w:val="00B15676"/>
    <w:rsid w:val="00B2025B"/>
    <w:rsid w:val="00B256A9"/>
    <w:rsid w:val="00B277EB"/>
    <w:rsid w:val="00B3338C"/>
    <w:rsid w:val="00B378AF"/>
    <w:rsid w:val="00B37AB8"/>
    <w:rsid w:val="00B37B58"/>
    <w:rsid w:val="00B40FF1"/>
    <w:rsid w:val="00B45AB4"/>
    <w:rsid w:val="00B50F9C"/>
    <w:rsid w:val="00B51C1A"/>
    <w:rsid w:val="00B532EA"/>
    <w:rsid w:val="00B62C1B"/>
    <w:rsid w:val="00B641BA"/>
    <w:rsid w:val="00B71C2F"/>
    <w:rsid w:val="00B7362C"/>
    <w:rsid w:val="00B7441F"/>
    <w:rsid w:val="00B7699B"/>
    <w:rsid w:val="00B76F00"/>
    <w:rsid w:val="00B80163"/>
    <w:rsid w:val="00B92BFA"/>
    <w:rsid w:val="00B933D1"/>
    <w:rsid w:val="00BA4F79"/>
    <w:rsid w:val="00BA503B"/>
    <w:rsid w:val="00BA577A"/>
    <w:rsid w:val="00BA5A82"/>
    <w:rsid w:val="00BA6E68"/>
    <w:rsid w:val="00BB0A33"/>
    <w:rsid w:val="00BB0EB4"/>
    <w:rsid w:val="00BB2AAD"/>
    <w:rsid w:val="00BB3F37"/>
    <w:rsid w:val="00BB724D"/>
    <w:rsid w:val="00BC1B3E"/>
    <w:rsid w:val="00BC3A2B"/>
    <w:rsid w:val="00BC59E5"/>
    <w:rsid w:val="00BD43FA"/>
    <w:rsid w:val="00BD5C51"/>
    <w:rsid w:val="00BD611E"/>
    <w:rsid w:val="00BD723F"/>
    <w:rsid w:val="00BE2552"/>
    <w:rsid w:val="00BE2CE1"/>
    <w:rsid w:val="00BE3466"/>
    <w:rsid w:val="00BE5E6D"/>
    <w:rsid w:val="00BE723A"/>
    <w:rsid w:val="00BF0AB6"/>
    <w:rsid w:val="00BF3134"/>
    <w:rsid w:val="00BF4343"/>
    <w:rsid w:val="00BF4BA8"/>
    <w:rsid w:val="00C032C8"/>
    <w:rsid w:val="00C052B6"/>
    <w:rsid w:val="00C056E7"/>
    <w:rsid w:val="00C12B18"/>
    <w:rsid w:val="00C21726"/>
    <w:rsid w:val="00C248F7"/>
    <w:rsid w:val="00C2608C"/>
    <w:rsid w:val="00C35A75"/>
    <w:rsid w:val="00C35F3C"/>
    <w:rsid w:val="00C41F80"/>
    <w:rsid w:val="00C550CA"/>
    <w:rsid w:val="00C55D9C"/>
    <w:rsid w:val="00C57C68"/>
    <w:rsid w:val="00C61AB4"/>
    <w:rsid w:val="00C62CF4"/>
    <w:rsid w:val="00C6350D"/>
    <w:rsid w:val="00C65286"/>
    <w:rsid w:val="00C666EE"/>
    <w:rsid w:val="00C7351D"/>
    <w:rsid w:val="00C76E15"/>
    <w:rsid w:val="00C90150"/>
    <w:rsid w:val="00C915F5"/>
    <w:rsid w:val="00C93910"/>
    <w:rsid w:val="00C94064"/>
    <w:rsid w:val="00C9690F"/>
    <w:rsid w:val="00CA05B4"/>
    <w:rsid w:val="00CA16A9"/>
    <w:rsid w:val="00CA44AC"/>
    <w:rsid w:val="00CA617A"/>
    <w:rsid w:val="00CA6ED3"/>
    <w:rsid w:val="00CB11CE"/>
    <w:rsid w:val="00CB768E"/>
    <w:rsid w:val="00CC0BC3"/>
    <w:rsid w:val="00CC3387"/>
    <w:rsid w:val="00CC4B26"/>
    <w:rsid w:val="00CC4F9A"/>
    <w:rsid w:val="00CD0D5A"/>
    <w:rsid w:val="00CD474C"/>
    <w:rsid w:val="00CD5B04"/>
    <w:rsid w:val="00CD77D7"/>
    <w:rsid w:val="00CE0378"/>
    <w:rsid w:val="00CE2BB6"/>
    <w:rsid w:val="00CE4707"/>
    <w:rsid w:val="00CE4F2A"/>
    <w:rsid w:val="00CF19ED"/>
    <w:rsid w:val="00D04D94"/>
    <w:rsid w:val="00D04E08"/>
    <w:rsid w:val="00D050AD"/>
    <w:rsid w:val="00D06D0F"/>
    <w:rsid w:val="00D10108"/>
    <w:rsid w:val="00D12FB6"/>
    <w:rsid w:val="00D13E5A"/>
    <w:rsid w:val="00D15514"/>
    <w:rsid w:val="00D15CC3"/>
    <w:rsid w:val="00D20976"/>
    <w:rsid w:val="00D22E0F"/>
    <w:rsid w:val="00D237A8"/>
    <w:rsid w:val="00D23B59"/>
    <w:rsid w:val="00D26A99"/>
    <w:rsid w:val="00D414C4"/>
    <w:rsid w:val="00D41D4F"/>
    <w:rsid w:val="00D42FF1"/>
    <w:rsid w:val="00D43BF9"/>
    <w:rsid w:val="00D4418E"/>
    <w:rsid w:val="00D464B3"/>
    <w:rsid w:val="00D46D56"/>
    <w:rsid w:val="00D46FE3"/>
    <w:rsid w:val="00D47BB3"/>
    <w:rsid w:val="00D52C6D"/>
    <w:rsid w:val="00D548CB"/>
    <w:rsid w:val="00D5567A"/>
    <w:rsid w:val="00D56D4F"/>
    <w:rsid w:val="00D60968"/>
    <w:rsid w:val="00D61491"/>
    <w:rsid w:val="00D617F5"/>
    <w:rsid w:val="00D6282A"/>
    <w:rsid w:val="00D62A08"/>
    <w:rsid w:val="00D66CDE"/>
    <w:rsid w:val="00D70751"/>
    <w:rsid w:val="00D71927"/>
    <w:rsid w:val="00D75B7B"/>
    <w:rsid w:val="00D76243"/>
    <w:rsid w:val="00D769FE"/>
    <w:rsid w:val="00D81BF0"/>
    <w:rsid w:val="00D81ED9"/>
    <w:rsid w:val="00D8203B"/>
    <w:rsid w:val="00D82F06"/>
    <w:rsid w:val="00D84A68"/>
    <w:rsid w:val="00D869C6"/>
    <w:rsid w:val="00D86DB8"/>
    <w:rsid w:val="00D921E8"/>
    <w:rsid w:val="00D92966"/>
    <w:rsid w:val="00D97D6A"/>
    <w:rsid w:val="00DA1109"/>
    <w:rsid w:val="00DA17C4"/>
    <w:rsid w:val="00DA3D12"/>
    <w:rsid w:val="00DA523E"/>
    <w:rsid w:val="00DA59AF"/>
    <w:rsid w:val="00DA77FD"/>
    <w:rsid w:val="00DB0DFD"/>
    <w:rsid w:val="00DC3B20"/>
    <w:rsid w:val="00DC65C8"/>
    <w:rsid w:val="00DC6635"/>
    <w:rsid w:val="00DC69B9"/>
    <w:rsid w:val="00DD5D1C"/>
    <w:rsid w:val="00DD6988"/>
    <w:rsid w:val="00DE5C93"/>
    <w:rsid w:val="00DE5EFD"/>
    <w:rsid w:val="00DE614B"/>
    <w:rsid w:val="00DE6470"/>
    <w:rsid w:val="00DE7C79"/>
    <w:rsid w:val="00DF3992"/>
    <w:rsid w:val="00DF5723"/>
    <w:rsid w:val="00DF7711"/>
    <w:rsid w:val="00E00801"/>
    <w:rsid w:val="00E01541"/>
    <w:rsid w:val="00E0182A"/>
    <w:rsid w:val="00E023D1"/>
    <w:rsid w:val="00E02402"/>
    <w:rsid w:val="00E02BA3"/>
    <w:rsid w:val="00E03C5F"/>
    <w:rsid w:val="00E03E57"/>
    <w:rsid w:val="00E065F9"/>
    <w:rsid w:val="00E11D88"/>
    <w:rsid w:val="00E13527"/>
    <w:rsid w:val="00E13C4D"/>
    <w:rsid w:val="00E148BF"/>
    <w:rsid w:val="00E15160"/>
    <w:rsid w:val="00E15C9E"/>
    <w:rsid w:val="00E160E4"/>
    <w:rsid w:val="00E17C69"/>
    <w:rsid w:val="00E17F06"/>
    <w:rsid w:val="00E21BDB"/>
    <w:rsid w:val="00E21E35"/>
    <w:rsid w:val="00E23E45"/>
    <w:rsid w:val="00E26BE1"/>
    <w:rsid w:val="00E3320A"/>
    <w:rsid w:val="00E37362"/>
    <w:rsid w:val="00E37419"/>
    <w:rsid w:val="00E41F13"/>
    <w:rsid w:val="00E43191"/>
    <w:rsid w:val="00E4387C"/>
    <w:rsid w:val="00E44CDF"/>
    <w:rsid w:val="00E4600C"/>
    <w:rsid w:val="00E52EDC"/>
    <w:rsid w:val="00E558EA"/>
    <w:rsid w:val="00E567A2"/>
    <w:rsid w:val="00E609C5"/>
    <w:rsid w:val="00E61AC0"/>
    <w:rsid w:val="00E62093"/>
    <w:rsid w:val="00E65639"/>
    <w:rsid w:val="00E71D9C"/>
    <w:rsid w:val="00E71F25"/>
    <w:rsid w:val="00E74C41"/>
    <w:rsid w:val="00E75D12"/>
    <w:rsid w:val="00E76E1E"/>
    <w:rsid w:val="00E815EB"/>
    <w:rsid w:val="00E826D9"/>
    <w:rsid w:val="00E82896"/>
    <w:rsid w:val="00E86A73"/>
    <w:rsid w:val="00E8717E"/>
    <w:rsid w:val="00E9295C"/>
    <w:rsid w:val="00E92C48"/>
    <w:rsid w:val="00E93900"/>
    <w:rsid w:val="00E94511"/>
    <w:rsid w:val="00E9473A"/>
    <w:rsid w:val="00E94CFB"/>
    <w:rsid w:val="00EA0016"/>
    <w:rsid w:val="00EA27E4"/>
    <w:rsid w:val="00EA4A1F"/>
    <w:rsid w:val="00EA5D24"/>
    <w:rsid w:val="00EB7F2E"/>
    <w:rsid w:val="00EC23C7"/>
    <w:rsid w:val="00EC4D15"/>
    <w:rsid w:val="00EC5FFF"/>
    <w:rsid w:val="00EC66A3"/>
    <w:rsid w:val="00ED2D47"/>
    <w:rsid w:val="00EE0427"/>
    <w:rsid w:val="00EE2F7C"/>
    <w:rsid w:val="00EE6C82"/>
    <w:rsid w:val="00EE7922"/>
    <w:rsid w:val="00EF0BA5"/>
    <w:rsid w:val="00EF0F48"/>
    <w:rsid w:val="00EF27A1"/>
    <w:rsid w:val="00EF4FB1"/>
    <w:rsid w:val="00EF62B5"/>
    <w:rsid w:val="00EF76E4"/>
    <w:rsid w:val="00F029B9"/>
    <w:rsid w:val="00F0450A"/>
    <w:rsid w:val="00F04E24"/>
    <w:rsid w:val="00F054E6"/>
    <w:rsid w:val="00F12CF7"/>
    <w:rsid w:val="00F14951"/>
    <w:rsid w:val="00F152D0"/>
    <w:rsid w:val="00F1552B"/>
    <w:rsid w:val="00F15E41"/>
    <w:rsid w:val="00F163CA"/>
    <w:rsid w:val="00F26006"/>
    <w:rsid w:val="00F30B92"/>
    <w:rsid w:val="00F31A75"/>
    <w:rsid w:val="00F33D09"/>
    <w:rsid w:val="00F428CA"/>
    <w:rsid w:val="00F47E5A"/>
    <w:rsid w:val="00F5110B"/>
    <w:rsid w:val="00F512BE"/>
    <w:rsid w:val="00F532CC"/>
    <w:rsid w:val="00F53789"/>
    <w:rsid w:val="00F54552"/>
    <w:rsid w:val="00F54A62"/>
    <w:rsid w:val="00F56712"/>
    <w:rsid w:val="00F61AE7"/>
    <w:rsid w:val="00F66FFF"/>
    <w:rsid w:val="00F702A5"/>
    <w:rsid w:val="00F71029"/>
    <w:rsid w:val="00F71167"/>
    <w:rsid w:val="00F71B65"/>
    <w:rsid w:val="00F7671B"/>
    <w:rsid w:val="00F76FA6"/>
    <w:rsid w:val="00F8267D"/>
    <w:rsid w:val="00F863E3"/>
    <w:rsid w:val="00F90394"/>
    <w:rsid w:val="00F92094"/>
    <w:rsid w:val="00F9214E"/>
    <w:rsid w:val="00F92E20"/>
    <w:rsid w:val="00F979B1"/>
    <w:rsid w:val="00FA1441"/>
    <w:rsid w:val="00FA4D0F"/>
    <w:rsid w:val="00FA4DA1"/>
    <w:rsid w:val="00FB04D0"/>
    <w:rsid w:val="00FB15F3"/>
    <w:rsid w:val="00FB227A"/>
    <w:rsid w:val="00FB24E5"/>
    <w:rsid w:val="00FB2EB8"/>
    <w:rsid w:val="00FB2F5A"/>
    <w:rsid w:val="00FB4031"/>
    <w:rsid w:val="00FB6FC2"/>
    <w:rsid w:val="00FB7F96"/>
    <w:rsid w:val="00FC036E"/>
    <w:rsid w:val="00FC28EC"/>
    <w:rsid w:val="00FC7D39"/>
    <w:rsid w:val="00FD088D"/>
    <w:rsid w:val="00FD1F74"/>
    <w:rsid w:val="00FD253C"/>
    <w:rsid w:val="00FD79B9"/>
    <w:rsid w:val="00FE642E"/>
    <w:rsid w:val="03D22630"/>
    <w:rsid w:val="055B6948"/>
    <w:rsid w:val="05665D07"/>
    <w:rsid w:val="05EC26B0"/>
    <w:rsid w:val="06C47189"/>
    <w:rsid w:val="06C64A10"/>
    <w:rsid w:val="071C3AD1"/>
    <w:rsid w:val="0C3758FA"/>
    <w:rsid w:val="0C790A16"/>
    <w:rsid w:val="0F4A4137"/>
    <w:rsid w:val="11605A04"/>
    <w:rsid w:val="119F2CCD"/>
    <w:rsid w:val="165B2F3A"/>
    <w:rsid w:val="18D44557"/>
    <w:rsid w:val="18E02DD5"/>
    <w:rsid w:val="1DCC7DE8"/>
    <w:rsid w:val="1E870150"/>
    <w:rsid w:val="1E91399D"/>
    <w:rsid w:val="23AE6D9F"/>
    <w:rsid w:val="23B556D9"/>
    <w:rsid w:val="250371C4"/>
    <w:rsid w:val="250749B9"/>
    <w:rsid w:val="25901034"/>
    <w:rsid w:val="2AAE57EC"/>
    <w:rsid w:val="2AB04BC1"/>
    <w:rsid w:val="2BF037D7"/>
    <w:rsid w:val="2CC1414C"/>
    <w:rsid w:val="2E953B7B"/>
    <w:rsid w:val="2E9B1426"/>
    <w:rsid w:val="317B7B2A"/>
    <w:rsid w:val="32375419"/>
    <w:rsid w:val="329F0754"/>
    <w:rsid w:val="32B52DD1"/>
    <w:rsid w:val="355276F8"/>
    <w:rsid w:val="359E01CA"/>
    <w:rsid w:val="36E01DEE"/>
    <w:rsid w:val="36E763F9"/>
    <w:rsid w:val="3A9643BE"/>
    <w:rsid w:val="3B64270E"/>
    <w:rsid w:val="3B8D538C"/>
    <w:rsid w:val="3C286F56"/>
    <w:rsid w:val="3D961F88"/>
    <w:rsid w:val="3DC07D07"/>
    <w:rsid w:val="40295CD4"/>
    <w:rsid w:val="430F2130"/>
    <w:rsid w:val="43CA50D8"/>
    <w:rsid w:val="4492209A"/>
    <w:rsid w:val="46DA1D55"/>
    <w:rsid w:val="474775CB"/>
    <w:rsid w:val="48DF1C79"/>
    <w:rsid w:val="4A8D3168"/>
    <w:rsid w:val="4BFA22D2"/>
    <w:rsid w:val="4C100905"/>
    <w:rsid w:val="4E574236"/>
    <w:rsid w:val="50675115"/>
    <w:rsid w:val="53915C12"/>
    <w:rsid w:val="5900361E"/>
    <w:rsid w:val="5AC6077D"/>
    <w:rsid w:val="5B3B17B6"/>
    <w:rsid w:val="5B5F5DB9"/>
    <w:rsid w:val="5BA31B32"/>
    <w:rsid w:val="5C5B1497"/>
    <w:rsid w:val="5C780E51"/>
    <w:rsid w:val="5CA609FE"/>
    <w:rsid w:val="5E05352F"/>
    <w:rsid w:val="60E530F9"/>
    <w:rsid w:val="61BF5F7B"/>
    <w:rsid w:val="61F06C88"/>
    <w:rsid w:val="620C4441"/>
    <w:rsid w:val="62554A62"/>
    <w:rsid w:val="62B114E5"/>
    <w:rsid w:val="677B47B7"/>
    <w:rsid w:val="68F44821"/>
    <w:rsid w:val="6D08542B"/>
    <w:rsid w:val="6D4424F3"/>
    <w:rsid w:val="6DCE25CF"/>
    <w:rsid w:val="6F1C23DC"/>
    <w:rsid w:val="6FBA22E7"/>
    <w:rsid w:val="6FDB4045"/>
    <w:rsid w:val="718B4532"/>
    <w:rsid w:val="71A44561"/>
    <w:rsid w:val="753A6998"/>
    <w:rsid w:val="78B73B37"/>
    <w:rsid w:val="78EE465C"/>
    <w:rsid w:val="7AA17C39"/>
    <w:rsid w:val="7D2232B3"/>
    <w:rsid w:val="7E3B724A"/>
    <w:rsid w:val="7F105E1C"/>
    <w:rsid w:val="7F2D5F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iPriority="0" w:semiHidden="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0" w:name="caption"/>
    <w:lsdException w:qFormat="1" w:unhideWhenUsed="0" w:uiPriority="0" w:semiHidden="0" w:name="table of figures"/>
    <w:lsdException w:uiPriority="0" w:name="envelope address"/>
    <w:lsdException w:uiPriority="0" w:name="envelope return"/>
    <w:lsdException w:qFormat="1" w:uiPriority="0" w:semiHidden="0" w:name="footnote reference"/>
    <w:lsdException w:qFormat="1" w:unhideWhenUsed="0" w:uiPriority="0" w:semiHidden="0" w:name="annotation reference"/>
    <w:lsdException w:uiPriority="0" w:name="line number"/>
    <w:lsdException w:qFormat="1" w:uiPriority="0" w:semiHidden="0" w:name="page number"/>
    <w:lsdException w:qFormat="1" w:unhideWhenUsed="0" w:uiPriority="0" w:semiHidden="0" w:name="endnote reference"/>
    <w:lsdException w:qFormat="1" w:unhideWhenUsed="0" w:uiPriority="0" w:semiHidden="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qFormat="1"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iPriority="99" w:name="Body Text First Indent 2"/>
    <w:lsdException w:uiPriority="0" w:name="Note Heading"/>
    <w:lsdException w:qFormat="1" w:unhideWhenUsed="0" w:uiPriority="0" w:semiHidden="0" w:name="Body Text 2"/>
    <w:lsdException w:qFormat="1" w:uiPriority="0" w:semiHidden="0" w:name="Body Text 3"/>
    <w:lsdException w:qFormat="1" w:unhideWhenUsed="0" w:uiPriority="0" w:semiHidden="0" w:name="Body Text Indent 2"/>
    <w:lsdException w:qFormat="1" w:unhideWhenUsed="0" w:uiPriority="0" w:semiHidden="0" w:name="Body Text Indent 3"/>
    <w:lsdException w:uiPriority="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qFormat="1" w:uiPriority="0" w:semiHidden="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iPriority="99" w:semiHidden="0" w:name="HTML Preformatted"/>
    <w:lsdException w:uiPriority="0" w:name="HTML Sample"/>
    <w:lsdException w:uiPriority="0" w:name="HTML Typewriter"/>
    <w:lsdException w:uiPriority="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pPr>
    <w:rPr>
      <w:rFonts w:ascii="Times New Roman" w:hAnsi="Times New Roman" w:eastAsia="Times New Roman" w:cs="Times New Roman"/>
      <w:color w:val="000000"/>
      <w:sz w:val="24"/>
      <w:szCs w:val="24"/>
      <w:lang w:val="en-US" w:eastAsia="en-US" w:bidi="en-US"/>
    </w:rPr>
  </w:style>
  <w:style w:type="paragraph" w:styleId="4">
    <w:name w:val="heading 1"/>
    <w:basedOn w:val="5"/>
    <w:next w:val="1"/>
    <w:link w:val="116"/>
    <w:qFormat/>
    <w:uiPriority w:val="0"/>
    <w:pPr>
      <w:keepNext/>
      <w:keepLines/>
      <w:spacing w:before="340" w:after="330" w:line="576" w:lineRule="auto"/>
    </w:pPr>
    <w:rPr>
      <w:rFonts w:ascii="Times New Roman" w:hAnsi="Times New Roman" w:eastAsia="宋体"/>
      <w:b w:val="0"/>
      <w:kern w:val="44"/>
      <w:sz w:val="44"/>
    </w:rPr>
  </w:style>
  <w:style w:type="paragraph" w:styleId="6">
    <w:name w:val="heading 2"/>
    <w:basedOn w:val="1"/>
    <w:next w:val="1"/>
    <w:link w:val="58"/>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7">
    <w:name w:val="heading 3"/>
    <w:basedOn w:val="1"/>
    <w:next w:val="1"/>
    <w:link w:val="59"/>
    <w:unhideWhenUsed/>
    <w:qFormat/>
    <w:uiPriority w:val="0"/>
    <w:pPr>
      <w:keepNext/>
      <w:keepLines/>
      <w:spacing w:before="260" w:after="260" w:line="416" w:lineRule="auto"/>
      <w:outlineLvl w:val="2"/>
    </w:pPr>
    <w:rPr>
      <w:b/>
      <w:bCs/>
      <w:sz w:val="32"/>
      <w:szCs w:val="32"/>
    </w:rPr>
  </w:style>
  <w:style w:type="paragraph" w:styleId="8">
    <w:name w:val="heading 4"/>
    <w:basedOn w:val="1"/>
    <w:next w:val="1"/>
    <w:link w:val="117"/>
    <w:unhideWhenUsed/>
    <w:qFormat/>
    <w:uiPriority w:val="0"/>
    <w:pPr>
      <w:keepNext/>
      <w:keepLines/>
      <w:spacing w:before="280" w:after="290" w:line="372" w:lineRule="auto"/>
      <w:outlineLvl w:val="3"/>
    </w:pPr>
    <w:rPr>
      <w:rFonts w:ascii="Arial" w:hAnsi="Arial" w:eastAsia="黑体"/>
      <w:b/>
      <w:sz w:val="28"/>
    </w:rPr>
  </w:style>
  <w:style w:type="paragraph" w:styleId="9">
    <w:name w:val="heading 5"/>
    <w:basedOn w:val="1"/>
    <w:next w:val="1"/>
    <w:link w:val="60"/>
    <w:qFormat/>
    <w:uiPriority w:val="0"/>
    <w:pPr>
      <w:wordWrap w:val="0"/>
      <w:spacing w:line="360" w:lineRule="auto"/>
      <w:ind w:left="163" w:firstLine="200" w:firstLineChars="200"/>
      <w:jc w:val="both"/>
      <w:outlineLvl w:val="4"/>
    </w:pPr>
    <w:rPr>
      <w:rFonts w:ascii="宋体" w:hAnsi="宋体" w:eastAsia="宋体" w:cs="宋体"/>
      <w:sz w:val="41"/>
      <w:szCs w:val="41"/>
      <w:lang w:eastAsia="zh-CN" w:bidi="ar-SA"/>
    </w:rPr>
  </w:style>
  <w:style w:type="paragraph" w:styleId="10">
    <w:name w:val="heading 6"/>
    <w:basedOn w:val="1"/>
    <w:next w:val="1"/>
    <w:link w:val="61"/>
    <w:qFormat/>
    <w:uiPriority w:val="0"/>
    <w:pPr>
      <w:wordWrap w:val="0"/>
      <w:spacing w:line="360" w:lineRule="auto"/>
      <w:ind w:firstLine="200" w:firstLineChars="200"/>
      <w:jc w:val="both"/>
      <w:outlineLvl w:val="5"/>
    </w:pPr>
    <w:rPr>
      <w:rFonts w:ascii="宋体" w:hAnsi="宋体" w:eastAsia="宋体" w:cs="宋体"/>
      <w:sz w:val="40"/>
      <w:szCs w:val="40"/>
      <w:lang w:eastAsia="zh-CN" w:bidi="ar-SA"/>
    </w:rPr>
  </w:style>
  <w:style w:type="paragraph" w:styleId="11">
    <w:name w:val="heading 7"/>
    <w:basedOn w:val="1"/>
    <w:next w:val="1"/>
    <w:link w:val="62"/>
    <w:qFormat/>
    <w:uiPriority w:val="0"/>
    <w:pPr>
      <w:wordWrap w:val="0"/>
      <w:spacing w:line="360" w:lineRule="auto"/>
      <w:ind w:left="2493" w:firstLine="200" w:firstLineChars="200"/>
      <w:jc w:val="both"/>
      <w:outlineLvl w:val="6"/>
    </w:pPr>
    <w:rPr>
      <w:rFonts w:ascii="宋体" w:hAnsi="宋体" w:eastAsia="宋体" w:cs="宋体"/>
      <w:sz w:val="39"/>
      <w:szCs w:val="39"/>
      <w:lang w:eastAsia="zh-CN" w:bidi="ar-SA"/>
    </w:rPr>
  </w:style>
  <w:style w:type="paragraph" w:styleId="12">
    <w:name w:val="heading 8"/>
    <w:basedOn w:val="1"/>
    <w:next w:val="1"/>
    <w:link w:val="63"/>
    <w:qFormat/>
    <w:uiPriority w:val="0"/>
    <w:pPr>
      <w:wordWrap w:val="0"/>
      <w:spacing w:line="360" w:lineRule="auto"/>
      <w:ind w:left="136" w:firstLine="200" w:firstLineChars="200"/>
      <w:jc w:val="both"/>
      <w:outlineLvl w:val="7"/>
    </w:pPr>
    <w:rPr>
      <w:rFonts w:ascii="宋体" w:hAnsi="宋体" w:eastAsia="宋体" w:cs="宋体"/>
      <w:sz w:val="37"/>
      <w:szCs w:val="37"/>
      <w:lang w:eastAsia="zh-CN" w:bidi="ar-SA"/>
    </w:rPr>
  </w:style>
  <w:style w:type="paragraph" w:styleId="13">
    <w:name w:val="heading 9"/>
    <w:basedOn w:val="1"/>
    <w:next w:val="1"/>
    <w:link w:val="64"/>
    <w:qFormat/>
    <w:uiPriority w:val="0"/>
    <w:pPr>
      <w:wordWrap w:val="0"/>
      <w:spacing w:line="360" w:lineRule="auto"/>
      <w:ind w:left="9" w:firstLine="200" w:firstLineChars="200"/>
      <w:jc w:val="both"/>
      <w:outlineLvl w:val="8"/>
    </w:pPr>
    <w:rPr>
      <w:rFonts w:ascii="宋体" w:hAnsi="宋体" w:eastAsia="宋体" w:cs="宋体"/>
      <w:sz w:val="35"/>
      <w:szCs w:val="35"/>
      <w:lang w:eastAsia="zh-CN" w:bidi="ar-SA"/>
    </w:rPr>
  </w:style>
  <w:style w:type="character" w:default="1" w:styleId="49">
    <w:name w:val="Default Paragraph Font"/>
    <w:semiHidden/>
    <w:unhideWhenUsed/>
    <w:qFormat/>
    <w:uiPriority w:val="1"/>
  </w:style>
  <w:style w:type="table" w:default="1" w:styleId="47">
    <w:name w:val="Normal Table"/>
    <w:semiHidden/>
    <w:unhideWhenUsed/>
    <w:uiPriority w:val="99"/>
    <w:tblPr>
      <w:tblCellMar>
        <w:top w:w="0" w:type="dxa"/>
        <w:left w:w="108" w:type="dxa"/>
        <w:bottom w:w="0" w:type="dxa"/>
        <w:right w:w="108" w:type="dxa"/>
      </w:tblCellMar>
    </w:tblPr>
  </w:style>
  <w:style w:type="paragraph" w:styleId="2">
    <w:name w:val="Body Text"/>
    <w:basedOn w:val="1"/>
    <w:next w:val="3"/>
    <w:link w:val="68"/>
    <w:qFormat/>
    <w:uiPriority w:val="0"/>
    <w:pPr>
      <w:wordWrap w:val="0"/>
      <w:spacing w:line="360" w:lineRule="auto"/>
      <w:ind w:left="153" w:firstLine="200" w:firstLineChars="200"/>
      <w:jc w:val="both"/>
    </w:pPr>
    <w:rPr>
      <w:rFonts w:ascii="宋体" w:hAnsi="宋体" w:eastAsia="宋体" w:cs="宋体"/>
      <w:sz w:val="23"/>
      <w:szCs w:val="23"/>
      <w:lang w:eastAsia="zh-CN" w:bidi="ar-SA"/>
    </w:rPr>
  </w:style>
  <w:style w:type="paragraph" w:customStyle="1" w:styleId="3">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5">
    <w:name w:val="Title"/>
    <w:basedOn w:val="1"/>
    <w:link w:val="305"/>
    <w:qFormat/>
    <w:uiPriority w:val="10"/>
    <w:pPr>
      <w:spacing w:before="240" w:after="60"/>
      <w:jc w:val="center"/>
      <w:outlineLvl w:val="0"/>
    </w:pPr>
    <w:rPr>
      <w:rFonts w:ascii="Arial" w:hAnsi="Arial"/>
      <w:b/>
      <w:sz w:val="32"/>
    </w:rPr>
  </w:style>
  <w:style w:type="paragraph" w:styleId="14">
    <w:name w:val="toc 7"/>
    <w:basedOn w:val="1"/>
    <w:next w:val="1"/>
    <w:autoRedefine/>
    <w:unhideWhenUsed/>
    <w:qFormat/>
    <w:uiPriority w:val="39"/>
    <w:pPr>
      <w:ind w:left="2520" w:leftChars="1200"/>
      <w:jc w:val="both"/>
    </w:pPr>
    <w:rPr>
      <w:rFonts w:asciiTheme="minorHAnsi" w:hAnsiTheme="minorHAnsi" w:eastAsiaTheme="minorEastAsia" w:cstheme="minorBidi"/>
      <w:color w:val="auto"/>
      <w:kern w:val="2"/>
      <w:sz w:val="21"/>
      <w:szCs w:val="22"/>
      <w:lang w:eastAsia="zh-CN" w:bidi="ar-SA"/>
    </w:rPr>
  </w:style>
  <w:style w:type="paragraph" w:styleId="15">
    <w:name w:val="Normal Indent"/>
    <w:basedOn w:val="1"/>
    <w:qFormat/>
    <w:uiPriority w:val="0"/>
    <w:pPr>
      <w:ind w:firstLine="420"/>
      <w:jc w:val="both"/>
    </w:pPr>
    <w:rPr>
      <w:rFonts w:eastAsia="宋体"/>
      <w:color w:val="auto"/>
      <w:kern w:val="2"/>
      <w:sz w:val="21"/>
      <w:szCs w:val="20"/>
      <w:lang w:eastAsia="zh-CN" w:bidi="ar-SA"/>
    </w:rPr>
  </w:style>
  <w:style w:type="paragraph" w:styleId="16">
    <w:name w:val="Document Map"/>
    <w:basedOn w:val="1"/>
    <w:link w:val="65"/>
    <w:unhideWhenUsed/>
    <w:qFormat/>
    <w:uiPriority w:val="0"/>
    <w:pPr>
      <w:wordWrap w:val="0"/>
      <w:spacing w:line="360" w:lineRule="auto"/>
      <w:ind w:firstLine="200" w:firstLineChars="200"/>
      <w:jc w:val="both"/>
    </w:pPr>
    <w:rPr>
      <w:rFonts w:ascii="宋体" w:eastAsia="宋体" w:cs="宋体"/>
      <w:sz w:val="18"/>
      <w:szCs w:val="18"/>
      <w:lang w:eastAsia="zh-CN" w:bidi="ar-SA"/>
    </w:rPr>
  </w:style>
  <w:style w:type="paragraph" w:styleId="17">
    <w:name w:val="annotation text"/>
    <w:basedOn w:val="1"/>
    <w:link w:val="66"/>
    <w:unhideWhenUsed/>
    <w:qFormat/>
    <w:uiPriority w:val="0"/>
    <w:pPr>
      <w:wordWrap w:val="0"/>
      <w:spacing w:line="360" w:lineRule="auto"/>
      <w:ind w:firstLine="200" w:firstLineChars="200"/>
    </w:pPr>
    <w:rPr>
      <w:rFonts w:eastAsia="宋体" w:cs="宋体"/>
      <w:lang w:eastAsia="zh-CN" w:bidi="ar-SA"/>
    </w:rPr>
  </w:style>
  <w:style w:type="paragraph" w:styleId="18">
    <w:name w:val="Salutation"/>
    <w:basedOn w:val="1"/>
    <w:next w:val="1"/>
    <w:link w:val="147"/>
    <w:qFormat/>
    <w:uiPriority w:val="0"/>
    <w:pPr>
      <w:widowControl/>
    </w:pPr>
    <w:rPr>
      <w:rFonts w:ascii="宋体" w:hAnsi="宋体" w:eastAsia="宋体"/>
      <w:color w:val="auto"/>
      <w:sz w:val="21"/>
      <w:szCs w:val="21"/>
      <w:lang w:val="es-ES" w:eastAsia="zh-CN" w:bidi="ar-SA"/>
    </w:rPr>
  </w:style>
  <w:style w:type="paragraph" w:styleId="19">
    <w:name w:val="Body Text 3"/>
    <w:basedOn w:val="1"/>
    <w:link w:val="67"/>
    <w:unhideWhenUsed/>
    <w:qFormat/>
    <w:uiPriority w:val="0"/>
    <w:pPr>
      <w:wordWrap w:val="0"/>
      <w:spacing w:after="120" w:line="360" w:lineRule="auto"/>
      <w:ind w:firstLine="200" w:firstLineChars="200"/>
      <w:jc w:val="both"/>
    </w:pPr>
    <w:rPr>
      <w:rFonts w:eastAsia="宋体" w:cs="宋体"/>
      <w:sz w:val="16"/>
      <w:szCs w:val="16"/>
      <w:lang w:eastAsia="zh-CN" w:bidi="ar-SA"/>
    </w:rPr>
  </w:style>
  <w:style w:type="paragraph" w:styleId="20">
    <w:name w:val="Body Text Indent"/>
    <w:basedOn w:val="1"/>
    <w:link w:val="150"/>
    <w:qFormat/>
    <w:uiPriority w:val="0"/>
    <w:pPr>
      <w:ind w:firstLine="495"/>
      <w:jc w:val="both"/>
    </w:pPr>
    <w:rPr>
      <w:rFonts w:ascii="宋体" w:eastAsia="宋体"/>
      <w:color w:val="auto"/>
      <w:kern w:val="2"/>
      <w:szCs w:val="20"/>
      <w:lang w:eastAsia="zh-CN" w:bidi="ar-SA"/>
    </w:rPr>
  </w:style>
  <w:style w:type="paragraph" w:styleId="21">
    <w:name w:val="toc 5"/>
    <w:basedOn w:val="1"/>
    <w:next w:val="1"/>
    <w:autoRedefine/>
    <w:unhideWhenUsed/>
    <w:qFormat/>
    <w:uiPriority w:val="39"/>
    <w:pPr>
      <w:ind w:left="1680" w:leftChars="800"/>
      <w:jc w:val="both"/>
    </w:pPr>
    <w:rPr>
      <w:rFonts w:asciiTheme="minorHAnsi" w:hAnsiTheme="minorHAnsi" w:eastAsiaTheme="minorEastAsia" w:cstheme="minorBidi"/>
      <w:color w:val="auto"/>
      <w:kern w:val="2"/>
      <w:sz w:val="21"/>
      <w:szCs w:val="22"/>
      <w:lang w:eastAsia="zh-CN" w:bidi="ar-SA"/>
    </w:rPr>
  </w:style>
  <w:style w:type="paragraph" w:styleId="22">
    <w:name w:val="toc 3"/>
    <w:basedOn w:val="1"/>
    <w:next w:val="1"/>
    <w:autoRedefine/>
    <w:qFormat/>
    <w:uiPriority w:val="39"/>
    <w:pPr>
      <w:ind w:left="840" w:leftChars="400"/>
    </w:pPr>
  </w:style>
  <w:style w:type="paragraph" w:styleId="23">
    <w:name w:val="Plain Text"/>
    <w:basedOn w:val="1"/>
    <w:link w:val="132"/>
    <w:qFormat/>
    <w:uiPriority w:val="0"/>
    <w:pPr>
      <w:jc w:val="both"/>
    </w:pPr>
    <w:rPr>
      <w:rFonts w:ascii="宋体" w:hAnsi="Courier New" w:eastAsia="宋体" w:cs="Courier New"/>
      <w:color w:val="auto"/>
      <w:kern w:val="2"/>
      <w:sz w:val="21"/>
      <w:szCs w:val="21"/>
      <w:lang w:eastAsia="zh-CN" w:bidi="ar-SA"/>
    </w:rPr>
  </w:style>
  <w:style w:type="paragraph" w:styleId="24">
    <w:name w:val="toc 8"/>
    <w:basedOn w:val="1"/>
    <w:next w:val="1"/>
    <w:autoRedefine/>
    <w:unhideWhenUsed/>
    <w:qFormat/>
    <w:uiPriority w:val="39"/>
    <w:pPr>
      <w:ind w:left="2940" w:leftChars="1400"/>
      <w:jc w:val="both"/>
    </w:pPr>
    <w:rPr>
      <w:rFonts w:asciiTheme="minorHAnsi" w:hAnsiTheme="minorHAnsi" w:eastAsiaTheme="minorEastAsia" w:cstheme="minorBidi"/>
      <w:color w:val="auto"/>
      <w:kern w:val="2"/>
      <w:sz w:val="21"/>
      <w:szCs w:val="22"/>
      <w:lang w:eastAsia="zh-CN" w:bidi="ar-SA"/>
    </w:rPr>
  </w:style>
  <w:style w:type="paragraph" w:styleId="25">
    <w:name w:val="Date"/>
    <w:basedOn w:val="1"/>
    <w:next w:val="1"/>
    <w:link w:val="69"/>
    <w:qFormat/>
    <w:uiPriority w:val="0"/>
    <w:pPr>
      <w:ind w:left="100" w:leftChars="2500"/>
    </w:pPr>
    <w:rPr>
      <w:rFonts w:eastAsia="宋体"/>
      <w:color w:val="auto"/>
      <w:kern w:val="2"/>
      <w:lang w:eastAsia="zh-CN" w:bidi="ar-SA"/>
    </w:rPr>
  </w:style>
  <w:style w:type="paragraph" w:styleId="26">
    <w:name w:val="Body Text Indent 2"/>
    <w:basedOn w:val="1"/>
    <w:link w:val="145"/>
    <w:qFormat/>
    <w:uiPriority w:val="0"/>
    <w:pPr>
      <w:spacing w:after="120" w:line="480" w:lineRule="auto"/>
      <w:ind w:left="420" w:leftChars="200"/>
      <w:jc w:val="both"/>
    </w:pPr>
    <w:rPr>
      <w:rFonts w:eastAsia="宋体"/>
      <w:color w:val="auto"/>
      <w:kern w:val="2"/>
      <w:sz w:val="21"/>
      <w:lang w:eastAsia="zh-CN" w:bidi="ar-SA"/>
    </w:rPr>
  </w:style>
  <w:style w:type="paragraph" w:styleId="27">
    <w:name w:val="endnote text"/>
    <w:basedOn w:val="1"/>
    <w:link w:val="133"/>
    <w:qFormat/>
    <w:uiPriority w:val="0"/>
    <w:pPr>
      <w:snapToGrid w:val="0"/>
    </w:pPr>
    <w:rPr>
      <w:rFonts w:eastAsia="宋体"/>
      <w:color w:val="auto"/>
      <w:kern w:val="2"/>
      <w:sz w:val="21"/>
      <w:lang w:eastAsia="zh-CN" w:bidi="ar-SA"/>
    </w:rPr>
  </w:style>
  <w:style w:type="paragraph" w:styleId="28">
    <w:name w:val="Balloon Text"/>
    <w:basedOn w:val="1"/>
    <w:link w:val="70"/>
    <w:unhideWhenUsed/>
    <w:qFormat/>
    <w:uiPriority w:val="0"/>
    <w:pPr>
      <w:wordWrap w:val="0"/>
      <w:spacing w:line="360" w:lineRule="auto"/>
      <w:ind w:firstLine="200" w:firstLineChars="200"/>
      <w:jc w:val="both"/>
    </w:pPr>
    <w:rPr>
      <w:rFonts w:eastAsia="宋体" w:cs="宋体"/>
      <w:sz w:val="18"/>
      <w:szCs w:val="18"/>
      <w:lang w:eastAsia="zh-CN" w:bidi="ar-SA"/>
    </w:rPr>
  </w:style>
  <w:style w:type="paragraph" w:styleId="29">
    <w:name w:val="footer"/>
    <w:basedOn w:val="1"/>
    <w:link w:val="71"/>
    <w:unhideWhenUsed/>
    <w:qFormat/>
    <w:uiPriority w:val="99"/>
    <w:pPr>
      <w:tabs>
        <w:tab w:val="center" w:pos="4153"/>
        <w:tab w:val="right" w:pos="8306"/>
      </w:tabs>
      <w:wordWrap w:val="0"/>
      <w:snapToGrid w:val="0"/>
      <w:spacing w:line="360" w:lineRule="auto"/>
      <w:ind w:firstLine="200" w:firstLineChars="200"/>
      <w:jc w:val="both"/>
    </w:pPr>
    <w:rPr>
      <w:rFonts w:eastAsia="宋体" w:cs="宋体"/>
      <w:sz w:val="18"/>
      <w:szCs w:val="18"/>
      <w:lang w:eastAsia="zh-CN" w:bidi="ar-SA"/>
    </w:rPr>
  </w:style>
  <w:style w:type="paragraph" w:styleId="30">
    <w:name w:val="header"/>
    <w:basedOn w:val="1"/>
    <w:link w:val="72"/>
    <w:unhideWhenUsed/>
    <w:qFormat/>
    <w:uiPriority w:val="99"/>
    <w:pPr>
      <w:pBdr>
        <w:bottom w:val="single" w:color="auto" w:sz="6" w:space="1"/>
      </w:pBdr>
      <w:tabs>
        <w:tab w:val="center" w:pos="4153"/>
        <w:tab w:val="right" w:pos="8306"/>
      </w:tabs>
      <w:wordWrap w:val="0"/>
      <w:snapToGrid w:val="0"/>
      <w:spacing w:line="360" w:lineRule="auto"/>
      <w:ind w:firstLine="200" w:firstLineChars="200"/>
      <w:jc w:val="center"/>
    </w:pPr>
    <w:rPr>
      <w:rFonts w:eastAsia="宋体" w:cs="宋体"/>
      <w:sz w:val="18"/>
      <w:szCs w:val="18"/>
      <w:lang w:eastAsia="zh-CN" w:bidi="ar-SA"/>
    </w:rPr>
  </w:style>
  <w:style w:type="paragraph" w:styleId="31">
    <w:name w:val="toc 1"/>
    <w:basedOn w:val="1"/>
    <w:next w:val="1"/>
    <w:qFormat/>
    <w:uiPriority w:val="39"/>
  </w:style>
  <w:style w:type="paragraph" w:styleId="32">
    <w:name w:val="toc 4"/>
    <w:basedOn w:val="1"/>
    <w:next w:val="1"/>
    <w:autoRedefine/>
    <w:unhideWhenUsed/>
    <w:qFormat/>
    <w:uiPriority w:val="39"/>
    <w:pPr>
      <w:ind w:left="1260" w:leftChars="600"/>
      <w:jc w:val="both"/>
    </w:pPr>
    <w:rPr>
      <w:rFonts w:asciiTheme="minorHAnsi" w:hAnsiTheme="minorHAnsi" w:eastAsiaTheme="minorEastAsia" w:cstheme="minorBidi"/>
      <w:color w:val="auto"/>
      <w:kern w:val="2"/>
      <w:sz w:val="21"/>
      <w:szCs w:val="22"/>
      <w:lang w:eastAsia="zh-CN" w:bidi="ar-SA"/>
    </w:rPr>
  </w:style>
  <w:style w:type="paragraph" w:styleId="33">
    <w:name w:val="footnote text"/>
    <w:basedOn w:val="1"/>
    <w:link w:val="73"/>
    <w:unhideWhenUsed/>
    <w:qFormat/>
    <w:uiPriority w:val="0"/>
    <w:pPr>
      <w:wordWrap w:val="0"/>
      <w:snapToGrid w:val="0"/>
      <w:spacing w:line="360" w:lineRule="auto"/>
      <w:ind w:firstLine="200" w:firstLineChars="200"/>
    </w:pPr>
    <w:rPr>
      <w:rFonts w:eastAsia="宋体" w:cs="宋体"/>
      <w:sz w:val="18"/>
      <w:szCs w:val="18"/>
      <w:lang w:eastAsia="zh-CN" w:bidi="ar-SA"/>
    </w:rPr>
  </w:style>
  <w:style w:type="paragraph" w:styleId="34">
    <w:name w:val="toc 6"/>
    <w:basedOn w:val="1"/>
    <w:next w:val="1"/>
    <w:autoRedefine/>
    <w:unhideWhenUsed/>
    <w:qFormat/>
    <w:uiPriority w:val="39"/>
    <w:pPr>
      <w:ind w:left="2100" w:leftChars="1000"/>
      <w:jc w:val="both"/>
    </w:pPr>
    <w:rPr>
      <w:rFonts w:asciiTheme="minorHAnsi" w:hAnsiTheme="minorHAnsi" w:eastAsiaTheme="minorEastAsia" w:cstheme="minorBidi"/>
      <w:color w:val="auto"/>
      <w:kern w:val="2"/>
      <w:sz w:val="21"/>
      <w:szCs w:val="22"/>
      <w:lang w:eastAsia="zh-CN" w:bidi="ar-SA"/>
    </w:rPr>
  </w:style>
  <w:style w:type="paragraph" w:styleId="35">
    <w:name w:val="Body Text Indent 3"/>
    <w:basedOn w:val="1"/>
    <w:link w:val="153"/>
    <w:qFormat/>
    <w:uiPriority w:val="0"/>
    <w:pPr>
      <w:spacing w:after="120"/>
      <w:ind w:left="420" w:leftChars="200"/>
      <w:jc w:val="both"/>
    </w:pPr>
    <w:rPr>
      <w:rFonts w:eastAsia="宋体"/>
      <w:color w:val="auto"/>
      <w:kern w:val="2"/>
      <w:sz w:val="16"/>
      <w:szCs w:val="16"/>
      <w:lang w:eastAsia="zh-CN" w:bidi="ar-SA"/>
    </w:rPr>
  </w:style>
  <w:style w:type="paragraph" w:styleId="36">
    <w:name w:val="table of figures"/>
    <w:basedOn w:val="1"/>
    <w:next w:val="1"/>
    <w:qFormat/>
    <w:uiPriority w:val="0"/>
    <w:pPr>
      <w:ind w:left="200" w:leftChars="200" w:hanging="200" w:hangingChars="200"/>
      <w:jc w:val="both"/>
    </w:pPr>
    <w:rPr>
      <w:rFonts w:eastAsia="宋体"/>
      <w:color w:val="auto"/>
      <w:kern w:val="2"/>
      <w:sz w:val="21"/>
      <w:lang w:eastAsia="zh-CN" w:bidi="ar-SA"/>
    </w:rPr>
  </w:style>
  <w:style w:type="paragraph" w:styleId="37">
    <w:name w:val="toc 2"/>
    <w:basedOn w:val="1"/>
    <w:next w:val="1"/>
    <w:qFormat/>
    <w:uiPriority w:val="39"/>
    <w:pPr>
      <w:ind w:left="420" w:leftChars="200"/>
    </w:pPr>
  </w:style>
  <w:style w:type="paragraph" w:styleId="38">
    <w:name w:val="toc 9"/>
    <w:basedOn w:val="1"/>
    <w:next w:val="1"/>
    <w:autoRedefine/>
    <w:unhideWhenUsed/>
    <w:qFormat/>
    <w:uiPriority w:val="39"/>
    <w:pPr>
      <w:ind w:left="3360" w:leftChars="1600"/>
      <w:jc w:val="both"/>
    </w:pPr>
    <w:rPr>
      <w:rFonts w:asciiTheme="minorHAnsi" w:hAnsiTheme="minorHAnsi" w:eastAsiaTheme="minorEastAsia" w:cstheme="minorBidi"/>
      <w:color w:val="auto"/>
      <w:kern w:val="2"/>
      <w:sz w:val="21"/>
      <w:szCs w:val="22"/>
      <w:lang w:eastAsia="zh-CN" w:bidi="ar-SA"/>
    </w:rPr>
  </w:style>
  <w:style w:type="paragraph" w:styleId="39">
    <w:name w:val="Body Text 2"/>
    <w:basedOn w:val="1"/>
    <w:link w:val="144"/>
    <w:qFormat/>
    <w:uiPriority w:val="0"/>
    <w:pPr>
      <w:jc w:val="distribute"/>
    </w:pPr>
    <w:rPr>
      <w:rFonts w:eastAsia="宋体"/>
      <w:color w:val="auto"/>
      <w:kern w:val="2"/>
      <w:sz w:val="44"/>
      <w:lang w:eastAsia="zh-CN" w:bidi="ar-SA"/>
    </w:rPr>
  </w:style>
  <w:style w:type="paragraph" w:styleId="40">
    <w:name w:val="List Continue 2"/>
    <w:basedOn w:val="1"/>
    <w:qFormat/>
    <w:uiPriority w:val="0"/>
    <w:pPr>
      <w:spacing w:after="120"/>
      <w:ind w:left="840" w:leftChars="400"/>
      <w:jc w:val="both"/>
    </w:pPr>
    <w:rPr>
      <w:rFonts w:eastAsia="宋体"/>
      <w:color w:val="auto"/>
      <w:kern w:val="2"/>
      <w:sz w:val="21"/>
      <w:lang w:eastAsia="zh-CN" w:bidi="ar-SA"/>
    </w:rPr>
  </w:style>
  <w:style w:type="paragraph" w:styleId="41">
    <w:name w:val="HTML Preformatted"/>
    <w:basedOn w:val="1"/>
    <w:link w:val="128"/>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宋体" w:hAnsi="宋体" w:eastAsia="宋体" w:cs="宋体"/>
      <w:color w:val="auto"/>
      <w:lang w:eastAsia="zh-CN" w:bidi="ar-SA"/>
    </w:rPr>
  </w:style>
  <w:style w:type="paragraph" w:styleId="42">
    <w:name w:val="Normal (Web)"/>
    <w:basedOn w:val="1"/>
    <w:qFormat/>
    <w:uiPriority w:val="0"/>
    <w:pPr>
      <w:widowControl/>
      <w:spacing w:before="100" w:beforeAutospacing="1" w:after="100" w:afterAutospacing="1"/>
    </w:pPr>
    <w:rPr>
      <w:rFonts w:ascii="宋体" w:hAnsi="宋体" w:eastAsia="宋体" w:cs="Arial"/>
      <w:color w:val="0000FF"/>
      <w:lang w:eastAsia="zh-CN" w:bidi="ar-SA"/>
    </w:rPr>
  </w:style>
  <w:style w:type="paragraph" w:styleId="43">
    <w:name w:val="index 1"/>
    <w:basedOn w:val="1"/>
    <w:next w:val="1"/>
    <w:semiHidden/>
    <w:qFormat/>
    <w:uiPriority w:val="0"/>
    <w:pPr>
      <w:spacing w:line="460" w:lineRule="exact"/>
    </w:pPr>
    <w:rPr>
      <w:rFonts w:eastAsia="宋体"/>
      <w:color w:val="auto"/>
      <w:kern w:val="2"/>
      <w:sz w:val="21"/>
      <w:szCs w:val="21"/>
      <w:lang w:eastAsia="zh-CN" w:bidi="ar-SA"/>
    </w:rPr>
  </w:style>
  <w:style w:type="paragraph" w:styleId="44">
    <w:name w:val="annotation subject"/>
    <w:basedOn w:val="17"/>
    <w:next w:val="17"/>
    <w:link w:val="112"/>
    <w:qFormat/>
    <w:uiPriority w:val="0"/>
    <w:pPr>
      <w:wordWrap/>
      <w:spacing w:line="240" w:lineRule="auto"/>
      <w:ind w:firstLine="0" w:firstLineChars="0"/>
    </w:pPr>
    <w:rPr>
      <w:rFonts w:eastAsia="Times New Roman" w:cs="Times New Roman"/>
      <w:b/>
      <w:bCs/>
      <w:lang w:eastAsia="en-US" w:bidi="en-US"/>
    </w:rPr>
  </w:style>
  <w:style w:type="paragraph" w:styleId="45">
    <w:name w:val="Body Text First Indent"/>
    <w:basedOn w:val="2"/>
    <w:link w:val="142"/>
    <w:qFormat/>
    <w:uiPriority w:val="0"/>
    <w:pPr>
      <w:wordWrap/>
      <w:autoSpaceDE w:val="0"/>
      <w:autoSpaceDN w:val="0"/>
      <w:adjustRightInd w:val="0"/>
      <w:spacing w:after="120" w:line="240" w:lineRule="auto"/>
      <w:ind w:left="0" w:firstLine="420" w:firstLineChars="0"/>
      <w:jc w:val="left"/>
      <w:textAlignment w:val="baseline"/>
    </w:pPr>
    <w:rPr>
      <w:rFonts w:hAnsi="Times New Roman" w:cs="Times New Roman"/>
      <w:color w:val="auto"/>
      <w:sz w:val="34"/>
      <w:szCs w:val="20"/>
      <w:lang w:val="zh-CN"/>
    </w:rPr>
  </w:style>
  <w:style w:type="paragraph" w:styleId="46">
    <w:name w:val="Body Text First Indent 2"/>
    <w:basedOn w:val="20"/>
    <w:link w:val="297"/>
    <w:semiHidden/>
    <w:unhideWhenUsed/>
    <w:qFormat/>
    <w:uiPriority w:val="99"/>
    <w:pPr>
      <w:spacing w:after="120"/>
      <w:ind w:left="420" w:leftChars="200" w:firstLine="420" w:firstLineChars="200"/>
    </w:pPr>
    <w:rPr>
      <w:rFonts w:ascii="Times New Roman"/>
      <w:sz w:val="21"/>
      <w:szCs w:val="24"/>
    </w:rPr>
  </w:style>
  <w:style w:type="table" w:styleId="48">
    <w:name w:val="Table Grid"/>
    <w:basedOn w:val="4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0">
    <w:name w:val="Strong"/>
    <w:qFormat/>
    <w:uiPriority w:val="22"/>
    <w:rPr>
      <w:rFonts w:eastAsia="宋体"/>
      <w:bCs/>
      <w:sz w:val="24"/>
    </w:rPr>
  </w:style>
  <w:style w:type="character" w:styleId="51">
    <w:name w:val="endnote reference"/>
    <w:qFormat/>
    <w:uiPriority w:val="0"/>
    <w:rPr>
      <w:vertAlign w:val="superscript"/>
    </w:rPr>
  </w:style>
  <w:style w:type="character" w:styleId="52">
    <w:name w:val="page number"/>
    <w:basedOn w:val="49"/>
    <w:unhideWhenUsed/>
    <w:qFormat/>
    <w:uiPriority w:val="0"/>
  </w:style>
  <w:style w:type="character" w:styleId="53">
    <w:name w:val="FollowedHyperlink"/>
    <w:qFormat/>
    <w:uiPriority w:val="0"/>
    <w:rPr>
      <w:color w:val="800080"/>
      <w:u w:val="single"/>
    </w:rPr>
  </w:style>
  <w:style w:type="character" w:styleId="54">
    <w:name w:val="Emphasis"/>
    <w:basedOn w:val="49"/>
    <w:qFormat/>
    <w:uiPriority w:val="20"/>
    <w:rPr>
      <w:color w:val="CC0000"/>
    </w:rPr>
  </w:style>
  <w:style w:type="character" w:styleId="55">
    <w:name w:val="Hyperlink"/>
    <w:basedOn w:val="49"/>
    <w:qFormat/>
    <w:uiPriority w:val="99"/>
    <w:rPr>
      <w:color w:val="0000FF" w:themeColor="hyperlink"/>
      <w:u w:val="single"/>
      <w14:textFill>
        <w14:solidFill>
          <w14:schemeClr w14:val="hlink"/>
        </w14:solidFill>
      </w14:textFill>
    </w:rPr>
  </w:style>
  <w:style w:type="character" w:styleId="56">
    <w:name w:val="annotation reference"/>
    <w:qFormat/>
    <w:uiPriority w:val="0"/>
    <w:rPr>
      <w:sz w:val="21"/>
      <w:szCs w:val="21"/>
    </w:rPr>
  </w:style>
  <w:style w:type="character" w:styleId="57">
    <w:name w:val="footnote reference"/>
    <w:basedOn w:val="49"/>
    <w:unhideWhenUsed/>
    <w:qFormat/>
    <w:uiPriority w:val="0"/>
    <w:rPr>
      <w:vertAlign w:val="superscript"/>
    </w:rPr>
  </w:style>
  <w:style w:type="character" w:customStyle="1" w:styleId="58">
    <w:name w:val="标题 2 字符"/>
    <w:basedOn w:val="49"/>
    <w:link w:val="6"/>
    <w:qFormat/>
    <w:uiPriority w:val="0"/>
    <w:rPr>
      <w:rFonts w:asciiTheme="majorHAnsi" w:hAnsiTheme="majorHAnsi" w:eastAsiaTheme="majorEastAsia" w:cstheme="majorBidi"/>
      <w:b/>
      <w:bCs/>
      <w:color w:val="000000"/>
      <w:sz w:val="32"/>
      <w:szCs w:val="32"/>
      <w:lang w:eastAsia="en-US" w:bidi="en-US"/>
    </w:rPr>
  </w:style>
  <w:style w:type="character" w:customStyle="1" w:styleId="59">
    <w:name w:val="标题 3 字符"/>
    <w:basedOn w:val="49"/>
    <w:link w:val="7"/>
    <w:qFormat/>
    <w:uiPriority w:val="0"/>
    <w:rPr>
      <w:rFonts w:eastAsia="Times New Roman"/>
      <w:b/>
      <w:bCs/>
      <w:color w:val="000000"/>
      <w:sz w:val="32"/>
      <w:szCs w:val="32"/>
      <w:lang w:eastAsia="en-US" w:bidi="en-US"/>
    </w:rPr>
  </w:style>
  <w:style w:type="character" w:customStyle="1" w:styleId="60">
    <w:name w:val="标题 5 字符"/>
    <w:basedOn w:val="49"/>
    <w:link w:val="9"/>
    <w:qFormat/>
    <w:uiPriority w:val="0"/>
    <w:rPr>
      <w:rFonts w:ascii="宋体" w:hAnsi="宋体" w:cs="宋体"/>
      <w:color w:val="000000"/>
      <w:sz w:val="41"/>
      <w:szCs w:val="41"/>
    </w:rPr>
  </w:style>
  <w:style w:type="character" w:customStyle="1" w:styleId="61">
    <w:name w:val="标题 6 字符"/>
    <w:basedOn w:val="49"/>
    <w:link w:val="10"/>
    <w:qFormat/>
    <w:uiPriority w:val="0"/>
    <w:rPr>
      <w:rFonts w:ascii="宋体" w:hAnsi="宋体" w:cs="宋体"/>
      <w:color w:val="000000"/>
      <w:sz w:val="40"/>
      <w:szCs w:val="40"/>
    </w:rPr>
  </w:style>
  <w:style w:type="character" w:customStyle="1" w:styleId="62">
    <w:name w:val="标题 7 字符"/>
    <w:basedOn w:val="49"/>
    <w:link w:val="11"/>
    <w:qFormat/>
    <w:uiPriority w:val="0"/>
    <w:rPr>
      <w:rFonts w:ascii="宋体" w:hAnsi="宋体" w:cs="宋体"/>
      <w:color w:val="000000"/>
      <w:sz w:val="39"/>
      <w:szCs w:val="39"/>
    </w:rPr>
  </w:style>
  <w:style w:type="character" w:customStyle="1" w:styleId="63">
    <w:name w:val="标题 8 字符"/>
    <w:basedOn w:val="49"/>
    <w:link w:val="12"/>
    <w:qFormat/>
    <w:uiPriority w:val="0"/>
    <w:rPr>
      <w:rFonts w:ascii="宋体" w:hAnsi="宋体" w:cs="宋体"/>
      <w:color w:val="000000"/>
      <w:sz w:val="37"/>
      <w:szCs w:val="37"/>
    </w:rPr>
  </w:style>
  <w:style w:type="character" w:customStyle="1" w:styleId="64">
    <w:name w:val="标题 9 字符"/>
    <w:basedOn w:val="49"/>
    <w:link w:val="13"/>
    <w:qFormat/>
    <w:uiPriority w:val="0"/>
    <w:rPr>
      <w:rFonts w:ascii="宋体" w:hAnsi="宋体" w:cs="宋体"/>
      <w:color w:val="000000"/>
      <w:sz w:val="35"/>
      <w:szCs w:val="35"/>
    </w:rPr>
  </w:style>
  <w:style w:type="character" w:customStyle="1" w:styleId="65">
    <w:name w:val="文档结构图 字符"/>
    <w:basedOn w:val="49"/>
    <w:link w:val="16"/>
    <w:qFormat/>
    <w:uiPriority w:val="0"/>
    <w:rPr>
      <w:rFonts w:ascii="宋体" w:cs="宋体"/>
      <w:color w:val="000000"/>
      <w:sz w:val="18"/>
      <w:szCs w:val="18"/>
    </w:rPr>
  </w:style>
  <w:style w:type="character" w:customStyle="1" w:styleId="66">
    <w:name w:val="批注文字 字符"/>
    <w:basedOn w:val="49"/>
    <w:link w:val="17"/>
    <w:qFormat/>
    <w:uiPriority w:val="0"/>
    <w:rPr>
      <w:rFonts w:cs="宋体"/>
      <w:color w:val="000000"/>
      <w:sz w:val="24"/>
      <w:szCs w:val="24"/>
    </w:rPr>
  </w:style>
  <w:style w:type="character" w:customStyle="1" w:styleId="67">
    <w:name w:val="正文文本 3 字符"/>
    <w:basedOn w:val="49"/>
    <w:link w:val="19"/>
    <w:qFormat/>
    <w:uiPriority w:val="0"/>
    <w:rPr>
      <w:rFonts w:cs="宋体"/>
      <w:color w:val="000000"/>
      <w:sz w:val="16"/>
      <w:szCs w:val="16"/>
    </w:rPr>
  </w:style>
  <w:style w:type="character" w:customStyle="1" w:styleId="68">
    <w:name w:val="正文文本 字符"/>
    <w:basedOn w:val="49"/>
    <w:link w:val="2"/>
    <w:qFormat/>
    <w:uiPriority w:val="0"/>
    <w:rPr>
      <w:rFonts w:ascii="宋体" w:hAnsi="宋体" w:cs="宋体"/>
      <w:color w:val="000000"/>
      <w:sz w:val="23"/>
      <w:szCs w:val="23"/>
    </w:rPr>
  </w:style>
  <w:style w:type="character" w:customStyle="1" w:styleId="69">
    <w:name w:val="日期 字符"/>
    <w:basedOn w:val="49"/>
    <w:link w:val="25"/>
    <w:qFormat/>
    <w:uiPriority w:val="0"/>
    <w:rPr>
      <w:rFonts w:eastAsia="Times New Roman"/>
      <w:color w:val="000000"/>
      <w:sz w:val="24"/>
      <w:szCs w:val="24"/>
      <w:lang w:eastAsia="en-US" w:bidi="en-US"/>
    </w:rPr>
  </w:style>
  <w:style w:type="character" w:customStyle="1" w:styleId="70">
    <w:name w:val="批注框文本 字符"/>
    <w:basedOn w:val="49"/>
    <w:link w:val="28"/>
    <w:qFormat/>
    <w:uiPriority w:val="0"/>
    <w:rPr>
      <w:rFonts w:cs="宋体"/>
      <w:color w:val="000000"/>
      <w:sz w:val="18"/>
      <w:szCs w:val="18"/>
    </w:rPr>
  </w:style>
  <w:style w:type="character" w:customStyle="1" w:styleId="71">
    <w:name w:val="页脚 字符"/>
    <w:basedOn w:val="49"/>
    <w:link w:val="29"/>
    <w:qFormat/>
    <w:uiPriority w:val="99"/>
    <w:rPr>
      <w:rFonts w:cs="宋体"/>
      <w:color w:val="000000"/>
      <w:sz w:val="18"/>
      <w:szCs w:val="18"/>
    </w:rPr>
  </w:style>
  <w:style w:type="character" w:customStyle="1" w:styleId="72">
    <w:name w:val="页眉 字符"/>
    <w:basedOn w:val="49"/>
    <w:link w:val="30"/>
    <w:qFormat/>
    <w:uiPriority w:val="99"/>
    <w:rPr>
      <w:rFonts w:cs="宋体"/>
      <w:color w:val="000000"/>
      <w:sz w:val="18"/>
      <w:szCs w:val="18"/>
    </w:rPr>
  </w:style>
  <w:style w:type="character" w:customStyle="1" w:styleId="73">
    <w:name w:val="脚注文本 字符"/>
    <w:basedOn w:val="49"/>
    <w:link w:val="33"/>
    <w:qFormat/>
    <w:uiPriority w:val="0"/>
    <w:rPr>
      <w:rFonts w:cs="宋体"/>
      <w:color w:val="000000"/>
      <w:sz w:val="18"/>
      <w:szCs w:val="18"/>
    </w:rPr>
  </w:style>
  <w:style w:type="character" w:customStyle="1" w:styleId="74">
    <w:name w:val="Body text|2_"/>
    <w:basedOn w:val="49"/>
    <w:link w:val="75"/>
    <w:qFormat/>
    <w:uiPriority w:val="0"/>
    <w:rPr>
      <w:rFonts w:ascii="宋体" w:hAnsi="宋体" w:eastAsia="宋体" w:cs="宋体"/>
      <w:sz w:val="36"/>
      <w:szCs w:val="36"/>
      <w:u w:val="none"/>
      <w:shd w:val="clear" w:color="auto" w:fill="auto"/>
      <w:lang w:val="zh-TW" w:eastAsia="zh-TW" w:bidi="zh-TW"/>
    </w:rPr>
  </w:style>
  <w:style w:type="paragraph" w:customStyle="1" w:styleId="75">
    <w:name w:val="Body text|2"/>
    <w:basedOn w:val="1"/>
    <w:link w:val="74"/>
    <w:qFormat/>
    <w:uiPriority w:val="0"/>
    <w:pPr>
      <w:spacing w:after="580" w:line="612" w:lineRule="exact"/>
      <w:jc w:val="center"/>
    </w:pPr>
    <w:rPr>
      <w:rFonts w:ascii="宋体" w:hAnsi="宋体" w:eastAsia="宋体" w:cs="宋体"/>
      <w:sz w:val="36"/>
      <w:szCs w:val="36"/>
      <w:lang w:val="zh-TW" w:eastAsia="zh-TW" w:bidi="zh-TW"/>
    </w:rPr>
  </w:style>
  <w:style w:type="character" w:customStyle="1" w:styleId="76">
    <w:name w:val="Body text|1_"/>
    <w:basedOn w:val="49"/>
    <w:link w:val="77"/>
    <w:qFormat/>
    <w:uiPriority w:val="0"/>
    <w:rPr>
      <w:rFonts w:ascii="宋体" w:hAnsi="宋体" w:eastAsia="宋体" w:cs="宋体"/>
      <w:sz w:val="26"/>
      <w:szCs w:val="26"/>
      <w:u w:val="none"/>
      <w:shd w:val="clear" w:color="auto" w:fill="auto"/>
      <w:lang w:val="zh-TW" w:eastAsia="zh-TW" w:bidi="zh-TW"/>
    </w:rPr>
  </w:style>
  <w:style w:type="paragraph" w:customStyle="1" w:styleId="77">
    <w:name w:val="Body text|1"/>
    <w:basedOn w:val="1"/>
    <w:link w:val="76"/>
    <w:qFormat/>
    <w:uiPriority w:val="0"/>
    <w:pPr>
      <w:spacing w:line="480" w:lineRule="auto"/>
      <w:ind w:firstLine="400"/>
    </w:pPr>
    <w:rPr>
      <w:rFonts w:ascii="宋体" w:hAnsi="宋体" w:eastAsia="宋体" w:cs="宋体"/>
      <w:sz w:val="26"/>
      <w:szCs w:val="26"/>
      <w:lang w:val="zh-TW" w:eastAsia="zh-TW" w:bidi="zh-TW"/>
    </w:rPr>
  </w:style>
  <w:style w:type="character" w:customStyle="1" w:styleId="78">
    <w:name w:val="Body text|3_"/>
    <w:basedOn w:val="49"/>
    <w:link w:val="79"/>
    <w:qFormat/>
    <w:uiPriority w:val="0"/>
    <w:rPr>
      <w:sz w:val="20"/>
      <w:szCs w:val="20"/>
      <w:u w:val="none"/>
      <w:shd w:val="clear" w:color="auto" w:fill="auto"/>
      <w:lang w:val="zh-CN"/>
    </w:rPr>
  </w:style>
  <w:style w:type="paragraph" w:customStyle="1" w:styleId="79">
    <w:name w:val="Body text|3"/>
    <w:basedOn w:val="1"/>
    <w:link w:val="78"/>
    <w:qFormat/>
    <w:uiPriority w:val="0"/>
    <w:rPr>
      <w:sz w:val="20"/>
      <w:szCs w:val="20"/>
      <w:lang w:val="zh-CN"/>
    </w:rPr>
  </w:style>
  <w:style w:type="paragraph" w:customStyle="1" w:styleId="80">
    <w:name w:val="标题 31"/>
    <w:next w:val="1"/>
    <w:qFormat/>
    <w:uiPriority w:val="1"/>
    <w:pPr>
      <w:spacing w:before="50" w:beforeLines="50" w:after="50" w:afterLines="50" w:line="360" w:lineRule="auto"/>
      <w:jc w:val="center"/>
      <w:outlineLvl w:val="2"/>
    </w:pPr>
    <w:rPr>
      <w:rFonts w:ascii="宋体" w:hAnsi="宋体" w:eastAsia="Times New Roman" w:cs="宋体"/>
      <w:b/>
      <w:color w:val="000000"/>
      <w:sz w:val="24"/>
      <w:szCs w:val="50"/>
      <w:lang w:val="en-US" w:eastAsia="zh-CN" w:bidi="ar-SA"/>
    </w:rPr>
  </w:style>
  <w:style w:type="paragraph" w:customStyle="1" w:styleId="81">
    <w:name w:val="目录 71"/>
    <w:basedOn w:val="1"/>
    <w:next w:val="1"/>
    <w:unhideWhenUsed/>
    <w:qFormat/>
    <w:uiPriority w:val="39"/>
    <w:pPr>
      <w:wordWrap w:val="0"/>
      <w:spacing w:line="360" w:lineRule="auto"/>
      <w:ind w:left="1440" w:firstLine="200" w:firstLineChars="200"/>
    </w:pPr>
    <w:rPr>
      <w:rFonts w:ascii="Calibri" w:hAnsi="Calibri" w:eastAsia="宋体" w:cs="宋体"/>
      <w:sz w:val="18"/>
      <w:szCs w:val="18"/>
      <w:lang w:eastAsia="zh-CN" w:bidi="ar-SA"/>
    </w:rPr>
  </w:style>
  <w:style w:type="paragraph" w:customStyle="1" w:styleId="82">
    <w:name w:val="目录 51"/>
    <w:basedOn w:val="1"/>
    <w:next w:val="1"/>
    <w:qFormat/>
    <w:uiPriority w:val="39"/>
    <w:pPr>
      <w:wordWrap w:val="0"/>
      <w:spacing w:line="360" w:lineRule="auto"/>
      <w:ind w:left="960" w:firstLine="200" w:firstLineChars="200"/>
    </w:pPr>
    <w:rPr>
      <w:rFonts w:ascii="Calibri" w:hAnsi="Calibri" w:eastAsia="宋体" w:cs="宋体"/>
      <w:sz w:val="18"/>
      <w:szCs w:val="18"/>
      <w:lang w:eastAsia="zh-CN" w:bidi="ar-SA"/>
    </w:rPr>
  </w:style>
  <w:style w:type="paragraph" w:customStyle="1" w:styleId="83">
    <w:name w:val="目录 31"/>
    <w:basedOn w:val="1"/>
    <w:next w:val="1"/>
    <w:qFormat/>
    <w:uiPriority w:val="39"/>
    <w:pPr>
      <w:wordWrap w:val="0"/>
      <w:spacing w:line="360" w:lineRule="auto"/>
      <w:ind w:left="480" w:firstLine="200" w:firstLineChars="200"/>
    </w:pPr>
    <w:rPr>
      <w:rFonts w:ascii="Calibri" w:hAnsi="Calibri" w:eastAsia="宋体" w:cs="宋体"/>
      <w:i/>
      <w:iCs/>
      <w:sz w:val="20"/>
      <w:szCs w:val="20"/>
      <w:lang w:eastAsia="zh-CN" w:bidi="ar-SA"/>
    </w:rPr>
  </w:style>
  <w:style w:type="paragraph" w:customStyle="1" w:styleId="84">
    <w:name w:val="目录 81"/>
    <w:basedOn w:val="1"/>
    <w:next w:val="1"/>
    <w:unhideWhenUsed/>
    <w:qFormat/>
    <w:uiPriority w:val="39"/>
    <w:pPr>
      <w:wordWrap w:val="0"/>
      <w:spacing w:line="360" w:lineRule="auto"/>
      <w:ind w:left="1680" w:firstLine="200" w:firstLineChars="200"/>
    </w:pPr>
    <w:rPr>
      <w:rFonts w:ascii="Calibri" w:hAnsi="Calibri" w:eastAsia="宋体" w:cs="宋体"/>
      <w:sz w:val="18"/>
      <w:szCs w:val="18"/>
      <w:lang w:eastAsia="zh-CN" w:bidi="ar-SA"/>
    </w:rPr>
  </w:style>
  <w:style w:type="paragraph" w:customStyle="1" w:styleId="85">
    <w:name w:val="日期1"/>
    <w:basedOn w:val="1"/>
    <w:next w:val="1"/>
    <w:qFormat/>
    <w:uiPriority w:val="0"/>
    <w:pPr>
      <w:ind w:left="100" w:leftChars="2500" w:firstLine="200" w:firstLineChars="200"/>
      <w:jc w:val="both"/>
    </w:pPr>
    <w:rPr>
      <w:rFonts w:ascii="Calibri" w:hAnsi="Calibri" w:eastAsia="宋体"/>
      <w:color w:val="auto"/>
      <w:kern w:val="2"/>
      <w:lang w:eastAsia="zh-CN" w:bidi="ar-SA"/>
    </w:rPr>
  </w:style>
  <w:style w:type="character" w:customStyle="1" w:styleId="86">
    <w:name w:val="页眉 Char"/>
    <w:basedOn w:val="49"/>
    <w:qFormat/>
    <w:uiPriority w:val="99"/>
    <w:rPr>
      <w:rFonts w:eastAsia="Times New Roman"/>
      <w:color w:val="000000"/>
      <w:sz w:val="18"/>
      <w:szCs w:val="18"/>
      <w:lang w:eastAsia="en-US" w:bidi="en-US"/>
    </w:rPr>
  </w:style>
  <w:style w:type="paragraph" w:customStyle="1" w:styleId="87">
    <w:name w:val="目录 11"/>
    <w:basedOn w:val="1"/>
    <w:next w:val="1"/>
    <w:qFormat/>
    <w:uiPriority w:val="39"/>
    <w:pPr>
      <w:wordWrap w:val="0"/>
      <w:spacing w:before="120" w:after="120" w:line="360" w:lineRule="auto"/>
      <w:ind w:firstLine="200" w:firstLineChars="200"/>
    </w:pPr>
    <w:rPr>
      <w:rFonts w:ascii="Calibri" w:hAnsi="Calibri" w:eastAsia="宋体" w:cs="宋体"/>
      <w:b/>
      <w:bCs/>
      <w:caps/>
      <w:sz w:val="20"/>
      <w:szCs w:val="20"/>
      <w:lang w:eastAsia="zh-CN" w:bidi="ar-SA"/>
    </w:rPr>
  </w:style>
  <w:style w:type="paragraph" w:customStyle="1" w:styleId="88">
    <w:name w:val="目录 41"/>
    <w:basedOn w:val="1"/>
    <w:next w:val="1"/>
    <w:qFormat/>
    <w:uiPriority w:val="39"/>
    <w:pPr>
      <w:wordWrap w:val="0"/>
      <w:spacing w:line="360" w:lineRule="auto"/>
      <w:ind w:left="720" w:firstLine="200" w:firstLineChars="200"/>
    </w:pPr>
    <w:rPr>
      <w:rFonts w:ascii="Calibri" w:hAnsi="Calibri" w:eastAsia="宋体" w:cs="宋体"/>
      <w:sz w:val="18"/>
      <w:szCs w:val="18"/>
      <w:lang w:eastAsia="zh-CN" w:bidi="ar-SA"/>
    </w:rPr>
  </w:style>
  <w:style w:type="paragraph" w:customStyle="1" w:styleId="89">
    <w:name w:val="目录 61"/>
    <w:basedOn w:val="1"/>
    <w:next w:val="1"/>
    <w:unhideWhenUsed/>
    <w:qFormat/>
    <w:uiPriority w:val="39"/>
    <w:pPr>
      <w:wordWrap w:val="0"/>
      <w:spacing w:line="360" w:lineRule="auto"/>
      <w:ind w:left="1200" w:firstLine="200" w:firstLineChars="200"/>
    </w:pPr>
    <w:rPr>
      <w:rFonts w:ascii="Calibri" w:hAnsi="Calibri" w:eastAsia="宋体" w:cs="宋体"/>
      <w:sz w:val="18"/>
      <w:szCs w:val="18"/>
      <w:lang w:eastAsia="zh-CN" w:bidi="ar-SA"/>
    </w:rPr>
  </w:style>
  <w:style w:type="paragraph" w:customStyle="1" w:styleId="90">
    <w:name w:val="目录 21"/>
    <w:basedOn w:val="1"/>
    <w:next w:val="1"/>
    <w:qFormat/>
    <w:uiPriority w:val="39"/>
    <w:pPr>
      <w:wordWrap w:val="0"/>
      <w:spacing w:line="360" w:lineRule="auto"/>
      <w:ind w:left="240" w:firstLine="200" w:firstLineChars="200"/>
    </w:pPr>
    <w:rPr>
      <w:rFonts w:ascii="Calibri" w:hAnsi="Calibri" w:eastAsia="宋体" w:cs="宋体"/>
      <w:smallCaps/>
      <w:sz w:val="20"/>
      <w:szCs w:val="20"/>
      <w:lang w:eastAsia="zh-CN" w:bidi="ar-SA"/>
    </w:rPr>
  </w:style>
  <w:style w:type="paragraph" w:customStyle="1" w:styleId="91">
    <w:name w:val="目录 91"/>
    <w:basedOn w:val="1"/>
    <w:next w:val="1"/>
    <w:unhideWhenUsed/>
    <w:qFormat/>
    <w:uiPriority w:val="39"/>
    <w:pPr>
      <w:wordWrap w:val="0"/>
      <w:spacing w:line="360" w:lineRule="auto"/>
      <w:ind w:left="1920" w:firstLine="200" w:firstLineChars="200"/>
    </w:pPr>
    <w:rPr>
      <w:rFonts w:ascii="Calibri" w:hAnsi="Calibri" w:eastAsia="宋体" w:cs="宋体"/>
      <w:sz w:val="18"/>
      <w:szCs w:val="18"/>
      <w:lang w:eastAsia="zh-CN" w:bidi="ar-SA"/>
    </w:rPr>
  </w:style>
  <w:style w:type="character" w:customStyle="1" w:styleId="92">
    <w:name w:val="超链接1"/>
    <w:basedOn w:val="49"/>
    <w:unhideWhenUsed/>
    <w:qFormat/>
    <w:uiPriority w:val="99"/>
    <w:rPr>
      <w:color w:val="0000FF"/>
      <w:u w:val="single"/>
    </w:rPr>
  </w:style>
  <w:style w:type="table" w:customStyle="1" w:styleId="93">
    <w:name w:val="Table Normal"/>
    <w:semiHidden/>
    <w:unhideWhenUsed/>
    <w:qFormat/>
    <w:uiPriority w:val="2"/>
    <w:tblPr>
      <w:tblCellMar>
        <w:top w:w="0" w:type="dxa"/>
        <w:left w:w="0" w:type="dxa"/>
        <w:bottom w:w="0" w:type="dxa"/>
        <w:right w:w="0" w:type="dxa"/>
      </w:tblCellMar>
    </w:tblPr>
  </w:style>
  <w:style w:type="paragraph" w:styleId="94">
    <w:name w:val="List Paragraph"/>
    <w:basedOn w:val="1"/>
    <w:qFormat/>
    <w:uiPriority w:val="99"/>
    <w:pPr>
      <w:wordWrap w:val="0"/>
      <w:spacing w:line="360" w:lineRule="auto"/>
      <w:jc w:val="both"/>
    </w:pPr>
    <w:rPr>
      <w:rFonts w:eastAsia="宋体" w:cs="宋体"/>
      <w:lang w:eastAsia="zh-CN" w:bidi="ar-SA"/>
    </w:rPr>
  </w:style>
  <w:style w:type="paragraph" w:customStyle="1" w:styleId="95">
    <w:name w:val="Table Paragraph"/>
    <w:basedOn w:val="1"/>
    <w:link w:val="96"/>
    <w:qFormat/>
    <w:uiPriority w:val="1"/>
    <w:pPr>
      <w:wordWrap w:val="0"/>
      <w:spacing w:line="360" w:lineRule="auto"/>
      <w:ind w:firstLine="200" w:firstLineChars="200"/>
      <w:jc w:val="both"/>
    </w:pPr>
    <w:rPr>
      <w:rFonts w:eastAsia="宋体" w:cs="宋体"/>
      <w:lang w:eastAsia="zh-CN" w:bidi="ar-SA"/>
    </w:rPr>
  </w:style>
  <w:style w:type="character" w:customStyle="1" w:styleId="96">
    <w:name w:val="Table Paragraph Char"/>
    <w:basedOn w:val="49"/>
    <w:link w:val="95"/>
    <w:qFormat/>
    <w:uiPriority w:val="1"/>
    <w:rPr>
      <w:rFonts w:cs="宋体"/>
      <w:color w:val="000000"/>
      <w:sz w:val="24"/>
      <w:szCs w:val="24"/>
    </w:rPr>
  </w:style>
  <w:style w:type="table" w:customStyle="1" w:styleId="97">
    <w:name w:val="Table Normal1"/>
    <w:semiHidden/>
    <w:unhideWhenUsed/>
    <w:qFormat/>
    <w:uiPriority w:val="2"/>
    <w:tblPr>
      <w:tblCellMar>
        <w:top w:w="0" w:type="dxa"/>
        <w:left w:w="0" w:type="dxa"/>
        <w:bottom w:w="0" w:type="dxa"/>
        <w:right w:w="0" w:type="dxa"/>
      </w:tblCellMar>
    </w:tblPr>
  </w:style>
  <w:style w:type="table" w:customStyle="1" w:styleId="98">
    <w:name w:val="Table Normal2"/>
    <w:semiHidden/>
    <w:unhideWhenUsed/>
    <w:qFormat/>
    <w:uiPriority w:val="2"/>
    <w:tblPr>
      <w:tblCellMar>
        <w:top w:w="0" w:type="dxa"/>
        <w:left w:w="0" w:type="dxa"/>
        <w:bottom w:w="0" w:type="dxa"/>
        <w:right w:w="0" w:type="dxa"/>
      </w:tblCellMar>
    </w:tblPr>
  </w:style>
  <w:style w:type="paragraph" w:customStyle="1" w:styleId="99">
    <w:name w:val="标注"/>
    <w:basedOn w:val="1"/>
    <w:link w:val="100"/>
    <w:qFormat/>
    <w:uiPriority w:val="1"/>
    <w:pPr>
      <w:wordWrap w:val="0"/>
      <w:spacing w:line="240" w:lineRule="exact"/>
      <w:ind w:left="200" w:leftChars="200"/>
      <w:jc w:val="both"/>
    </w:pPr>
    <w:rPr>
      <w:rFonts w:eastAsia="宋体" w:cs="宋体"/>
      <w:sz w:val="20"/>
      <w:lang w:eastAsia="zh-CN" w:bidi="ar-SA"/>
    </w:rPr>
  </w:style>
  <w:style w:type="character" w:customStyle="1" w:styleId="100">
    <w:name w:val="标注 Char"/>
    <w:basedOn w:val="49"/>
    <w:link w:val="99"/>
    <w:qFormat/>
    <w:uiPriority w:val="1"/>
    <w:rPr>
      <w:rFonts w:cs="宋体"/>
      <w:color w:val="000000"/>
      <w:szCs w:val="24"/>
    </w:rPr>
  </w:style>
  <w:style w:type="paragraph" w:customStyle="1" w:styleId="101">
    <w:name w:val="其他标题"/>
    <w:link w:val="102"/>
    <w:qFormat/>
    <w:uiPriority w:val="1"/>
    <w:pPr>
      <w:spacing w:line="360" w:lineRule="auto"/>
      <w:jc w:val="center"/>
    </w:pPr>
    <w:rPr>
      <w:rFonts w:ascii="宋体" w:hAnsi="宋体" w:eastAsia="宋体" w:cs="宋体"/>
      <w:b/>
      <w:color w:val="000000"/>
      <w:sz w:val="28"/>
      <w:szCs w:val="24"/>
      <w:u w:val="single" w:color="000000"/>
      <w:lang w:val="en-US" w:eastAsia="zh-CN" w:bidi="ar-SA"/>
    </w:rPr>
  </w:style>
  <w:style w:type="character" w:customStyle="1" w:styleId="102">
    <w:name w:val="其他标题 Char"/>
    <w:basedOn w:val="49"/>
    <w:link w:val="101"/>
    <w:qFormat/>
    <w:uiPriority w:val="1"/>
    <w:rPr>
      <w:rFonts w:ascii="宋体" w:hAnsi="宋体" w:cs="宋体"/>
      <w:b/>
      <w:color w:val="000000"/>
      <w:sz w:val="28"/>
      <w:szCs w:val="24"/>
      <w:u w:val="single" w:color="000000"/>
    </w:rPr>
  </w:style>
  <w:style w:type="paragraph" w:customStyle="1" w:styleId="103">
    <w:name w:val="大标题"/>
    <w:basedOn w:val="1"/>
    <w:link w:val="104"/>
    <w:qFormat/>
    <w:uiPriority w:val="1"/>
    <w:pPr>
      <w:widowControl/>
      <w:jc w:val="center"/>
    </w:pPr>
    <w:rPr>
      <w:rFonts w:eastAsia="宋体" w:cs="宋体"/>
      <w:b/>
      <w:sz w:val="44"/>
      <w:szCs w:val="44"/>
      <w:lang w:eastAsia="zh-CN" w:bidi="ar-SA"/>
    </w:rPr>
  </w:style>
  <w:style w:type="character" w:customStyle="1" w:styleId="104">
    <w:name w:val="大标题 Char"/>
    <w:basedOn w:val="49"/>
    <w:link w:val="103"/>
    <w:qFormat/>
    <w:uiPriority w:val="1"/>
    <w:rPr>
      <w:rFonts w:cs="宋体"/>
      <w:b/>
      <w:color w:val="000000"/>
      <w:sz w:val="44"/>
      <w:szCs w:val="44"/>
    </w:rPr>
  </w:style>
  <w:style w:type="paragraph" w:customStyle="1" w:styleId="105">
    <w:name w:val="表格"/>
    <w:basedOn w:val="95"/>
    <w:link w:val="106"/>
    <w:qFormat/>
    <w:uiPriority w:val="0"/>
    <w:pPr>
      <w:wordWrap/>
      <w:spacing w:line="300" w:lineRule="exact"/>
      <w:ind w:firstLine="0" w:firstLineChars="0"/>
      <w:jc w:val="center"/>
    </w:pPr>
    <w:rPr>
      <w:sz w:val="21"/>
      <w:szCs w:val="21"/>
    </w:rPr>
  </w:style>
  <w:style w:type="character" w:customStyle="1" w:styleId="106">
    <w:name w:val="表格 Char"/>
    <w:basedOn w:val="96"/>
    <w:link w:val="105"/>
    <w:qFormat/>
    <w:uiPriority w:val="1"/>
    <w:rPr>
      <w:rFonts w:cs="宋体"/>
      <w:color w:val="000000"/>
      <w:sz w:val="21"/>
      <w:szCs w:val="21"/>
    </w:rPr>
  </w:style>
  <w:style w:type="character" w:customStyle="1" w:styleId="107">
    <w:name w:val="日期 Char"/>
    <w:qFormat/>
    <w:uiPriority w:val="0"/>
    <w:rPr>
      <w:kern w:val="2"/>
      <w:sz w:val="24"/>
      <w:szCs w:val="24"/>
    </w:rPr>
  </w:style>
  <w:style w:type="character" w:customStyle="1" w:styleId="108">
    <w:name w:val="日期 Char1"/>
    <w:basedOn w:val="49"/>
    <w:semiHidden/>
    <w:qFormat/>
    <w:uiPriority w:val="99"/>
    <w:rPr>
      <w:rFonts w:ascii="Times New Roman" w:hAnsi="Times New Roman" w:eastAsia="宋体" w:cs="宋体"/>
      <w:color w:val="000000"/>
      <w:sz w:val="24"/>
      <w:szCs w:val="24"/>
    </w:rPr>
  </w:style>
  <w:style w:type="character" w:customStyle="1" w:styleId="109">
    <w:name w:val="smblacktext1"/>
    <w:qFormat/>
    <w:uiPriority w:val="0"/>
    <w:rPr>
      <w:rFonts w:hint="default" w:ascii="Arial" w:hAnsi="Arial" w:cs="Arial"/>
      <w:color w:val="000000"/>
      <w:sz w:val="17"/>
      <w:szCs w:val="17"/>
    </w:rPr>
  </w:style>
  <w:style w:type="paragraph" w:customStyle="1" w:styleId="110">
    <w:name w:val="资审正文"/>
    <w:basedOn w:val="1"/>
    <w:link w:val="125"/>
    <w:qFormat/>
    <w:uiPriority w:val="0"/>
    <w:pPr>
      <w:spacing w:before="31" w:beforeLines="10" w:after="31" w:afterLines="10" w:line="460" w:lineRule="exact"/>
      <w:ind w:firstLine="520" w:firstLineChars="200"/>
      <w:jc w:val="both"/>
    </w:pPr>
    <w:rPr>
      <w:rFonts w:ascii="华文细黑" w:hAnsi="华文细黑" w:eastAsia="宋体"/>
      <w:color w:val="auto"/>
      <w:kern w:val="2"/>
      <w:sz w:val="26"/>
      <w:szCs w:val="26"/>
      <w:lang w:eastAsia="zh-CN" w:bidi="ar-SA"/>
    </w:rPr>
  </w:style>
  <w:style w:type="paragraph" w:customStyle="1" w:styleId="111">
    <w:name w:val="Char Char Char Char Char Char"/>
    <w:basedOn w:val="1"/>
    <w:qFormat/>
    <w:uiPriority w:val="0"/>
    <w:pPr>
      <w:jc w:val="both"/>
    </w:pPr>
    <w:rPr>
      <w:rFonts w:eastAsia="宋体"/>
      <w:color w:val="auto"/>
      <w:kern w:val="2"/>
      <w:sz w:val="21"/>
      <w:lang w:eastAsia="zh-CN" w:bidi="ar-SA"/>
    </w:rPr>
  </w:style>
  <w:style w:type="character" w:customStyle="1" w:styleId="112">
    <w:name w:val="批注主题 字符"/>
    <w:basedOn w:val="66"/>
    <w:link w:val="44"/>
    <w:qFormat/>
    <w:uiPriority w:val="0"/>
    <w:rPr>
      <w:rFonts w:eastAsia="Times New Roman" w:cs="宋体"/>
      <w:b/>
      <w:bCs/>
      <w:color w:val="000000"/>
      <w:sz w:val="24"/>
      <w:szCs w:val="24"/>
      <w:lang w:eastAsia="en-US" w:bidi="en-US"/>
    </w:rPr>
  </w:style>
  <w:style w:type="paragraph" w:customStyle="1" w:styleId="113">
    <w:name w:val="Header or footer|1"/>
    <w:basedOn w:val="1"/>
    <w:qFormat/>
    <w:uiPriority w:val="0"/>
    <w:pPr>
      <w:wordWrap w:val="0"/>
      <w:spacing w:line="360" w:lineRule="auto"/>
      <w:ind w:firstLine="200" w:firstLineChars="200"/>
      <w:jc w:val="both"/>
    </w:pPr>
    <w:rPr>
      <w:rFonts w:eastAsia="宋体" w:cs="宋体"/>
      <w:color w:val="000000" w:themeColor="text1"/>
      <w:sz w:val="20"/>
      <w:szCs w:val="20"/>
      <w:lang w:val="zh-TW" w:eastAsia="zh-TW" w:bidi="zh-TW"/>
      <w14:textFill>
        <w14:solidFill>
          <w14:schemeClr w14:val="tx1"/>
        </w14:solidFill>
      </w14:textFill>
    </w:rPr>
  </w:style>
  <w:style w:type="character" w:customStyle="1" w:styleId="114">
    <w:name w:val="未处理的提及1"/>
    <w:basedOn w:val="49"/>
    <w:semiHidden/>
    <w:unhideWhenUsed/>
    <w:qFormat/>
    <w:uiPriority w:val="99"/>
    <w:rPr>
      <w:color w:val="605E5C"/>
      <w:shd w:val="clear" w:color="auto" w:fill="E1DFDD"/>
    </w:rPr>
  </w:style>
  <w:style w:type="character" w:customStyle="1" w:styleId="115">
    <w:name w:val="未处理的提及2"/>
    <w:basedOn w:val="49"/>
    <w:semiHidden/>
    <w:unhideWhenUsed/>
    <w:qFormat/>
    <w:uiPriority w:val="99"/>
    <w:rPr>
      <w:color w:val="605E5C"/>
      <w:shd w:val="clear" w:color="auto" w:fill="E1DFDD"/>
    </w:rPr>
  </w:style>
  <w:style w:type="character" w:customStyle="1" w:styleId="116">
    <w:name w:val="标题 1 字符"/>
    <w:basedOn w:val="49"/>
    <w:link w:val="4"/>
    <w:qFormat/>
    <w:uiPriority w:val="0"/>
    <w:rPr>
      <w:color w:val="000000"/>
      <w:kern w:val="44"/>
      <w:sz w:val="44"/>
      <w:szCs w:val="24"/>
      <w:lang w:eastAsia="en-US" w:bidi="en-US"/>
    </w:rPr>
  </w:style>
  <w:style w:type="character" w:customStyle="1" w:styleId="117">
    <w:name w:val="标题 4 字符"/>
    <w:basedOn w:val="49"/>
    <w:link w:val="8"/>
    <w:qFormat/>
    <w:uiPriority w:val="0"/>
    <w:rPr>
      <w:rFonts w:ascii="Arial" w:hAnsi="Arial" w:eastAsia="黑体"/>
      <w:b/>
      <w:color w:val="000000"/>
      <w:sz w:val="28"/>
      <w:szCs w:val="24"/>
      <w:lang w:eastAsia="en-US" w:bidi="en-US"/>
    </w:rPr>
  </w:style>
  <w:style w:type="character" w:customStyle="1" w:styleId="118">
    <w:name w:val="标题C-1 Char Char"/>
    <w:link w:val="119"/>
    <w:qFormat/>
    <w:uiPriority w:val="0"/>
    <w:rPr>
      <w:rFonts w:ascii="宋体" w:hAnsi="宋体"/>
      <w:b/>
      <w:kern w:val="2"/>
      <w:sz w:val="28"/>
      <w:szCs w:val="24"/>
    </w:rPr>
  </w:style>
  <w:style w:type="paragraph" w:customStyle="1" w:styleId="119">
    <w:name w:val="标题C-1"/>
    <w:basedOn w:val="1"/>
    <w:link w:val="118"/>
    <w:qFormat/>
    <w:uiPriority w:val="0"/>
    <w:pPr>
      <w:spacing w:line="360" w:lineRule="auto"/>
      <w:jc w:val="center"/>
      <w:outlineLvl w:val="2"/>
    </w:pPr>
    <w:rPr>
      <w:rFonts w:ascii="宋体" w:hAnsi="宋体" w:eastAsia="宋体"/>
      <w:b/>
      <w:color w:val="auto"/>
      <w:kern w:val="2"/>
      <w:sz w:val="28"/>
      <w:lang w:eastAsia="zh-CN" w:bidi="ar-SA"/>
    </w:rPr>
  </w:style>
  <w:style w:type="character" w:customStyle="1" w:styleId="120">
    <w:name w:val="标题D-1 Char Char"/>
    <w:link w:val="121"/>
    <w:uiPriority w:val="0"/>
    <w:rPr>
      <w:rFonts w:ascii="黑体" w:eastAsia="黑体"/>
      <w:b/>
      <w:kern w:val="2"/>
      <w:sz w:val="28"/>
      <w:szCs w:val="28"/>
    </w:rPr>
  </w:style>
  <w:style w:type="paragraph" w:customStyle="1" w:styleId="121">
    <w:name w:val="标题D-1"/>
    <w:basedOn w:val="1"/>
    <w:link w:val="120"/>
    <w:qFormat/>
    <w:uiPriority w:val="0"/>
    <w:pPr>
      <w:spacing w:beforeLines="50" w:afterLines="50"/>
      <w:jc w:val="center"/>
      <w:outlineLvl w:val="3"/>
    </w:pPr>
    <w:rPr>
      <w:rFonts w:ascii="黑体" w:eastAsia="黑体"/>
      <w:b/>
      <w:color w:val="auto"/>
      <w:kern w:val="2"/>
      <w:sz w:val="28"/>
      <w:szCs w:val="28"/>
      <w:lang w:eastAsia="zh-CN" w:bidi="ar-SA"/>
    </w:rPr>
  </w:style>
  <w:style w:type="character" w:customStyle="1" w:styleId="122">
    <w:name w:val="样式5 Char"/>
    <w:link w:val="123"/>
    <w:qFormat/>
    <w:uiPriority w:val="0"/>
    <w:rPr>
      <w:rFonts w:ascii="宋体" w:hAnsi="宋体"/>
      <w:b/>
      <w:kern w:val="2"/>
      <w:sz w:val="18"/>
      <w:szCs w:val="18"/>
    </w:rPr>
  </w:style>
  <w:style w:type="paragraph" w:customStyle="1" w:styleId="123">
    <w:name w:val="样式5"/>
    <w:basedOn w:val="30"/>
    <w:link w:val="122"/>
    <w:qFormat/>
    <w:uiPriority w:val="0"/>
    <w:pPr>
      <w:pBdr>
        <w:bottom w:val="thinThickSmallGap" w:color="auto" w:sz="24" w:space="1"/>
      </w:pBdr>
      <w:tabs>
        <w:tab w:val="left" w:pos="3686"/>
        <w:tab w:val="clear" w:pos="4153"/>
        <w:tab w:val="clear" w:pos="8306"/>
      </w:tabs>
      <w:wordWrap/>
      <w:spacing w:before="120" w:after="120" w:line="240" w:lineRule="auto"/>
      <w:ind w:right="6" w:firstLine="0" w:firstLineChars="0"/>
      <w:jc w:val="left"/>
    </w:pPr>
    <w:rPr>
      <w:rFonts w:ascii="宋体" w:hAnsi="宋体" w:cs="Times New Roman"/>
      <w:b/>
      <w:color w:val="auto"/>
      <w:kern w:val="2"/>
    </w:rPr>
  </w:style>
  <w:style w:type="character" w:customStyle="1" w:styleId="124">
    <w:name w:val="Char Char3"/>
    <w:qFormat/>
    <w:uiPriority w:val="0"/>
    <w:rPr>
      <w:kern w:val="2"/>
      <w:sz w:val="18"/>
      <w:szCs w:val="18"/>
    </w:rPr>
  </w:style>
  <w:style w:type="character" w:customStyle="1" w:styleId="125">
    <w:name w:val="资审正文 Char Char"/>
    <w:link w:val="110"/>
    <w:qFormat/>
    <w:uiPriority w:val="0"/>
    <w:rPr>
      <w:rFonts w:ascii="华文细黑" w:hAnsi="华文细黑"/>
      <w:kern w:val="2"/>
      <w:sz w:val="26"/>
      <w:szCs w:val="26"/>
    </w:rPr>
  </w:style>
  <w:style w:type="character" w:customStyle="1" w:styleId="126">
    <w:name w:val="font161"/>
    <w:qFormat/>
    <w:uiPriority w:val="0"/>
    <w:rPr>
      <w:b/>
      <w:bCs/>
      <w:sz w:val="32"/>
      <w:szCs w:val="32"/>
    </w:rPr>
  </w:style>
  <w:style w:type="character" w:customStyle="1" w:styleId="127">
    <w:name w:val="tpc_content1"/>
    <w:qFormat/>
    <w:uiPriority w:val="0"/>
    <w:rPr>
      <w:sz w:val="20"/>
      <w:szCs w:val="20"/>
    </w:rPr>
  </w:style>
  <w:style w:type="character" w:customStyle="1" w:styleId="128">
    <w:name w:val="HTML 预设格式 字符"/>
    <w:link w:val="41"/>
    <w:qFormat/>
    <w:uiPriority w:val="99"/>
    <w:rPr>
      <w:rFonts w:ascii="宋体" w:hAnsi="宋体" w:cs="宋体"/>
      <w:sz w:val="24"/>
      <w:szCs w:val="24"/>
    </w:rPr>
  </w:style>
  <w:style w:type="character" w:customStyle="1" w:styleId="129">
    <w:name w:val="标题B-1 Char Char"/>
    <w:link w:val="130"/>
    <w:qFormat/>
    <w:uiPriority w:val="0"/>
    <w:rPr>
      <w:rFonts w:ascii="宋体" w:hAnsi="宋体"/>
      <w:b/>
      <w:kern w:val="2"/>
      <w:sz w:val="30"/>
      <w:szCs w:val="24"/>
    </w:rPr>
  </w:style>
  <w:style w:type="paragraph" w:customStyle="1" w:styleId="130">
    <w:name w:val="标题B-1"/>
    <w:basedOn w:val="1"/>
    <w:link w:val="129"/>
    <w:qFormat/>
    <w:uiPriority w:val="0"/>
    <w:pPr>
      <w:spacing w:before="120"/>
      <w:jc w:val="center"/>
      <w:outlineLvl w:val="1"/>
    </w:pPr>
    <w:rPr>
      <w:rFonts w:ascii="宋体" w:hAnsi="宋体" w:eastAsia="宋体"/>
      <w:b/>
      <w:color w:val="auto"/>
      <w:kern w:val="2"/>
      <w:sz w:val="30"/>
      <w:lang w:eastAsia="zh-CN" w:bidi="ar-SA"/>
    </w:rPr>
  </w:style>
  <w:style w:type="character" w:customStyle="1" w:styleId="131">
    <w:name w:val="a-size-large1"/>
    <w:qFormat/>
    <w:uiPriority w:val="0"/>
    <w:rPr>
      <w:rFonts w:hint="default" w:ascii="Arial" w:hAnsi="Arial" w:cs="Arial"/>
    </w:rPr>
  </w:style>
  <w:style w:type="character" w:customStyle="1" w:styleId="132">
    <w:name w:val="纯文本 字符"/>
    <w:link w:val="23"/>
    <w:qFormat/>
    <w:uiPriority w:val="0"/>
    <w:rPr>
      <w:rFonts w:ascii="宋体" w:hAnsi="Courier New" w:cs="Courier New"/>
      <w:kern w:val="2"/>
      <w:sz w:val="21"/>
      <w:szCs w:val="21"/>
    </w:rPr>
  </w:style>
  <w:style w:type="character" w:customStyle="1" w:styleId="133">
    <w:name w:val="尾注文本 字符"/>
    <w:link w:val="27"/>
    <w:qFormat/>
    <w:uiPriority w:val="0"/>
    <w:rPr>
      <w:kern w:val="2"/>
      <w:sz w:val="21"/>
      <w:szCs w:val="24"/>
    </w:rPr>
  </w:style>
  <w:style w:type="character" w:customStyle="1" w:styleId="134">
    <w:name w:val="Para head"/>
    <w:uiPriority w:val="0"/>
    <w:rPr>
      <w:sz w:val="20"/>
    </w:rPr>
  </w:style>
  <w:style w:type="character" w:customStyle="1" w:styleId="135">
    <w:name w:val="标题C Char Char"/>
    <w:link w:val="136"/>
    <w:qFormat/>
    <w:uiPriority w:val="0"/>
    <w:rPr>
      <w:rFonts w:ascii="宋体" w:hAnsi="宋体"/>
      <w:b/>
      <w:kern w:val="2"/>
      <w:sz w:val="24"/>
      <w:szCs w:val="24"/>
    </w:rPr>
  </w:style>
  <w:style w:type="paragraph" w:customStyle="1" w:styleId="136">
    <w:name w:val="标题C"/>
    <w:basedOn w:val="1"/>
    <w:link w:val="135"/>
    <w:qFormat/>
    <w:uiPriority w:val="0"/>
    <w:pPr>
      <w:spacing w:line="360" w:lineRule="auto"/>
      <w:jc w:val="both"/>
      <w:outlineLvl w:val="2"/>
    </w:pPr>
    <w:rPr>
      <w:rFonts w:ascii="宋体" w:hAnsi="宋体" w:eastAsia="宋体"/>
      <w:b/>
      <w:color w:val="auto"/>
      <w:kern w:val="2"/>
      <w:lang w:eastAsia="zh-CN" w:bidi="ar-SA"/>
    </w:rPr>
  </w:style>
  <w:style w:type="character" w:customStyle="1" w:styleId="137">
    <w:name w:val="123YJ Char Char"/>
    <w:qFormat/>
    <w:uiPriority w:val="0"/>
    <w:rPr>
      <w:rFonts w:eastAsia="宋体"/>
      <w:kern w:val="2"/>
      <w:sz w:val="18"/>
      <w:szCs w:val="18"/>
      <w:lang w:val="en-US" w:eastAsia="zh-CN" w:bidi="ar-SA"/>
    </w:rPr>
  </w:style>
  <w:style w:type="character" w:customStyle="1" w:styleId="138">
    <w:name w:val="资审正文 Char"/>
    <w:qFormat/>
    <w:uiPriority w:val="0"/>
    <w:rPr>
      <w:rFonts w:ascii="华文细黑" w:hAnsi="华文细黑" w:eastAsia="宋体"/>
      <w:kern w:val="2"/>
      <w:sz w:val="26"/>
      <w:szCs w:val="26"/>
      <w:lang w:val="en-US" w:eastAsia="zh-CN" w:bidi="ar-SA"/>
    </w:rPr>
  </w:style>
  <w:style w:type="character" w:customStyle="1" w:styleId="139">
    <w:name w:val="标题3 Char Char"/>
    <w:link w:val="140"/>
    <w:qFormat/>
    <w:uiPriority w:val="0"/>
    <w:rPr>
      <w:b/>
      <w:kern w:val="2"/>
      <w:sz w:val="24"/>
      <w:szCs w:val="24"/>
    </w:rPr>
  </w:style>
  <w:style w:type="paragraph" w:customStyle="1" w:styleId="140">
    <w:name w:val="标题3"/>
    <w:basedOn w:val="1"/>
    <w:link w:val="139"/>
    <w:uiPriority w:val="0"/>
    <w:pPr>
      <w:spacing w:line="360" w:lineRule="auto"/>
      <w:jc w:val="center"/>
      <w:outlineLvl w:val="0"/>
    </w:pPr>
    <w:rPr>
      <w:rFonts w:eastAsia="宋体"/>
      <w:b/>
      <w:color w:val="auto"/>
      <w:kern w:val="2"/>
      <w:lang w:eastAsia="zh-CN" w:bidi="ar-SA"/>
    </w:rPr>
  </w:style>
  <w:style w:type="character" w:customStyle="1" w:styleId="141">
    <w:name w:val="正文文本 字符1"/>
    <w:basedOn w:val="49"/>
    <w:semiHidden/>
    <w:qFormat/>
    <w:uiPriority w:val="99"/>
    <w:rPr>
      <w:kern w:val="2"/>
      <w:sz w:val="21"/>
      <w:szCs w:val="24"/>
    </w:rPr>
  </w:style>
  <w:style w:type="character" w:customStyle="1" w:styleId="142">
    <w:name w:val="正文文本首行缩进 字符"/>
    <w:basedOn w:val="68"/>
    <w:link w:val="45"/>
    <w:qFormat/>
    <w:uiPriority w:val="0"/>
    <w:rPr>
      <w:rFonts w:ascii="宋体" w:hAnsi="宋体" w:cs="宋体"/>
      <w:color w:val="000000"/>
      <w:sz w:val="34"/>
      <w:szCs w:val="23"/>
      <w:lang w:val="zh-CN" w:eastAsia="zh-CN"/>
    </w:rPr>
  </w:style>
  <w:style w:type="character" w:customStyle="1" w:styleId="143">
    <w:name w:val="HTML 预设格式 字符1"/>
    <w:basedOn w:val="49"/>
    <w:semiHidden/>
    <w:qFormat/>
    <w:uiPriority w:val="99"/>
    <w:rPr>
      <w:rFonts w:ascii="Courier New" w:hAnsi="Courier New" w:eastAsia="Times New Roman" w:cs="Courier New"/>
      <w:color w:val="000000"/>
      <w:lang w:eastAsia="en-US" w:bidi="en-US"/>
    </w:rPr>
  </w:style>
  <w:style w:type="character" w:customStyle="1" w:styleId="144">
    <w:name w:val="正文文本 2 字符"/>
    <w:basedOn w:val="49"/>
    <w:link w:val="39"/>
    <w:qFormat/>
    <w:uiPriority w:val="0"/>
    <w:rPr>
      <w:kern w:val="2"/>
      <w:sz w:val="44"/>
      <w:szCs w:val="24"/>
    </w:rPr>
  </w:style>
  <w:style w:type="character" w:customStyle="1" w:styleId="145">
    <w:name w:val="正文文本缩进 2 字符"/>
    <w:basedOn w:val="49"/>
    <w:link w:val="26"/>
    <w:qFormat/>
    <w:uiPriority w:val="0"/>
    <w:rPr>
      <w:kern w:val="2"/>
      <w:sz w:val="21"/>
      <w:szCs w:val="24"/>
    </w:rPr>
  </w:style>
  <w:style w:type="character" w:customStyle="1" w:styleId="146">
    <w:name w:val="尾注文本 字符1"/>
    <w:basedOn w:val="49"/>
    <w:semiHidden/>
    <w:uiPriority w:val="99"/>
    <w:rPr>
      <w:rFonts w:eastAsia="Times New Roman"/>
      <w:color w:val="000000"/>
      <w:sz w:val="24"/>
      <w:szCs w:val="24"/>
      <w:lang w:eastAsia="en-US" w:bidi="en-US"/>
    </w:rPr>
  </w:style>
  <w:style w:type="character" w:customStyle="1" w:styleId="147">
    <w:name w:val="称呼 字符"/>
    <w:basedOn w:val="49"/>
    <w:link w:val="18"/>
    <w:qFormat/>
    <w:uiPriority w:val="0"/>
    <w:rPr>
      <w:rFonts w:ascii="宋体" w:hAnsi="宋体"/>
      <w:sz w:val="21"/>
      <w:szCs w:val="21"/>
      <w:lang w:val="es-ES"/>
    </w:rPr>
  </w:style>
  <w:style w:type="character" w:customStyle="1" w:styleId="148">
    <w:name w:val="页脚 字符1"/>
    <w:basedOn w:val="49"/>
    <w:semiHidden/>
    <w:qFormat/>
    <w:uiPriority w:val="99"/>
    <w:rPr>
      <w:kern w:val="2"/>
      <w:sz w:val="18"/>
      <w:szCs w:val="18"/>
    </w:rPr>
  </w:style>
  <w:style w:type="character" w:customStyle="1" w:styleId="149">
    <w:name w:val="纯文本 字符1"/>
    <w:basedOn w:val="49"/>
    <w:semiHidden/>
    <w:qFormat/>
    <w:uiPriority w:val="99"/>
    <w:rPr>
      <w:rFonts w:hAnsi="Courier New" w:cs="Courier New" w:asciiTheme="minorEastAsia" w:eastAsiaTheme="minorEastAsia"/>
      <w:color w:val="000000"/>
      <w:sz w:val="24"/>
      <w:szCs w:val="24"/>
      <w:lang w:eastAsia="en-US" w:bidi="en-US"/>
    </w:rPr>
  </w:style>
  <w:style w:type="character" w:customStyle="1" w:styleId="150">
    <w:name w:val="正文文本缩进 字符"/>
    <w:basedOn w:val="49"/>
    <w:link w:val="20"/>
    <w:qFormat/>
    <w:uiPriority w:val="0"/>
    <w:rPr>
      <w:rFonts w:ascii="宋体"/>
      <w:kern w:val="2"/>
      <w:sz w:val="24"/>
    </w:rPr>
  </w:style>
  <w:style w:type="character" w:customStyle="1" w:styleId="151">
    <w:name w:val="页眉 字符1"/>
    <w:basedOn w:val="49"/>
    <w:semiHidden/>
    <w:uiPriority w:val="99"/>
    <w:rPr>
      <w:kern w:val="2"/>
      <w:sz w:val="18"/>
      <w:szCs w:val="18"/>
    </w:rPr>
  </w:style>
  <w:style w:type="character" w:customStyle="1" w:styleId="152">
    <w:name w:val="脚注文本 字符1"/>
    <w:basedOn w:val="49"/>
    <w:semiHidden/>
    <w:uiPriority w:val="99"/>
    <w:rPr>
      <w:kern w:val="2"/>
      <w:sz w:val="18"/>
      <w:szCs w:val="18"/>
    </w:rPr>
  </w:style>
  <w:style w:type="character" w:customStyle="1" w:styleId="153">
    <w:name w:val="正文文本缩进 3 字符"/>
    <w:basedOn w:val="49"/>
    <w:link w:val="35"/>
    <w:qFormat/>
    <w:uiPriority w:val="0"/>
    <w:rPr>
      <w:kern w:val="2"/>
      <w:sz w:val="16"/>
      <w:szCs w:val="16"/>
    </w:rPr>
  </w:style>
  <w:style w:type="paragraph" w:customStyle="1" w:styleId="154">
    <w:name w:val="xl73"/>
    <w:basedOn w:val="1"/>
    <w:qFormat/>
    <w:uiPriority w:val="0"/>
    <w:pPr>
      <w:widowControl/>
      <w:pBdr>
        <w:bottom w:val="single" w:color="auto" w:sz="4" w:space="0"/>
        <w:right w:val="single" w:color="auto" w:sz="4" w:space="0"/>
      </w:pBdr>
      <w:spacing w:before="100" w:beforeAutospacing="1" w:after="100" w:afterAutospacing="1"/>
      <w:textAlignment w:val="center"/>
    </w:pPr>
    <w:rPr>
      <w:rFonts w:ascii="宋体" w:hAnsi="宋体" w:eastAsia="宋体"/>
      <w:color w:val="auto"/>
      <w:lang w:eastAsia="zh-CN" w:bidi="ar-SA"/>
    </w:rPr>
  </w:style>
  <w:style w:type="paragraph" w:customStyle="1" w:styleId="155">
    <w:name w:val="Sub-Para 2 under X."/>
    <w:basedOn w:val="1"/>
    <w:qFormat/>
    <w:uiPriority w:val="0"/>
    <w:pPr>
      <w:widowControl/>
      <w:spacing w:after="240"/>
      <w:ind w:left="2160" w:hanging="720"/>
      <w:outlineLvl w:val="3"/>
    </w:pPr>
    <w:rPr>
      <w:color w:val="auto"/>
      <w:lang w:bidi="ar-SA"/>
    </w:rPr>
  </w:style>
  <w:style w:type="paragraph" w:customStyle="1" w:styleId="156">
    <w:name w:val="font7"/>
    <w:basedOn w:val="1"/>
    <w:qFormat/>
    <w:uiPriority w:val="0"/>
    <w:pPr>
      <w:widowControl/>
      <w:spacing w:before="100" w:beforeAutospacing="1" w:after="100" w:afterAutospacing="1"/>
    </w:pPr>
    <w:rPr>
      <w:rFonts w:hint="eastAsia" w:ascii="宋体" w:hAnsi="宋体" w:eastAsia="宋体"/>
      <w:color w:val="auto"/>
      <w:sz w:val="20"/>
      <w:szCs w:val="20"/>
      <w:lang w:eastAsia="zh-CN" w:bidi="ar-SA"/>
    </w:rPr>
  </w:style>
  <w:style w:type="paragraph" w:customStyle="1" w:styleId="157">
    <w:name w:val="样式 标题 2 + Times New Roman 四号 非加粗 段前: 5 磅 段后: 0 磅 行距: 固定值 20..."/>
    <w:basedOn w:val="6"/>
    <w:qFormat/>
    <w:uiPriority w:val="0"/>
    <w:pPr>
      <w:spacing w:before="100" w:after="0" w:line="400" w:lineRule="exact"/>
    </w:pPr>
    <w:rPr>
      <w:rFonts w:ascii="Times New Roman" w:hAnsi="Times New Roman" w:eastAsia="宋体" w:cs="宋体"/>
      <w:b w:val="0"/>
      <w:bCs w:val="0"/>
      <w:color w:val="auto"/>
      <w:kern w:val="2"/>
      <w:sz w:val="28"/>
      <w:szCs w:val="20"/>
      <w:lang w:eastAsia="zh-CN" w:bidi="ar-SA"/>
    </w:rPr>
  </w:style>
  <w:style w:type="paragraph" w:customStyle="1" w:styleId="158">
    <w:name w:val="xl70"/>
    <w:basedOn w:val="1"/>
    <w:qFormat/>
    <w:uiPriority w:val="0"/>
    <w:pPr>
      <w:widowControl/>
      <w:pBdr>
        <w:top w:val="single" w:color="auto" w:sz="4" w:space="0"/>
        <w:right w:val="single" w:color="auto" w:sz="4" w:space="0"/>
      </w:pBdr>
      <w:spacing w:before="100" w:beforeAutospacing="1" w:after="100" w:afterAutospacing="1"/>
      <w:textAlignment w:val="center"/>
    </w:pPr>
    <w:rPr>
      <w:rFonts w:ascii="宋体" w:hAnsi="宋体" w:eastAsia="宋体"/>
      <w:color w:val="auto"/>
      <w:lang w:eastAsia="zh-CN" w:bidi="ar-SA"/>
    </w:rPr>
  </w:style>
  <w:style w:type="paragraph" w:customStyle="1" w:styleId="159">
    <w:name w:val="_Style 175"/>
    <w:qFormat/>
    <w:uiPriority w:val="0"/>
    <w:rPr>
      <w:rFonts w:ascii="Times New Roman" w:hAnsi="Times New Roman" w:eastAsia="宋体" w:cs="Times New Roman"/>
      <w:lang w:val="en-US" w:eastAsia="zh-CN" w:bidi="ar-SA"/>
    </w:rPr>
  </w:style>
  <w:style w:type="paragraph" w:customStyle="1" w:styleId="160">
    <w:name w:val="1"/>
    <w:basedOn w:val="1"/>
    <w:qFormat/>
    <w:uiPriority w:val="0"/>
    <w:pPr>
      <w:jc w:val="both"/>
    </w:pPr>
    <w:rPr>
      <w:rFonts w:eastAsia="宋体"/>
      <w:color w:val="auto"/>
      <w:kern w:val="2"/>
      <w:sz w:val="21"/>
      <w:lang w:eastAsia="zh-CN" w:bidi="ar-SA"/>
    </w:rPr>
  </w:style>
  <w:style w:type="paragraph" w:customStyle="1" w:styleId="161">
    <w:name w:val="xl65"/>
    <w:basedOn w:val="1"/>
    <w:qFormat/>
    <w:uiPriority w:val="0"/>
    <w:pPr>
      <w:widowControl/>
      <w:pBdr>
        <w:top w:val="single" w:color="auto" w:sz="4" w:space="0"/>
        <w:right w:val="single" w:color="auto" w:sz="4" w:space="0"/>
      </w:pBdr>
      <w:spacing w:before="100" w:beforeAutospacing="1" w:after="100" w:afterAutospacing="1"/>
      <w:jc w:val="center"/>
      <w:textAlignment w:val="center"/>
    </w:pPr>
    <w:rPr>
      <w:rFonts w:ascii="宋体" w:hAnsi="宋体" w:eastAsia="宋体"/>
      <w:color w:val="auto"/>
      <w:lang w:eastAsia="zh-CN" w:bidi="ar-SA"/>
    </w:rPr>
  </w:style>
  <w:style w:type="paragraph" w:customStyle="1" w:styleId="162">
    <w:name w:val="xl74"/>
    <w:basedOn w:val="1"/>
    <w:qFormat/>
    <w:uiPriority w:val="0"/>
    <w:pPr>
      <w:widowControl/>
      <w:pBdr>
        <w:top w:val="single" w:color="auto" w:sz="4" w:space="0"/>
        <w:left w:val="single" w:color="auto" w:sz="4" w:space="0"/>
      </w:pBdr>
      <w:spacing w:before="100" w:beforeAutospacing="1" w:after="100" w:afterAutospacing="1"/>
      <w:textAlignment w:val="center"/>
    </w:pPr>
    <w:rPr>
      <w:rFonts w:ascii="宋体" w:hAnsi="宋体" w:eastAsia="宋体"/>
      <w:color w:val="auto"/>
      <w:sz w:val="20"/>
      <w:szCs w:val="20"/>
      <w:lang w:eastAsia="zh-CN" w:bidi="ar-SA"/>
    </w:rPr>
  </w:style>
  <w:style w:type="paragraph" w:customStyle="1" w:styleId="163">
    <w:name w:val="Numbered Paragraph"/>
    <w:basedOn w:val="1"/>
    <w:qFormat/>
    <w:uiPriority w:val="0"/>
    <w:pPr>
      <w:widowControl/>
      <w:tabs>
        <w:tab w:val="left" w:pos="360"/>
      </w:tabs>
      <w:spacing w:after="240"/>
    </w:pPr>
    <w:rPr>
      <w:rFonts w:eastAsia="宋体"/>
      <w:color w:val="auto"/>
      <w:lang w:bidi="ar-SA"/>
    </w:rPr>
  </w:style>
  <w:style w:type="paragraph" w:customStyle="1" w:styleId="164">
    <w:name w:val="xl69"/>
    <w:basedOn w:val="1"/>
    <w:uiPriority w:val="0"/>
    <w:pPr>
      <w:widowControl/>
      <w:pBdr>
        <w:top w:val="single" w:color="auto" w:sz="4" w:space="0"/>
      </w:pBdr>
      <w:spacing w:before="100" w:beforeAutospacing="1" w:after="100" w:afterAutospacing="1"/>
      <w:textAlignment w:val="center"/>
    </w:pPr>
    <w:rPr>
      <w:rFonts w:ascii="宋体" w:hAnsi="宋体" w:eastAsia="宋体"/>
      <w:color w:val="auto"/>
      <w:lang w:eastAsia="zh-CN" w:bidi="ar-SA"/>
    </w:rPr>
  </w:style>
  <w:style w:type="paragraph" w:customStyle="1" w:styleId="165">
    <w:name w:val="Sub-Para 3 under X.Y"/>
    <w:basedOn w:val="1"/>
    <w:qFormat/>
    <w:uiPriority w:val="0"/>
    <w:pPr>
      <w:widowControl/>
      <w:tabs>
        <w:tab w:val="left" w:pos="2760"/>
      </w:tabs>
      <w:spacing w:after="240"/>
      <w:ind w:left="2880" w:hanging="720"/>
      <w:outlineLvl w:val="4"/>
    </w:pPr>
    <w:rPr>
      <w:color w:val="auto"/>
      <w:lang w:bidi="ar-SA"/>
    </w:rPr>
  </w:style>
  <w:style w:type="paragraph" w:customStyle="1" w:styleId="166">
    <w:name w:val="xl68"/>
    <w:basedOn w:val="1"/>
    <w:uiPriority w:val="0"/>
    <w:pPr>
      <w:widowControl/>
      <w:pBdr>
        <w:top w:val="single" w:color="auto" w:sz="4" w:space="0"/>
        <w:left w:val="single" w:color="auto" w:sz="4" w:space="0"/>
      </w:pBdr>
      <w:spacing w:before="100" w:beforeAutospacing="1" w:after="100" w:afterAutospacing="1"/>
      <w:textAlignment w:val="center"/>
    </w:pPr>
    <w:rPr>
      <w:rFonts w:ascii="宋体" w:hAnsi="宋体" w:eastAsia="宋体"/>
      <w:color w:val="auto"/>
      <w:sz w:val="20"/>
      <w:szCs w:val="20"/>
      <w:lang w:eastAsia="zh-CN" w:bidi="ar-SA"/>
    </w:rPr>
  </w:style>
  <w:style w:type="paragraph" w:customStyle="1" w:styleId="167">
    <w:name w:val="xl56"/>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olor w:val="auto"/>
      <w:lang w:eastAsia="zh-CN" w:bidi="ar-SA"/>
    </w:rPr>
  </w:style>
  <w:style w:type="paragraph" w:customStyle="1" w:styleId="168">
    <w:name w:val="xl52"/>
    <w:basedOn w:val="1"/>
    <w:qFormat/>
    <w:uiPriority w:val="0"/>
    <w:pPr>
      <w:widowControl/>
      <w:pBdr>
        <w:left w:val="single" w:color="auto" w:sz="4" w:space="0"/>
        <w:bottom w:val="single" w:color="auto" w:sz="4" w:space="0"/>
      </w:pBdr>
      <w:spacing w:before="100" w:beforeAutospacing="1" w:after="100" w:afterAutospacing="1"/>
    </w:pPr>
    <w:rPr>
      <w:rFonts w:ascii="宋体" w:hAnsi="宋体" w:eastAsia="宋体"/>
      <w:color w:val="auto"/>
      <w:lang w:eastAsia="zh-CN" w:bidi="ar-SA"/>
    </w:rPr>
  </w:style>
  <w:style w:type="paragraph" w:customStyle="1" w:styleId="169">
    <w:name w:val="xl71"/>
    <w:basedOn w:val="1"/>
    <w:qFormat/>
    <w:uiPriority w:val="0"/>
    <w:pPr>
      <w:widowControl/>
      <w:pBdr>
        <w:left w:val="single" w:color="auto" w:sz="4" w:space="0"/>
        <w:bottom w:val="single" w:color="auto" w:sz="4" w:space="0"/>
      </w:pBdr>
      <w:spacing w:before="100" w:beforeAutospacing="1" w:after="100" w:afterAutospacing="1"/>
      <w:textAlignment w:val="center"/>
    </w:pPr>
    <w:rPr>
      <w:rFonts w:ascii="宋体" w:hAnsi="宋体" w:eastAsia="宋体"/>
      <w:color w:val="auto"/>
      <w:lang w:eastAsia="zh-CN" w:bidi="ar-SA"/>
    </w:rPr>
  </w:style>
  <w:style w:type="paragraph" w:customStyle="1" w:styleId="170">
    <w:name w:val="Outline4"/>
    <w:basedOn w:val="1"/>
    <w:qFormat/>
    <w:uiPriority w:val="0"/>
    <w:pPr>
      <w:widowControl/>
      <w:tabs>
        <w:tab w:val="left" w:pos="9923"/>
      </w:tabs>
      <w:spacing w:beforeLines="50"/>
      <w:ind w:left="1418"/>
    </w:pPr>
    <w:rPr>
      <w:rFonts w:ascii="宋体" w:hAnsi="宋体" w:eastAsia="宋体"/>
      <w:color w:val="auto"/>
      <w:kern w:val="28"/>
      <w:szCs w:val="21"/>
      <w:lang w:val="es-ES" w:eastAsia="zh-CN" w:bidi="ar-SA"/>
    </w:rPr>
  </w:style>
  <w:style w:type="paragraph" w:customStyle="1" w:styleId="171">
    <w:name w:val="xl41"/>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eastAsia="宋体"/>
      <w:color w:val="auto"/>
      <w:lang w:eastAsia="zh-CN" w:bidi="ar-SA"/>
    </w:rPr>
  </w:style>
  <w:style w:type="paragraph" w:customStyle="1" w:styleId="172">
    <w:name w:val="xl53"/>
    <w:basedOn w:val="1"/>
    <w:qFormat/>
    <w:uiPriority w:val="0"/>
    <w:pPr>
      <w:widowControl/>
      <w:pBdr>
        <w:bottom w:val="single" w:color="auto" w:sz="4" w:space="0"/>
      </w:pBdr>
      <w:spacing w:before="100" w:beforeAutospacing="1" w:after="100" w:afterAutospacing="1"/>
    </w:pPr>
    <w:rPr>
      <w:rFonts w:ascii="宋体" w:hAnsi="宋体" w:eastAsia="宋体"/>
      <w:color w:val="auto"/>
      <w:lang w:eastAsia="zh-CN" w:bidi="ar-SA"/>
    </w:rPr>
  </w:style>
  <w:style w:type="paragraph" w:customStyle="1" w:styleId="173">
    <w:name w:val="xl50"/>
    <w:basedOn w:val="1"/>
    <w:qFormat/>
    <w:uiPriority w:val="0"/>
    <w:pPr>
      <w:widowControl/>
      <w:pBdr>
        <w:top w:val="single" w:color="auto" w:sz="4" w:space="0"/>
      </w:pBdr>
      <w:spacing w:before="100" w:beforeAutospacing="1" w:after="100" w:afterAutospacing="1"/>
    </w:pPr>
    <w:rPr>
      <w:rFonts w:ascii="宋体" w:hAnsi="宋体" w:eastAsia="宋体"/>
      <w:color w:val="auto"/>
      <w:lang w:eastAsia="zh-CN" w:bidi="ar-SA"/>
    </w:rPr>
  </w:style>
  <w:style w:type="paragraph" w:customStyle="1" w:styleId="174">
    <w:name w:val="xl30"/>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olor w:val="auto"/>
      <w:sz w:val="20"/>
      <w:szCs w:val="20"/>
      <w:lang w:eastAsia="zh-CN" w:bidi="ar-SA"/>
    </w:rPr>
  </w:style>
  <w:style w:type="paragraph" w:customStyle="1" w:styleId="175">
    <w:name w:val="表格文字居中"/>
    <w:basedOn w:val="1"/>
    <w:next w:val="1"/>
    <w:qFormat/>
    <w:uiPriority w:val="0"/>
    <w:pPr>
      <w:tabs>
        <w:tab w:val="left" w:pos="720"/>
        <w:tab w:val="left" w:pos="900"/>
      </w:tabs>
      <w:adjustRightInd w:val="0"/>
      <w:snapToGrid w:val="0"/>
      <w:spacing w:beforeLines="20" w:afterLines="20" w:line="360" w:lineRule="auto"/>
      <w:jc w:val="center"/>
    </w:pPr>
    <w:rPr>
      <w:rFonts w:ascii="宋体" w:hAnsi="Arial" w:eastAsia="宋体"/>
      <w:color w:val="auto"/>
      <w:sz w:val="18"/>
      <w:szCs w:val="20"/>
      <w:lang w:eastAsia="zh-CN" w:bidi="ar-SA"/>
    </w:rPr>
  </w:style>
  <w:style w:type="paragraph" w:customStyle="1" w:styleId="176">
    <w:name w:val="xl58"/>
    <w:basedOn w:val="1"/>
    <w:uiPriority w:val="0"/>
    <w:pPr>
      <w:widowControl/>
      <w:pBdr>
        <w:top w:val="single" w:color="auto" w:sz="4" w:space="0"/>
        <w:left w:val="single" w:color="auto" w:sz="4" w:space="0"/>
      </w:pBdr>
      <w:spacing w:before="100" w:beforeAutospacing="1" w:after="100" w:afterAutospacing="1"/>
      <w:jc w:val="center"/>
      <w:textAlignment w:val="center"/>
    </w:pPr>
    <w:rPr>
      <w:rFonts w:ascii="宋体" w:hAnsi="宋体" w:eastAsia="宋体"/>
      <w:color w:val="auto"/>
      <w:lang w:eastAsia="zh-CN" w:bidi="ar-SA"/>
    </w:rPr>
  </w:style>
  <w:style w:type="paragraph" w:customStyle="1" w:styleId="177">
    <w:name w:val="xl64"/>
    <w:basedOn w:val="1"/>
    <w:qFormat/>
    <w:uiPriority w:val="0"/>
    <w:pPr>
      <w:widowControl/>
      <w:pBdr>
        <w:bottom w:val="single" w:color="auto" w:sz="4" w:space="0"/>
        <w:right w:val="single" w:color="auto" w:sz="4" w:space="0"/>
      </w:pBdr>
      <w:spacing w:before="100" w:beforeAutospacing="1" w:after="100" w:afterAutospacing="1"/>
      <w:jc w:val="center"/>
      <w:textAlignment w:val="center"/>
    </w:pPr>
    <w:rPr>
      <w:rFonts w:ascii="宋体" w:hAnsi="宋体" w:eastAsia="宋体"/>
      <w:color w:val="auto"/>
      <w:lang w:eastAsia="zh-CN" w:bidi="ar-SA"/>
    </w:rPr>
  </w:style>
  <w:style w:type="paragraph" w:customStyle="1" w:styleId="178">
    <w:name w:val="Char Char Char Char Char Char1 Char Char Char Char"/>
    <w:basedOn w:val="1"/>
    <w:qFormat/>
    <w:uiPriority w:val="0"/>
    <w:pPr>
      <w:jc w:val="both"/>
    </w:pPr>
    <w:rPr>
      <w:rFonts w:ascii="仿宋_GB2312" w:eastAsia="仿宋_GB2312"/>
      <w:b/>
      <w:color w:val="auto"/>
      <w:kern w:val="2"/>
      <w:sz w:val="32"/>
      <w:szCs w:val="32"/>
      <w:lang w:eastAsia="zh-CN" w:bidi="ar-SA"/>
    </w:rPr>
  </w:style>
  <w:style w:type="paragraph" w:customStyle="1" w:styleId="179">
    <w:name w:val="xl49"/>
    <w:basedOn w:val="1"/>
    <w:qFormat/>
    <w:uiPriority w:val="0"/>
    <w:pPr>
      <w:widowControl/>
      <w:pBdr>
        <w:top w:val="single" w:color="auto" w:sz="4" w:space="0"/>
        <w:left w:val="single" w:color="auto" w:sz="4" w:space="0"/>
      </w:pBdr>
      <w:spacing w:before="100" w:beforeAutospacing="1" w:after="100" w:afterAutospacing="1"/>
      <w:textAlignment w:val="top"/>
    </w:pPr>
    <w:rPr>
      <w:rFonts w:ascii="宋体" w:hAnsi="宋体" w:eastAsia="宋体"/>
      <w:color w:val="auto"/>
      <w:sz w:val="20"/>
      <w:szCs w:val="20"/>
      <w:lang w:eastAsia="zh-CN" w:bidi="ar-SA"/>
    </w:rPr>
  </w:style>
  <w:style w:type="paragraph" w:customStyle="1" w:styleId="180">
    <w:name w:val="xl38"/>
    <w:basedOn w:val="1"/>
    <w:uiPriority w:val="0"/>
    <w:pPr>
      <w:widowControl/>
      <w:pBdr>
        <w:top w:val="single" w:color="auto" w:sz="4" w:space="0"/>
        <w:left w:val="single" w:color="auto" w:sz="4" w:space="0"/>
        <w:bottom w:val="single" w:color="auto" w:sz="4" w:space="0"/>
      </w:pBdr>
      <w:spacing w:before="100" w:beforeAutospacing="1" w:after="100" w:afterAutospacing="1"/>
      <w:textAlignment w:val="center"/>
    </w:pPr>
    <w:rPr>
      <w:rFonts w:ascii="宋体" w:hAnsi="宋体" w:eastAsia="宋体"/>
      <w:color w:val="auto"/>
      <w:sz w:val="20"/>
      <w:szCs w:val="20"/>
      <w:lang w:eastAsia="zh-CN" w:bidi="ar-SA"/>
    </w:rPr>
  </w:style>
  <w:style w:type="paragraph" w:customStyle="1" w:styleId="181">
    <w:name w:val="xl55"/>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eastAsia="宋体"/>
      <w:color w:val="auto"/>
      <w:lang w:eastAsia="zh-CN" w:bidi="ar-SA"/>
    </w:rPr>
  </w:style>
  <w:style w:type="paragraph" w:customStyle="1" w:styleId="182">
    <w:name w:val="标题1"/>
    <w:basedOn w:val="1"/>
    <w:uiPriority w:val="0"/>
    <w:pPr>
      <w:spacing w:line="360" w:lineRule="auto"/>
      <w:jc w:val="center"/>
      <w:outlineLvl w:val="0"/>
    </w:pPr>
    <w:rPr>
      <w:rFonts w:ascii="黑体" w:eastAsia="黑体"/>
      <w:b/>
      <w:color w:val="auto"/>
      <w:kern w:val="2"/>
      <w:sz w:val="52"/>
      <w:lang w:eastAsia="zh-CN" w:bidi="ar-SA"/>
    </w:rPr>
  </w:style>
  <w:style w:type="paragraph" w:customStyle="1" w:styleId="183">
    <w:name w:val="列出段落1"/>
    <w:basedOn w:val="1"/>
    <w:qFormat/>
    <w:uiPriority w:val="0"/>
    <w:pPr>
      <w:ind w:firstLine="420" w:firstLineChars="200"/>
      <w:jc w:val="both"/>
    </w:pPr>
    <w:rPr>
      <w:rFonts w:eastAsia="宋体"/>
      <w:color w:val="auto"/>
      <w:kern w:val="2"/>
      <w:sz w:val="21"/>
      <w:lang w:eastAsia="zh-CN" w:bidi="ar-SA"/>
    </w:rPr>
  </w:style>
  <w:style w:type="paragraph" w:customStyle="1" w:styleId="184">
    <w:name w:val="_Style 181"/>
    <w:basedOn w:val="1"/>
    <w:uiPriority w:val="0"/>
    <w:pPr>
      <w:jc w:val="both"/>
    </w:pPr>
    <w:rPr>
      <w:rFonts w:eastAsia="宋体"/>
      <w:color w:val="auto"/>
      <w:kern w:val="2"/>
      <w:sz w:val="21"/>
      <w:lang w:eastAsia="zh-CN" w:bidi="ar-SA"/>
    </w:rPr>
  </w:style>
  <w:style w:type="paragraph" w:customStyle="1" w:styleId="185">
    <w:name w:val="Sub-Para 2 under X.Y"/>
    <w:basedOn w:val="1"/>
    <w:uiPriority w:val="0"/>
    <w:pPr>
      <w:widowControl/>
      <w:tabs>
        <w:tab w:val="left" w:pos="2340"/>
      </w:tabs>
      <w:spacing w:after="240"/>
      <w:ind w:left="2340" w:hanging="720"/>
      <w:outlineLvl w:val="3"/>
    </w:pPr>
    <w:rPr>
      <w:color w:val="auto"/>
      <w:lang w:bidi="ar-SA"/>
    </w:rPr>
  </w:style>
  <w:style w:type="paragraph" w:customStyle="1" w:styleId="186">
    <w:name w:val="font9"/>
    <w:basedOn w:val="1"/>
    <w:qFormat/>
    <w:uiPriority w:val="0"/>
    <w:pPr>
      <w:widowControl/>
      <w:spacing w:before="100" w:beforeAutospacing="1" w:after="100" w:afterAutospacing="1"/>
    </w:pPr>
    <w:rPr>
      <w:rFonts w:eastAsia="宋体"/>
      <w:color w:val="auto"/>
      <w:lang w:eastAsia="zh-CN" w:bidi="ar-SA"/>
    </w:rPr>
  </w:style>
  <w:style w:type="paragraph" w:customStyle="1" w:styleId="187">
    <w:name w:val="Char Char Char Char Char Char Char Char Char Char Char Char Char"/>
    <w:basedOn w:val="1"/>
    <w:qFormat/>
    <w:uiPriority w:val="0"/>
    <w:pPr>
      <w:jc w:val="both"/>
    </w:pPr>
    <w:rPr>
      <w:rFonts w:ascii="仿宋_GB2312" w:eastAsia="仿宋_GB2312"/>
      <w:b/>
      <w:color w:val="auto"/>
      <w:kern w:val="2"/>
      <w:sz w:val="32"/>
      <w:szCs w:val="32"/>
      <w:lang w:eastAsia="zh-CN" w:bidi="ar-SA"/>
    </w:rPr>
  </w:style>
  <w:style w:type="paragraph" w:customStyle="1" w:styleId="188">
    <w:name w:val="xl35"/>
    <w:basedOn w:val="1"/>
    <w:uiPriority w:val="0"/>
    <w:pPr>
      <w:widowControl/>
      <w:pBdr>
        <w:left w:val="single" w:color="auto" w:sz="8" w:space="0"/>
        <w:bottom w:val="single" w:color="auto" w:sz="4" w:space="0"/>
        <w:right w:val="single" w:color="auto" w:sz="4" w:space="0"/>
      </w:pBdr>
      <w:spacing w:before="100" w:beforeAutospacing="1" w:after="100" w:afterAutospacing="1"/>
      <w:jc w:val="center"/>
      <w:textAlignment w:val="center"/>
    </w:pPr>
    <w:rPr>
      <w:rFonts w:hint="eastAsia" w:ascii="楷体_GB2312" w:hAnsi="宋体" w:eastAsia="楷体_GB2312"/>
      <w:color w:val="auto"/>
      <w:lang w:eastAsia="zh-CN" w:bidi="ar-SA"/>
    </w:rPr>
  </w:style>
  <w:style w:type="paragraph" w:customStyle="1" w:styleId="189">
    <w:name w:val="xl31"/>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eastAsia="宋体"/>
      <w:color w:val="auto"/>
      <w:sz w:val="20"/>
      <w:szCs w:val="20"/>
      <w:lang w:eastAsia="zh-CN" w:bidi="ar-SA"/>
    </w:rPr>
  </w:style>
  <w:style w:type="paragraph" w:customStyle="1" w:styleId="190">
    <w:name w:val="Char Char Char Char Char Char1 Char Char Char Char1"/>
    <w:basedOn w:val="1"/>
    <w:qFormat/>
    <w:uiPriority w:val="0"/>
    <w:pPr>
      <w:jc w:val="both"/>
    </w:pPr>
    <w:rPr>
      <w:rFonts w:ascii="仿宋_GB2312" w:eastAsia="仿宋_GB2312"/>
      <w:b/>
      <w:color w:val="auto"/>
      <w:kern w:val="2"/>
      <w:sz w:val="32"/>
      <w:szCs w:val="32"/>
      <w:lang w:eastAsia="zh-CN" w:bidi="ar-SA"/>
    </w:rPr>
  </w:style>
  <w:style w:type="paragraph" w:customStyle="1" w:styleId="191">
    <w:name w:val="xl32"/>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eastAsia="宋体"/>
      <w:color w:val="auto"/>
      <w:sz w:val="20"/>
      <w:szCs w:val="20"/>
      <w:lang w:eastAsia="zh-CN" w:bidi="ar-SA"/>
    </w:rPr>
  </w:style>
  <w:style w:type="paragraph" w:customStyle="1" w:styleId="192">
    <w:name w:val="xl47"/>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eastAsia="宋体"/>
      <w:color w:val="auto"/>
      <w:lang w:eastAsia="zh-CN" w:bidi="ar-SA"/>
    </w:rPr>
  </w:style>
  <w:style w:type="paragraph" w:customStyle="1" w:styleId="193">
    <w:name w:val="Char"/>
    <w:basedOn w:val="1"/>
    <w:qFormat/>
    <w:uiPriority w:val="0"/>
    <w:pPr>
      <w:widowControl/>
      <w:spacing w:after="160" w:line="240" w:lineRule="exact"/>
    </w:pPr>
    <w:rPr>
      <w:rFonts w:eastAsia="宋体"/>
      <w:color w:val="auto"/>
      <w:kern w:val="2"/>
      <w:sz w:val="21"/>
      <w:lang w:eastAsia="zh-CN" w:bidi="ar-SA"/>
    </w:rPr>
  </w:style>
  <w:style w:type="paragraph" w:customStyle="1" w:styleId="194">
    <w:name w:val="次标题"/>
    <w:basedOn w:val="1"/>
    <w:qFormat/>
    <w:uiPriority w:val="0"/>
    <w:pPr>
      <w:spacing w:before="60" w:after="60" w:line="440" w:lineRule="exact"/>
      <w:jc w:val="both"/>
      <w:textAlignment w:val="center"/>
    </w:pPr>
    <w:rPr>
      <w:rFonts w:ascii="黑体" w:hAnsi="宋体" w:eastAsia="黑体"/>
      <w:bCs/>
      <w:color w:val="auto"/>
      <w:kern w:val="2"/>
      <w:sz w:val="28"/>
      <w:szCs w:val="20"/>
      <w:lang w:eastAsia="zh-CN" w:bidi="ar-SA"/>
    </w:rPr>
  </w:style>
  <w:style w:type="paragraph" w:customStyle="1" w:styleId="195">
    <w:name w:val="xl40"/>
    <w:basedOn w:val="1"/>
    <w:qFormat/>
    <w:uiPriority w:val="0"/>
    <w:pPr>
      <w:widowControl/>
      <w:pBdr>
        <w:top w:val="single" w:color="auto" w:sz="4" w:space="0"/>
        <w:bottom w:val="single" w:color="auto" w:sz="4" w:space="0"/>
        <w:right w:val="single" w:color="auto" w:sz="4" w:space="0"/>
      </w:pBdr>
      <w:spacing w:before="100" w:beforeAutospacing="1" w:after="100" w:afterAutospacing="1"/>
      <w:textAlignment w:val="center"/>
    </w:pPr>
    <w:rPr>
      <w:rFonts w:ascii="宋体" w:hAnsi="宋体" w:eastAsia="宋体"/>
      <w:color w:val="auto"/>
      <w:lang w:eastAsia="zh-CN" w:bidi="ar-SA"/>
    </w:rPr>
  </w:style>
  <w:style w:type="paragraph" w:customStyle="1" w:styleId="196">
    <w:name w:val="Sec3 header"/>
    <w:basedOn w:val="1"/>
    <w:qFormat/>
    <w:uiPriority w:val="0"/>
    <w:pPr>
      <w:tabs>
        <w:tab w:val="left" w:leader="dot" w:pos="8424"/>
      </w:tabs>
      <w:autoSpaceDE w:val="0"/>
      <w:autoSpaceDN w:val="0"/>
      <w:spacing w:before="80"/>
    </w:pPr>
    <w:rPr>
      <w:rFonts w:ascii="Arial" w:hAnsi="Arial" w:eastAsia="宋体" w:cs="Arial"/>
      <w:b/>
      <w:color w:val="auto"/>
      <w:sz w:val="22"/>
      <w:szCs w:val="20"/>
      <w:lang w:bidi="ar-SA"/>
    </w:rPr>
  </w:style>
  <w:style w:type="paragraph" w:customStyle="1" w:styleId="197">
    <w:name w:val="font6"/>
    <w:basedOn w:val="1"/>
    <w:qFormat/>
    <w:uiPriority w:val="0"/>
    <w:pPr>
      <w:widowControl/>
      <w:spacing w:before="100" w:beforeAutospacing="1" w:after="100" w:afterAutospacing="1"/>
    </w:pPr>
    <w:rPr>
      <w:rFonts w:hint="eastAsia" w:ascii="宋体" w:hAnsi="宋体" w:eastAsia="宋体"/>
      <w:color w:val="auto"/>
      <w:sz w:val="44"/>
      <w:szCs w:val="44"/>
      <w:lang w:eastAsia="zh-CN" w:bidi="ar-SA"/>
    </w:rPr>
  </w:style>
  <w:style w:type="paragraph" w:customStyle="1" w:styleId="198">
    <w:name w:val="xl48"/>
    <w:basedOn w:val="1"/>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olor w:val="auto"/>
      <w:lang w:eastAsia="zh-CN" w:bidi="ar-SA"/>
    </w:rPr>
  </w:style>
  <w:style w:type="paragraph" w:customStyle="1" w:styleId="199">
    <w:name w:val="p0"/>
    <w:basedOn w:val="1"/>
    <w:qFormat/>
    <w:uiPriority w:val="0"/>
    <w:pPr>
      <w:widowControl/>
      <w:jc w:val="both"/>
    </w:pPr>
    <w:rPr>
      <w:rFonts w:eastAsia="宋体"/>
      <w:color w:val="auto"/>
      <w:sz w:val="21"/>
      <w:szCs w:val="21"/>
      <w:lang w:eastAsia="zh-CN" w:bidi="ar-SA"/>
    </w:rPr>
  </w:style>
  <w:style w:type="paragraph" w:customStyle="1" w:styleId="200">
    <w:name w:val="表1"/>
    <w:basedOn w:val="1"/>
    <w:qFormat/>
    <w:uiPriority w:val="0"/>
    <w:pPr>
      <w:tabs>
        <w:tab w:val="left" w:pos="780"/>
      </w:tabs>
      <w:overflowPunct w:val="0"/>
      <w:autoSpaceDE w:val="0"/>
      <w:autoSpaceDN w:val="0"/>
      <w:adjustRightInd w:val="0"/>
      <w:spacing w:before="200" w:line="320" w:lineRule="atLeast"/>
      <w:ind w:left="780" w:hanging="240"/>
      <w:jc w:val="both"/>
      <w:textAlignment w:val="baseline"/>
    </w:pPr>
    <w:rPr>
      <w:rFonts w:eastAsia="宋体"/>
      <w:color w:val="auto"/>
      <w:szCs w:val="20"/>
      <w:lang w:eastAsia="zh-CN" w:bidi="ar-SA"/>
    </w:rPr>
  </w:style>
  <w:style w:type="paragraph" w:customStyle="1" w:styleId="201">
    <w:name w:val="font8"/>
    <w:basedOn w:val="1"/>
    <w:qFormat/>
    <w:uiPriority w:val="0"/>
    <w:pPr>
      <w:widowControl/>
      <w:spacing w:before="100" w:beforeAutospacing="1" w:after="100" w:afterAutospacing="1"/>
    </w:pPr>
    <w:rPr>
      <w:rFonts w:hint="eastAsia" w:ascii="宋体" w:hAnsi="宋体" w:eastAsia="宋体"/>
      <w:color w:val="auto"/>
      <w:lang w:eastAsia="zh-CN" w:bidi="ar-SA"/>
    </w:rPr>
  </w:style>
  <w:style w:type="paragraph" w:customStyle="1" w:styleId="202">
    <w:name w:val="招标文件正文"/>
    <w:basedOn w:val="1"/>
    <w:qFormat/>
    <w:uiPriority w:val="0"/>
    <w:pPr>
      <w:adjustRightInd w:val="0"/>
      <w:snapToGrid w:val="0"/>
      <w:spacing w:beforeLines="10" w:afterLines="10" w:line="460" w:lineRule="exact"/>
      <w:ind w:firstLine="520" w:firstLineChars="200"/>
      <w:jc w:val="both"/>
    </w:pPr>
    <w:rPr>
      <w:rFonts w:ascii="华文细黑" w:hAnsi="华文细黑" w:eastAsia="宋体"/>
      <w:color w:val="auto"/>
      <w:kern w:val="2"/>
      <w:sz w:val="26"/>
      <w:szCs w:val="26"/>
      <w:lang w:eastAsia="zh-CN" w:bidi="ar-SA"/>
    </w:rPr>
  </w:style>
  <w:style w:type="paragraph" w:customStyle="1" w:styleId="203">
    <w:name w:val="xl77"/>
    <w:basedOn w:val="1"/>
    <w:qFormat/>
    <w:uiPriority w:val="0"/>
    <w:pPr>
      <w:widowControl/>
      <w:pBdr>
        <w:left w:val="single" w:color="auto" w:sz="4" w:space="0"/>
      </w:pBdr>
      <w:spacing w:before="100" w:beforeAutospacing="1" w:after="100" w:afterAutospacing="1"/>
      <w:textAlignment w:val="center"/>
    </w:pPr>
    <w:rPr>
      <w:rFonts w:ascii="宋体" w:hAnsi="宋体" w:eastAsia="宋体"/>
      <w:color w:val="auto"/>
      <w:sz w:val="20"/>
      <w:szCs w:val="20"/>
      <w:lang w:eastAsia="zh-CN" w:bidi="ar-SA"/>
    </w:rPr>
  </w:style>
  <w:style w:type="paragraph" w:customStyle="1" w:styleId="204">
    <w:name w:val="样式4"/>
    <w:basedOn w:val="205"/>
    <w:qFormat/>
    <w:uiPriority w:val="0"/>
    <w:pPr>
      <w:tabs>
        <w:tab w:val="center" w:pos="4153"/>
        <w:tab w:val="right" w:pos="8306"/>
      </w:tabs>
    </w:pPr>
  </w:style>
  <w:style w:type="paragraph" w:customStyle="1" w:styleId="205">
    <w:name w:val="样式3"/>
    <w:basedOn w:val="206"/>
    <w:qFormat/>
    <w:uiPriority w:val="0"/>
    <w:pPr>
      <w:pBdr>
        <w:bottom w:val="thinThickMediumGap" w:color="auto" w:sz="24" w:space="3"/>
      </w:pBdr>
      <w:tabs>
        <w:tab w:val="center" w:pos="4153"/>
        <w:tab w:val="right" w:pos="8306"/>
      </w:tabs>
      <w:snapToGrid w:val="0"/>
      <w:spacing w:line="240" w:lineRule="auto"/>
      <w:ind w:firstLine="161" w:firstLineChars="85"/>
      <w:jc w:val="both"/>
    </w:pPr>
    <w:rPr>
      <w:rFonts w:ascii="隶书" w:eastAsia="隶书"/>
      <w:b w:val="0"/>
      <w:bCs w:val="0"/>
      <w:sz w:val="19"/>
      <w:szCs w:val="18"/>
    </w:rPr>
  </w:style>
  <w:style w:type="paragraph" w:customStyle="1" w:styleId="206">
    <w:name w:val="样式2"/>
    <w:basedOn w:val="1"/>
    <w:qFormat/>
    <w:uiPriority w:val="0"/>
    <w:pPr>
      <w:spacing w:line="360" w:lineRule="auto"/>
      <w:jc w:val="center"/>
    </w:pPr>
    <w:rPr>
      <w:rFonts w:eastAsia="宋体"/>
      <w:b/>
      <w:bCs/>
      <w:color w:val="auto"/>
      <w:kern w:val="2"/>
      <w:sz w:val="32"/>
      <w:lang w:eastAsia="zh-CN" w:bidi="ar-SA"/>
    </w:rPr>
  </w:style>
  <w:style w:type="paragraph" w:customStyle="1" w:styleId="207">
    <w:name w:val="Main Para no Chapter #"/>
    <w:basedOn w:val="1"/>
    <w:qFormat/>
    <w:uiPriority w:val="0"/>
    <w:pPr>
      <w:widowControl/>
      <w:spacing w:after="240"/>
      <w:outlineLvl w:val="1"/>
    </w:pPr>
    <w:rPr>
      <w:color w:val="auto"/>
      <w:lang w:bidi="ar-SA"/>
    </w:rPr>
  </w:style>
  <w:style w:type="paragraph" w:customStyle="1" w:styleId="208">
    <w:name w:val="默认段落字体 Para Char Char Char Char Char Char Char"/>
    <w:basedOn w:val="1"/>
    <w:qFormat/>
    <w:uiPriority w:val="0"/>
    <w:pPr>
      <w:jc w:val="both"/>
    </w:pPr>
    <w:rPr>
      <w:rFonts w:ascii="Tahoma" w:hAnsi="Tahoma" w:eastAsia="宋体"/>
      <w:color w:val="auto"/>
      <w:kern w:val="2"/>
      <w:szCs w:val="20"/>
      <w:lang w:eastAsia="zh-CN" w:bidi="ar-SA"/>
    </w:rPr>
  </w:style>
  <w:style w:type="paragraph" w:customStyle="1" w:styleId="209">
    <w:name w:val="xl76"/>
    <w:basedOn w:val="1"/>
    <w:qFormat/>
    <w:uiPriority w:val="0"/>
    <w:pPr>
      <w:widowControl/>
      <w:pBdr>
        <w:top w:val="single" w:color="auto" w:sz="4" w:space="0"/>
        <w:right w:val="single" w:color="auto" w:sz="4" w:space="0"/>
      </w:pBdr>
      <w:spacing w:before="100" w:beforeAutospacing="1" w:after="100" w:afterAutospacing="1"/>
      <w:textAlignment w:val="center"/>
    </w:pPr>
    <w:rPr>
      <w:rFonts w:ascii="宋体" w:hAnsi="宋体" w:eastAsia="宋体"/>
      <w:color w:val="auto"/>
      <w:sz w:val="20"/>
      <w:szCs w:val="20"/>
      <w:lang w:eastAsia="zh-CN" w:bidi="ar-SA"/>
    </w:rPr>
  </w:style>
  <w:style w:type="paragraph" w:customStyle="1" w:styleId="210">
    <w:name w:val="Char Char Char Char Char Char Char Char Char Char"/>
    <w:basedOn w:val="1"/>
    <w:next w:val="1"/>
    <w:qFormat/>
    <w:uiPriority w:val="0"/>
    <w:pPr>
      <w:jc w:val="both"/>
    </w:pPr>
    <w:rPr>
      <w:rFonts w:eastAsia="黑体"/>
      <w:color w:val="auto"/>
      <w:kern w:val="2"/>
      <w:sz w:val="28"/>
      <w:lang w:eastAsia="zh-CN" w:bidi="ar-SA"/>
    </w:rPr>
  </w:style>
  <w:style w:type="paragraph" w:customStyle="1" w:styleId="211">
    <w:name w:val="xl86"/>
    <w:basedOn w:val="1"/>
    <w:qFormat/>
    <w:uiPriority w:val="0"/>
    <w:pPr>
      <w:widowControl/>
      <w:pBdr>
        <w:bottom w:val="single" w:color="auto" w:sz="4" w:space="0"/>
      </w:pBdr>
      <w:spacing w:before="100" w:beforeAutospacing="1" w:after="100" w:afterAutospacing="1"/>
      <w:jc w:val="center"/>
      <w:textAlignment w:val="center"/>
    </w:pPr>
    <w:rPr>
      <w:rFonts w:ascii="宋体" w:hAnsi="宋体" w:eastAsia="宋体"/>
      <w:color w:val="auto"/>
      <w:lang w:eastAsia="zh-CN" w:bidi="ar-SA"/>
    </w:rPr>
  </w:style>
  <w:style w:type="paragraph" w:customStyle="1" w:styleId="212">
    <w:name w:val="正文部分"/>
    <w:basedOn w:val="1"/>
    <w:qFormat/>
    <w:uiPriority w:val="0"/>
    <w:pPr>
      <w:spacing w:line="500" w:lineRule="exact"/>
      <w:ind w:firstLine="480" w:firstLineChars="200"/>
      <w:jc w:val="both"/>
      <w:textAlignment w:val="center"/>
    </w:pPr>
    <w:rPr>
      <w:rFonts w:ascii="华文细黑" w:hAnsi="华文细黑" w:eastAsia="宋体"/>
      <w:color w:val="auto"/>
      <w:kern w:val="2"/>
      <w:szCs w:val="20"/>
      <w:lang w:eastAsia="zh-CN" w:bidi="ar-SA"/>
    </w:rPr>
  </w:style>
  <w:style w:type="paragraph" w:customStyle="1" w:styleId="213">
    <w:name w:val="xl81"/>
    <w:basedOn w:val="1"/>
    <w:qFormat/>
    <w:uiPriority w:val="0"/>
    <w:pPr>
      <w:widowControl/>
      <w:pBdr>
        <w:bottom w:val="single" w:color="auto" w:sz="4" w:space="0"/>
      </w:pBdr>
      <w:spacing w:before="100" w:beforeAutospacing="1" w:after="100" w:afterAutospacing="1"/>
      <w:textAlignment w:val="center"/>
    </w:pPr>
    <w:rPr>
      <w:rFonts w:ascii="宋体" w:hAnsi="宋体" w:eastAsia="宋体"/>
      <w:color w:val="auto"/>
      <w:sz w:val="20"/>
      <w:szCs w:val="20"/>
      <w:lang w:eastAsia="zh-CN" w:bidi="ar-SA"/>
    </w:rPr>
  </w:style>
  <w:style w:type="paragraph" w:customStyle="1" w:styleId="214">
    <w:name w:val="页眉3"/>
    <w:basedOn w:val="30"/>
    <w:qFormat/>
    <w:uiPriority w:val="0"/>
    <w:pPr>
      <w:pBdr>
        <w:bottom w:val="thinThickSmallGap" w:color="auto" w:sz="24" w:space="1"/>
      </w:pBdr>
      <w:tabs>
        <w:tab w:val="left" w:pos="3686"/>
        <w:tab w:val="clear" w:pos="4153"/>
        <w:tab w:val="clear" w:pos="8306"/>
      </w:tabs>
      <w:wordWrap/>
      <w:spacing w:before="120" w:after="120" w:line="240" w:lineRule="auto"/>
      <w:ind w:right="6" w:firstLine="0" w:firstLineChars="0"/>
      <w:jc w:val="left"/>
    </w:pPr>
    <w:rPr>
      <w:rFonts w:ascii="宋体" w:hAnsi="宋体" w:cs="Times New Roman"/>
      <w:b/>
      <w:color w:val="auto"/>
      <w:kern w:val="2"/>
    </w:rPr>
  </w:style>
  <w:style w:type="paragraph" w:customStyle="1" w:styleId="215">
    <w:name w:val="xl44"/>
    <w:basedOn w:val="1"/>
    <w:qFormat/>
    <w:uiPriority w:val="0"/>
    <w:pPr>
      <w:widowControl/>
      <w:pBdr>
        <w:top w:val="single" w:color="auto" w:sz="4" w:space="0"/>
        <w:left w:val="single" w:color="auto" w:sz="4" w:space="0"/>
        <w:bottom w:val="single" w:color="auto" w:sz="4" w:space="0"/>
      </w:pBdr>
      <w:spacing w:before="100" w:beforeAutospacing="1" w:after="100" w:afterAutospacing="1"/>
      <w:textAlignment w:val="top"/>
    </w:pPr>
    <w:rPr>
      <w:rFonts w:ascii="宋体" w:hAnsi="宋体" w:eastAsia="宋体"/>
      <w:color w:val="auto"/>
      <w:sz w:val="20"/>
      <w:szCs w:val="20"/>
      <w:lang w:eastAsia="zh-CN" w:bidi="ar-SA"/>
    </w:rPr>
  </w:style>
  <w:style w:type="paragraph" w:customStyle="1" w:styleId="216">
    <w:name w:val="xl82"/>
    <w:basedOn w:val="1"/>
    <w:qFormat/>
    <w:uiPriority w:val="0"/>
    <w:pPr>
      <w:widowControl/>
      <w:pBdr>
        <w:bottom w:val="single" w:color="auto" w:sz="4" w:space="0"/>
        <w:right w:val="single" w:color="auto" w:sz="4" w:space="0"/>
      </w:pBdr>
      <w:spacing w:before="100" w:beforeAutospacing="1" w:after="100" w:afterAutospacing="1"/>
      <w:textAlignment w:val="center"/>
    </w:pPr>
    <w:rPr>
      <w:rFonts w:ascii="宋体" w:hAnsi="宋体" w:eastAsia="宋体"/>
      <w:color w:val="auto"/>
      <w:sz w:val="20"/>
      <w:szCs w:val="20"/>
      <w:lang w:eastAsia="zh-CN" w:bidi="ar-SA"/>
    </w:rPr>
  </w:style>
  <w:style w:type="paragraph" w:customStyle="1" w:styleId="217">
    <w:name w:val="xl67"/>
    <w:basedOn w:val="1"/>
    <w:qFormat/>
    <w:uiPriority w:val="0"/>
    <w:pPr>
      <w:widowControl/>
      <w:pBdr>
        <w:bottom w:val="single" w:color="auto" w:sz="4" w:space="0"/>
        <w:right w:val="single" w:color="auto" w:sz="4" w:space="0"/>
      </w:pBdr>
      <w:spacing w:before="100" w:beforeAutospacing="1" w:after="100" w:afterAutospacing="1"/>
      <w:jc w:val="center"/>
      <w:textAlignment w:val="center"/>
    </w:pPr>
    <w:rPr>
      <w:rFonts w:ascii="宋体" w:hAnsi="宋体" w:eastAsia="宋体"/>
      <w:color w:val="auto"/>
      <w:lang w:eastAsia="zh-CN" w:bidi="ar-SA"/>
    </w:rPr>
  </w:style>
  <w:style w:type="paragraph" w:customStyle="1" w:styleId="218">
    <w:name w:val="xl66"/>
    <w:basedOn w:val="1"/>
    <w:qFormat/>
    <w:uiPriority w:val="0"/>
    <w:pPr>
      <w:widowControl/>
      <w:pBdr>
        <w:left w:val="single" w:color="auto" w:sz="4" w:space="0"/>
        <w:bottom w:val="single" w:color="auto" w:sz="4" w:space="0"/>
      </w:pBdr>
      <w:spacing w:before="100" w:beforeAutospacing="1" w:after="100" w:afterAutospacing="1"/>
      <w:jc w:val="center"/>
      <w:textAlignment w:val="center"/>
    </w:pPr>
    <w:rPr>
      <w:rFonts w:ascii="宋体" w:hAnsi="宋体" w:eastAsia="宋体"/>
      <w:color w:val="auto"/>
      <w:lang w:eastAsia="zh-CN" w:bidi="ar-SA"/>
    </w:rPr>
  </w:style>
  <w:style w:type="paragraph" w:customStyle="1" w:styleId="219">
    <w:name w:val="一、"/>
    <w:next w:val="45"/>
    <w:qFormat/>
    <w:uiPriority w:val="0"/>
    <w:pPr>
      <w:tabs>
        <w:tab w:val="left" w:pos="360"/>
      </w:tabs>
      <w:spacing w:before="240" w:after="240"/>
    </w:pPr>
    <w:rPr>
      <w:rFonts w:ascii="Times New Roman" w:hAnsi="Times New Roman" w:eastAsia="黑体" w:cs="Times New Roman"/>
      <w:sz w:val="28"/>
      <w:lang w:val="en-US" w:eastAsia="zh-CN" w:bidi="ar-SA"/>
    </w:rPr>
  </w:style>
  <w:style w:type="paragraph" w:customStyle="1" w:styleId="220">
    <w:name w:val="修订1"/>
    <w:semiHidden/>
    <w:qFormat/>
    <w:uiPriority w:val="99"/>
    <w:rPr>
      <w:rFonts w:ascii="Times New Roman" w:hAnsi="Times New Roman" w:eastAsia="宋体" w:cs="Times New Roman"/>
      <w:kern w:val="2"/>
      <w:sz w:val="21"/>
      <w:szCs w:val="24"/>
      <w:lang w:val="en-US" w:eastAsia="zh-CN" w:bidi="ar-SA"/>
    </w:rPr>
  </w:style>
  <w:style w:type="paragraph" w:customStyle="1" w:styleId="221">
    <w:name w:val="表中"/>
    <w:basedOn w:val="1"/>
    <w:qFormat/>
    <w:uiPriority w:val="0"/>
    <w:pPr>
      <w:adjustRightInd w:val="0"/>
      <w:spacing w:line="360" w:lineRule="atLeast"/>
      <w:jc w:val="center"/>
      <w:textAlignment w:val="baseline"/>
    </w:pPr>
    <w:rPr>
      <w:rFonts w:eastAsia="宋体"/>
      <w:color w:val="auto"/>
      <w:sz w:val="21"/>
      <w:szCs w:val="20"/>
      <w:lang w:eastAsia="zh-CN" w:bidi="ar-SA"/>
    </w:rPr>
  </w:style>
  <w:style w:type="paragraph" w:customStyle="1" w:styleId="222">
    <w:name w:val="xl72"/>
    <w:basedOn w:val="1"/>
    <w:qFormat/>
    <w:uiPriority w:val="0"/>
    <w:pPr>
      <w:widowControl/>
      <w:pBdr>
        <w:bottom w:val="single" w:color="auto" w:sz="4" w:space="0"/>
      </w:pBdr>
      <w:spacing w:before="100" w:beforeAutospacing="1" w:after="100" w:afterAutospacing="1"/>
      <w:textAlignment w:val="center"/>
    </w:pPr>
    <w:rPr>
      <w:rFonts w:ascii="宋体" w:hAnsi="宋体" w:eastAsia="宋体"/>
      <w:color w:val="auto"/>
      <w:lang w:eastAsia="zh-CN" w:bidi="ar-SA"/>
    </w:rPr>
  </w:style>
  <w:style w:type="paragraph" w:customStyle="1" w:styleId="223">
    <w:name w:val="xl85"/>
    <w:basedOn w:val="1"/>
    <w:qFormat/>
    <w:uiPriority w:val="0"/>
    <w:pPr>
      <w:widowControl/>
      <w:pBdr>
        <w:top w:val="single" w:color="auto" w:sz="4" w:space="0"/>
      </w:pBdr>
      <w:spacing w:before="100" w:beforeAutospacing="1" w:after="100" w:afterAutospacing="1"/>
      <w:jc w:val="center"/>
      <w:textAlignment w:val="center"/>
    </w:pPr>
    <w:rPr>
      <w:rFonts w:ascii="宋体" w:hAnsi="宋体" w:eastAsia="宋体"/>
      <w:color w:val="auto"/>
      <w:lang w:eastAsia="zh-CN" w:bidi="ar-SA"/>
    </w:rPr>
  </w:style>
  <w:style w:type="paragraph" w:customStyle="1" w:styleId="224">
    <w:name w:val="xl78"/>
    <w:basedOn w:val="1"/>
    <w:qFormat/>
    <w:uiPriority w:val="0"/>
    <w:pPr>
      <w:widowControl/>
      <w:spacing w:before="100" w:beforeAutospacing="1" w:after="100" w:afterAutospacing="1"/>
      <w:textAlignment w:val="center"/>
    </w:pPr>
    <w:rPr>
      <w:rFonts w:ascii="宋体" w:hAnsi="宋体" w:eastAsia="宋体"/>
      <w:color w:val="auto"/>
      <w:sz w:val="20"/>
      <w:szCs w:val="20"/>
      <w:lang w:eastAsia="zh-CN" w:bidi="ar-SA"/>
    </w:rPr>
  </w:style>
  <w:style w:type="paragraph" w:customStyle="1" w:styleId="225">
    <w:name w:val="xl27"/>
    <w:basedOn w:val="1"/>
    <w:qFormat/>
    <w:uiPriority w:val="0"/>
    <w:pPr>
      <w:widowControl/>
      <w:pBdr>
        <w:top w:val="single" w:color="auto" w:sz="4" w:space="0"/>
        <w:left w:val="single" w:color="auto" w:sz="4" w:space="0"/>
        <w:bottom w:val="single" w:color="auto" w:sz="8" w:space="0"/>
        <w:right w:val="single" w:color="auto" w:sz="8" w:space="0"/>
      </w:pBdr>
      <w:spacing w:before="100" w:beforeAutospacing="1" w:after="100" w:afterAutospacing="1"/>
      <w:jc w:val="center"/>
      <w:textAlignment w:val="center"/>
    </w:pPr>
    <w:rPr>
      <w:rFonts w:ascii="宋体" w:hAnsi="宋体" w:eastAsia="宋体"/>
      <w:color w:val="auto"/>
      <w:lang w:eastAsia="zh-CN" w:bidi="ar-SA"/>
    </w:rPr>
  </w:style>
  <w:style w:type="paragraph" w:customStyle="1" w:styleId="226">
    <w:name w:val="Style 11"/>
    <w:basedOn w:val="1"/>
    <w:qFormat/>
    <w:uiPriority w:val="0"/>
    <w:pPr>
      <w:autoSpaceDE w:val="0"/>
      <w:autoSpaceDN w:val="0"/>
      <w:spacing w:line="384" w:lineRule="atLeast"/>
    </w:pPr>
    <w:rPr>
      <w:rFonts w:eastAsia="宋体"/>
      <w:color w:val="auto"/>
      <w:lang w:bidi="ar-SA"/>
    </w:rPr>
  </w:style>
  <w:style w:type="paragraph" w:customStyle="1" w:styleId="227">
    <w:name w:val="Char Char Char Char Char Char Char Char Char Char Char Char Char Char Char Char Char Char Char Char Char Char Char Char Char Char Char Char Char Char Char Char Char"/>
    <w:basedOn w:val="1"/>
    <w:qFormat/>
    <w:uiPriority w:val="0"/>
    <w:pPr>
      <w:widowControl/>
      <w:spacing w:after="160" w:line="240" w:lineRule="exact"/>
    </w:pPr>
    <w:rPr>
      <w:rFonts w:ascii="Verdana" w:hAnsi="Verdana" w:eastAsia="仿宋_GB2312"/>
      <w:color w:val="auto"/>
      <w:szCs w:val="20"/>
      <w:lang w:bidi="ar-SA"/>
    </w:rPr>
  </w:style>
  <w:style w:type="paragraph" w:customStyle="1" w:styleId="228">
    <w:name w:val="Bullet"/>
    <w:basedOn w:val="1"/>
    <w:qFormat/>
    <w:uiPriority w:val="0"/>
    <w:pPr>
      <w:widowControl/>
      <w:ind w:left="1440" w:hanging="720"/>
    </w:pPr>
    <w:rPr>
      <w:color w:val="auto"/>
      <w:lang w:bidi="ar-SA"/>
    </w:rPr>
  </w:style>
  <w:style w:type="paragraph" w:customStyle="1" w:styleId="229">
    <w:name w:val="章、篇名"/>
    <w:basedOn w:val="1"/>
    <w:next w:val="1"/>
    <w:qFormat/>
    <w:uiPriority w:val="0"/>
    <w:pPr>
      <w:spacing w:before="480" w:after="360" w:line="560" w:lineRule="exact"/>
      <w:jc w:val="center"/>
    </w:pPr>
    <w:rPr>
      <w:rFonts w:eastAsia="文鼎大标宋简"/>
      <w:b/>
      <w:color w:val="auto"/>
      <w:kern w:val="2"/>
      <w:sz w:val="36"/>
      <w:szCs w:val="20"/>
      <w:lang w:eastAsia="zh-CN" w:bidi="ar-SA"/>
    </w:rPr>
  </w:style>
  <w:style w:type="paragraph" w:customStyle="1" w:styleId="230">
    <w:name w:val="font10"/>
    <w:basedOn w:val="1"/>
    <w:qFormat/>
    <w:uiPriority w:val="0"/>
    <w:pPr>
      <w:widowControl/>
      <w:spacing w:before="100" w:beforeAutospacing="1" w:after="100" w:afterAutospacing="1"/>
    </w:pPr>
    <w:rPr>
      <w:rFonts w:eastAsia="宋体"/>
      <w:color w:val="auto"/>
      <w:sz w:val="20"/>
      <w:szCs w:val="20"/>
      <w:lang w:eastAsia="zh-CN" w:bidi="ar-SA"/>
    </w:rPr>
  </w:style>
  <w:style w:type="paragraph" w:customStyle="1" w:styleId="231">
    <w:name w:val="Char Char Char Char"/>
    <w:basedOn w:val="1"/>
    <w:qFormat/>
    <w:uiPriority w:val="0"/>
    <w:pPr>
      <w:widowControl/>
      <w:spacing w:after="160" w:line="240" w:lineRule="exact"/>
    </w:pPr>
    <w:rPr>
      <w:rFonts w:eastAsia="宋体"/>
      <w:color w:val="auto"/>
      <w:kern w:val="2"/>
      <w:sz w:val="21"/>
      <w:szCs w:val="20"/>
      <w:lang w:eastAsia="zh-CN" w:bidi="ar-SA"/>
    </w:rPr>
  </w:style>
  <w:style w:type="paragraph" w:customStyle="1" w:styleId="232">
    <w:name w:val="Sub-Para 4 under X.Y"/>
    <w:basedOn w:val="1"/>
    <w:qFormat/>
    <w:uiPriority w:val="0"/>
    <w:pPr>
      <w:widowControl/>
      <w:tabs>
        <w:tab w:val="left" w:pos="3540"/>
      </w:tabs>
      <w:spacing w:after="240"/>
      <w:ind w:left="3600" w:hanging="720"/>
      <w:outlineLvl w:val="5"/>
    </w:pPr>
    <w:rPr>
      <w:color w:val="auto"/>
      <w:lang w:bidi="ar-SA"/>
    </w:rPr>
  </w:style>
  <w:style w:type="paragraph" w:customStyle="1" w:styleId="233">
    <w:name w:val="xl51"/>
    <w:basedOn w:val="1"/>
    <w:qFormat/>
    <w:uiPriority w:val="0"/>
    <w:pPr>
      <w:widowControl/>
      <w:pBdr>
        <w:top w:val="single" w:color="auto" w:sz="4" w:space="0"/>
        <w:right w:val="single" w:color="auto" w:sz="4" w:space="0"/>
      </w:pBdr>
      <w:spacing w:before="100" w:beforeAutospacing="1" w:after="100" w:afterAutospacing="1"/>
    </w:pPr>
    <w:rPr>
      <w:rFonts w:ascii="宋体" w:hAnsi="宋体" w:eastAsia="宋体"/>
      <w:color w:val="auto"/>
      <w:lang w:eastAsia="zh-CN" w:bidi="ar-SA"/>
    </w:rPr>
  </w:style>
  <w:style w:type="paragraph" w:customStyle="1" w:styleId="234">
    <w:name w:val="xl25"/>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eastAsia="宋体"/>
      <w:color w:val="auto"/>
      <w:sz w:val="20"/>
      <w:szCs w:val="20"/>
      <w:lang w:eastAsia="zh-CN" w:bidi="ar-SA"/>
    </w:rPr>
  </w:style>
  <w:style w:type="paragraph" w:customStyle="1" w:styleId="235">
    <w:name w:val="xl46"/>
    <w:basedOn w:val="1"/>
    <w:qFormat/>
    <w:uiPriority w:val="0"/>
    <w:pPr>
      <w:widowControl/>
      <w:pBdr>
        <w:top w:val="single" w:color="auto" w:sz="4" w:space="0"/>
        <w:bottom w:val="single" w:color="auto" w:sz="4" w:space="0"/>
        <w:right w:val="single" w:color="auto" w:sz="4" w:space="0"/>
      </w:pBdr>
      <w:spacing w:before="100" w:beforeAutospacing="1" w:after="100" w:afterAutospacing="1"/>
      <w:textAlignment w:val="top"/>
    </w:pPr>
    <w:rPr>
      <w:rFonts w:ascii="宋体" w:hAnsi="宋体" w:eastAsia="宋体"/>
      <w:color w:val="auto"/>
      <w:lang w:eastAsia="zh-CN" w:bidi="ar-SA"/>
    </w:rPr>
  </w:style>
  <w:style w:type="paragraph" w:customStyle="1" w:styleId="236">
    <w:name w:val="Char Char Char Char1"/>
    <w:basedOn w:val="1"/>
    <w:qFormat/>
    <w:uiPriority w:val="0"/>
    <w:pPr>
      <w:widowControl/>
      <w:spacing w:after="160" w:line="240" w:lineRule="exact"/>
    </w:pPr>
    <w:rPr>
      <w:rFonts w:eastAsia="宋体"/>
      <w:color w:val="auto"/>
      <w:kern w:val="2"/>
      <w:sz w:val="21"/>
      <w:szCs w:val="20"/>
      <w:lang w:eastAsia="zh-CN" w:bidi="ar-SA"/>
    </w:rPr>
  </w:style>
  <w:style w:type="paragraph" w:customStyle="1" w:styleId="237">
    <w:name w:val="Outline"/>
    <w:basedOn w:val="1"/>
    <w:qFormat/>
    <w:uiPriority w:val="0"/>
    <w:pPr>
      <w:widowControl/>
      <w:spacing w:before="240"/>
    </w:pPr>
    <w:rPr>
      <w:rFonts w:eastAsia="宋体"/>
      <w:color w:val="auto"/>
      <w:kern w:val="28"/>
      <w:szCs w:val="20"/>
      <w:lang w:bidi="ar-SA"/>
    </w:rPr>
  </w:style>
  <w:style w:type="paragraph" w:customStyle="1" w:styleId="238">
    <w:name w:val="Char2"/>
    <w:basedOn w:val="1"/>
    <w:qFormat/>
    <w:uiPriority w:val="0"/>
    <w:pPr>
      <w:widowControl/>
      <w:spacing w:after="160" w:line="240" w:lineRule="exact"/>
    </w:pPr>
    <w:rPr>
      <w:rFonts w:eastAsia="宋体"/>
      <w:color w:val="auto"/>
      <w:kern w:val="2"/>
      <w:sz w:val="21"/>
      <w:szCs w:val="20"/>
      <w:lang w:eastAsia="zh-CN" w:bidi="ar-SA"/>
    </w:rPr>
  </w:style>
  <w:style w:type="paragraph" w:customStyle="1" w:styleId="239">
    <w:name w:val="xl3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olor w:val="auto"/>
      <w:lang w:eastAsia="zh-CN" w:bidi="ar-SA"/>
    </w:rPr>
  </w:style>
  <w:style w:type="paragraph" w:customStyle="1" w:styleId="240">
    <w:name w:val="xl60"/>
    <w:basedOn w:val="1"/>
    <w:qFormat/>
    <w:uiPriority w:val="0"/>
    <w:pPr>
      <w:widowControl/>
      <w:pBdr>
        <w:top w:val="single" w:color="auto" w:sz="4" w:space="0"/>
        <w:right w:val="single" w:color="auto" w:sz="4" w:space="0"/>
      </w:pBdr>
      <w:spacing w:before="100" w:beforeAutospacing="1" w:after="100" w:afterAutospacing="1"/>
      <w:jc w:val="center"/>
      <w:textAlignment w:val="center"/>
    </w:pPr>
    <w:rPr>
      <w:rFonts w:ascii="宋体" w:hAnsi="宋体" w:eastAsia="宋体"/>
      <w:color w:val="auto"/>
      <w:lang w:eastAsia="zh-CN" w:bidi="ar-SA"/>
    </w:rPr>
  </w:style>
  <w:style w:type="paragraph" w:customStyle="1" w:styleId="241">
    <w:name w:val="xl28"/>
    <w:basedOn w:val="1"/>
    <w:qFormat/>
    <w:uiPriority w:val="0"/>
    <w:pPr>
      <w:widowControl/>
      <w:spacing w:before="100" w:beforeAutospacing="1" w:after="100" w:afterAutospacing="1"/>
      <w:jc w:val="center"/>
    </w:pPr>
    <w:rPr>
      <w:rFonts w:ascii="宋体" w:hAnsi="宋体" w:eastAsia="宋体"/>
      <w:color w:val="auto"/>
      <w:sz w:val="44"/>
      <w:szCs w:val="44"/>
      <w:lang w:eastAsia="zh-CN" w:bidi="ar-SA"/>
    </w:rPr>
  </w:style>
  <w:style w:type="paragraph" w:customStyle="1" w:styleId="242">
    <w:name w:val="xl24"/>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eastAsia="宋体"/>
      <w:color w:val="auto"/>
      <w:sz w:val="20"/>
      <w:szCs w:val="20"/>
      <w:lang w:eastAsia="zh-CN" w:bidi="ar-SA"/>
    </w:rPr>
  </w:style>
  <w:style w:type="paragraph" w:customStyle="1" w:styleId="243">
    <w:name w:val="Heading 1a"/>
    <w:basedOn w:val="1"/>
    <w:next w:val="1"/>
    <w:qFormat/>
    <w:uiPriority w:val="0"/>
    <w:pPr>
      <w:keepNext/>
      <w:keepLines/>
      <w:widowControl/>
      <w:tabs>
        <w:tab w:val="left" w:pos="2760"/>
      </w:tabs>
      <w:spacing w:before="1440" w:after="240"/>
      <w:ind w:left="2760" w:hanging="1080"/>
      <w:jc w:val="center"/>
      <w:outlineLvl w:val="0"/>
    </w:pPr>
    <w:rPr>
      <w:b/>
      <w:caps/>
      <w:color w:val="auto"/>
      <w:sz w:val="32"/>
      <w:lang w:bidi="ar-SA"/>
    </w:rPr>
  </w:style>
  <w:style w:type="paragraph" w:customStyle="1" w:styleId="244">
    <w:name w:val="1."/>
    <w:basedOn w:val="1"/>
    <w:qFormat/>
    <w:uiPriority w:val="0"/>
    <w:pPr>
      <w:tabs>
        <w:tab w:val="left" w:pos="425"/>
      </w:tabs>
      <w:spacing w:line="360" w:lineRule="auto"/>
      <w:ind w:firstLine="482"/>
      <w:jc w:val="both"/>
    </w:pPr>
    <w:rPr>
      <w:rFonts w:eastAsia="宋体"/>
      <w:color w:val="auto"/>
      <w:kern w:val="2"/>
      <w:sz w:val="28"/>
      <w:szCs w:val="20"/>
      <w:lang w:eastAsia="zh-CN" w:bidi="ar-SA"/>
    </w:rPr>
  </w:style>
  <w:style w:type="paragraph" w:customStyle="1" w:styleId="245">
    <w:name w:val="Sub-Para 1 under X."/>
    <w:basedOn w:val="1"/>
    <w:qFormat/>
    <w:uiPriority w:val="0"/>
    <w:pPr>
      <w:widowControl/>
      <w:spacing w:after="240"/>
      <w:ind w:left="1440" w:hanging="720"/>
      <w:outlineLvl w:val="2"/>
    </w:pPr>
    <w:rPr>
      <w:color w:val="auto"/>
      <w:lang w:bidi="ar-SA"/>
    </w:rPr>
  </w:style>
  <w:style w:type="paragraph" w:customStyle="1" w:styleId="246">
    <w:name w:val="xl37"/>
    <w:basedOn w:val="1"/>
    <w:qFormat/>
    <w:uiPriority w:val="0"/>
    <w:pPr>
      <w:widowControl/>
      <w:spacing w:before="100" w:beforeAutospacing="1" w:after="100" w:afterAutospacing="1"/>
      <w:jc w:val="center"/>
    </w:pPr>
    <w:rPr>
      <w:rFonts w:eastAsia="宋体"/>
      <w:color w:val="auto"/>
      <w:sz w:val="44"/>
      <w:szCs w:val="44"/>
      <w:lang w:eastAsia="zh-CN" w:bidi="ar-SA"/>
    </w:rPr>
  </w:style>
  <w:style w:type="paragraph" w:customStyle="1" w:styleId="247">
    <w:name w:val="xl61"/>
    <w:basedOn w:val="1"/>
    <w:qFormat/>
    <w:uiPriority w:val="0"/>
    <w:pPr>
      <w:widowControl/>
      <w:pBdr>
        <w:top w:val="single" w:color="auto" w:sz="4" w:space="0"/>
        <w:left w:val="single" w:color="auto" w:sz="4" w:space="0"/>
      </w:pBdr>
      <w:spacing w:before="100" w:beforeAutospacing="1" w:after="100" w:afterAutospacing="1"/>
      <w:jc w:val="center"/>
      <w:textAlignment w:val="center"/>
    </w:pPr>
    <w:rPr>
      <w:rFonts w:ascii="宋体" w:hAnsi="宋体" w:eastAsia="宋体"/>
      <w:color w:val="auto"/>
      <w:lang w:eastAsia="zh-CN" w:bidi="ar-SA"/>
    </w:rPr>
  </w:style>
  <w:style w:type="paragraph" w:customStyle="1" w:styleId="248">
    <w:name w:val="题 5 + 宋体"/>
    <w:basedOn w:val="8"/>
    <w:qFormat/>
    <w:uiPriority w:val="0"/>
    <w:pPr>
      <w:widowControl/>
      <w:tabs>
        <w:tab w:val="left" w:pos="1680"/>
      </w:tabs>
      <w:spacing w:before="0" w:after="0" w:line="240" w:lineRule="auto"/>
      <w:ind w:left="1680" w:hanging="420"/>
    </w:pPr>
    <w:rPr>
      <w:rFonts w:ascii="Times New Roman" w:hAnsi="Times New Roman" w:eastAsia="宋体"/>
      <w:b w:val="0"/>
      <w:bCs/>
      <w:color w:val="auto"/>
      <w:sz w:val="21"/>
      <w:szCs w:val="21"/>
      <w:lang w:val="es-ES" w:eastAsia="zh-CN" w:bidi="ar-SA"/>
    </w:rPr>
  </w:style>
  <w:style w:type="paragraph" w:customStyle="1" w:styleId="249">
    <w:name w:val="标题2"/>
    <w:basedOn w:val="4"/>
    <w:qFormat/>
    <w:uiPriority w:val="0"/>
    <w:pPr>
      <w:keepNext w:val="0"/>
      <w:keepLines w:val="0"/>
      <w:tabs>
        <w:tab w:val="left" w:pos="2520"/>
      </w:tabs>
      <w:spacing w:before="0" w:after="0" w:line="240" w:lineRule="auto"/>
      <w:ind w:left="2520" w:hanging="420"/>
      <w:outlineLvl w:val="1"/>
    </w:pPr>
    <w:rPr>
      <w:rFonts w:ascii="宋体" w:eastAsia="黑体"/>
      <w:b/>
      <w:color w:val="auto"/>
      <w:kern w:val="2"/>
      <w:sz w:val="28"/>
      <w:szCs w:val="44"/>
      <w:lang w:eastAsia="zh-CN" w:bidi="ar-SA"/>
    </w:rPr>
  </w:style>
  <w:style w:type="paragraph" w:customStyle="1" w:styleId="250">
    <w:name w:val="reader-word-layer"/>
    <w:basedOn w:val="1"/>
    <w:qFormat/>
    <w:uiPriority w:val="0"/>
    <w:pPr>
      <w:widowControl/>
      <w:spacing w:before="100" w:beforeAutospacing="1" w:after="100" w:afterAutospacing="1"/>
    </w:pPr>
    <w:rPr>
      <w:rFonts w:ascii="宋体" w:hAnsi="宋体" w:eastAsia="宋体" w:cs="宋体"/>
      <w:color w:val="auto"/>
      <w:lang w:eastAsia="zh-CN" w:bidi="ar-SA"/>
    </w:rPr>
  </w:style>
  <w:style w:type="paragraph" w:customStyle="1" w:styleId="251">
    <w:name w:val="xl29"/>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olor w:val="auto"/>
      <w:lang w:eastAsia="zh-CN" w:bidi="ar-SA"/>
    </w:rPr>
  </w:style>
  <w:style w:type="paragraph" w:customStyle="1" w:styleId="252">
    <w:name w:val="样式 标题 2 + 非加粗 居中 段前: 0 磅 段后: 0 磅 行距: 1.5 倍行距"/>
    <w:basedOn w:val="6"/>
    <w:qFormat/>
    <w:uiPriority w:val="0"/>
    <w:pPr>
      <w:spacing w:before="0" w:beforeLines="100" w:after="0" w:afterLines="100" w:line="700" w:lineRule="exact"/>
    </w:pPr>
    <w:rPr>
      <w:rFonts w:ascii="Arial" w:hAnsi="Arial" w:eastAsia="宋体" w:cs="楷体_GB2312"/>
      <w:bCs w:val="0"/>
      <w:kern w:val="2"/>
      <w:sz w:val="36"/>
      <w:szCs w:val="20"/>
      <w:lang w:eastAsia="zh-CN" w:bidi="ar-SA"/>
    </w:rPr>
  </w:style>
  <w:style w:type="paragraph" w:customStyle="1" w:styleId="253">
    <w:name w:val="xl26"/>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eastAsia="宋体"/>
      <w:color w:val="auto"/>
      <w:sz w:val="20"/>
      <w:szCs w:val="20"/>
      <w:lang w:eastAsia="zh-CN" w:bidi="ar-SA"/>
    </w:rPr>
  </w:style>
  <w:style w:type="paragraph" w:customStyle="1" w:styleId="254">
    <w:name w:val="xl62"/>
    <w:basedOn w:val="1"/>
    <w:qFormat/>
    <w:uiPriority w:val="0"/>
    <w:pPr>
      <w:widowControl/>
      <w:pBdr>
        <w:left w:val="single" w:color="auto" w:sz="4" w:space="0"/>
        <w:bottom w:val="single" w:color="auto" w:sz="4" w:space="0"/>
      </w:pBdr>
      <w:spacing w:before="100" w:beforeAutospacing="1" w:after="100" w:afterAutospacing="1"/>
      <w:jc w:val="center"/>
      <w:textAlignment w:val="center"/>
    </w:pPr>
    <w:rPr>
      <w:rFonts w:ascii="宋体" w:hAnsi="宋体" w:eastAsia="宋体"/>
      <w:color w:val="auto"/>
      <w:lang w:eastAsia="zh-CN" w:bidi="ar-SA"/>
    </w:rPr>
  </w:style>
  <w:style w:type="paragraph" w:customStyle="1" w:styleId="255">
    <w:name w:val="xl43"/>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eastAsia="宋体"/>
      <w:color w:val="auto"/>
      <w:lang w:eastAsia="zh-CN" w:bidi="ar-SA"/>
    </w:rPr>
  </w:style>
  <w:style w:type="paragraph" w:customStyle="1" w:styleId="256">
    <w:name w:val="xl59"/>
    <w:basedOn w:val="1"/>
    <w:qFormat/>
    <w:uiPriority w:val="0"/>
    <w:pPr>
      <w:widowControl/>
      <w:pBdr>
        <w:top w:val="single" w:color="auto" w:sz="4" w:space="0"/>
      </w:pBdr>
      <w:spacing w:before="100" w:beforeAutospacing="1" w:after="100" w:afterAutospacing="1"/>
      <w:jc w:val="center"/>
      <w:textAlignment w:val="center"/>
    </w:pPr>
    <w:rPr>
      <w:rFonts w:ascii="宋体" w:hAnsi="宋体" w:eastAsia="宋体"/>
      <w:color w:val="auto"/>
      <w:lang w:eastAsia="zh-CN" w:bidi="ar-SA"/>
    </w:rPr>
  </w:style>
  <w:style w:type="paragraph" w:customStyle="1" w:styleId="257">
    <w:name w:val="Sub-Para 3 under X."/>
    <w:basedOn w:val="1"/>
    <w:qFormat/>
    <w:uiPriority w:val="0"/>
    <w:pPr>
      <w:widowControl/>
      <w:spacing w:after="240"/>
      <w:ind w:left="2880" w:hanging="720"/>
      <w:outlineLvl w:val="4"/>
    </w:pPr>
    <w:rPr>
      <w:color w:val="auto"/>
      <w:lang w:bidi="ar-SA"/>
    </w:rPr>
  </w:style>
  <w:style w:type="paragraph" w:customStyle="1" w:styleId="258">
    <w:name w:val="TOC 标题1"/>
    <w:basedOn w:val="4"/>
    <w:next w:val="1"/>
    <w:qFormat/>
    <w:uiPriority w:val="39"/>
    <w:pPr>
      <w:widowControl/>
      <w:spacing w:before="480" w:after="0" w:line="276" w:lineRule="auto"/>
      <w:jc w:val="left"/>
      <w:outlineLvl w:val="9"/>
    </w:pPr>
    <w:rPr>
      <w:rFonts w:ascii="Cambria" w:hAnsi="Cambria" w:eastAsia="黑体"/>
      <w:b/>
      <w:bCs/>
      <w:color w:val="365F91"/>
      <w:kern w:val="0"/>
      <w:sz w:val="28"/>
      <w:szCs w:val="28"/>
      <w:lang w:eastAsia="zh-CN" w:bidi="ar-SA"/>
    </w:rPr>
  </w:style>
  <w:style w:type="paragraph" w:customStyle="1" w:styleId="259">
    <w:name w:val="标题4"/>
    <w:basedOn w:val="1"/>
    <w:qFormat/>
    <w:uiPriority w:val="0"/>
    <w:pPr>
      <w:spacing w:beforeLines="50" w:afterLines="50"/>
      <w:jc w:val="center"/>
      <w:outlineLvl w:val="2"/>
    </w:pPr>
    <w:rPr>
      <w:rFonts w:ascii="宋体" w:hAnsi="宋体" w:eastAsia="宋体"/>
      <w:b/>
      <w:color w:val="auto"/>
      <w:kern w:val="2"/>
      <w:szCs w:val="28"/>
      <w:lang w:eastAsia="zh-CN" w:bidi="ar-SA"/>
    </w:rPr>
  </w:style>
  <w:style w:type="paragraph" w:customStyle="1" w:styleId="260">
    <w:name w:val="xl80"/>
    <w:basedOn w:val="1"/>
    <w:qFormat/>
    <w:uiPriority w:val="0"/>
    <w:pPr>
      <w:widowControl/>
      <w:pBdr>
        <w:left w:val="single" w:color="auto" w:sz="4" w:space="0"/>
        <w:bottom w:val="single" w:color="auto" w:sz="4" w:space="0"/>
      </w:pBdr>
      <w:spacing w:before="100" w:beforeAutospacing="1" w:after="100" w:afterAutospacing="1"/>
      <w:textAlignment w:val="center"/>
    </w:pPr>
    <w:rPr>
      <w:rFonts w:ascii="宋体" w:hAnsi="宋体" w:eastAsia="宋体"/>
      <w:color w:val="auto"/>
      <w:sz w:val="20"/>
      <w:szCs w:val="20"/>
      <w:lang w:eastAsia="zh-CN" w:bidi="ar-SA"/>
    </w:rPr>
  </w:style>
  <w:style w:type="paragraph" w:customStyle="1" w:styleId="261">
    <w:name w:val="Char1"/>
    <w:basedOn w:val="1"/>
    <w:qFormat/>
    <w:uiPriority w:val="0"/>
    <w:pPr>
      <w:widowControl/>
      <w:spacing w:after="160" w:line="240" w:lineRule="exact"/>
    </w:pPr>
    <w:rPr>
      <w:rFonts w:eastAsia="宋体"/>
      <w:color w:val="auto"/>
      <w:kern w:val="2"/>
      <w:sz w:val="21"/>
      <w:szCs w:val="20"/>
      <w:lang w:eastAsia="zh-CN" w:bidi="ar-SA"/>
    </w:rPr>
  </w:style>
  <w:style w:type="paragraph" w:customStyle="1" w:styleId="262">
    <w:name w:val="Char Char Char Char Char Char Char Char Char Char Char Char Char1"/>
    <w:basedOn w:val="1"/>
    <w:qFormat/>
    <w:uiPriority w:val="0"/>
    <w:pPr>
      <w:jc w:val="both"/>
    </w:pPr>
    <w:rPr>
      <w:rFonts w:ascii="仿宋_GB2312" w:eastAsia="仿宋_GB2312"/>
      <w:b/>
      <w:color w:val="auto"/>
      <w:kern w:val="2"/>
      <w:sz w:val="32"/>
      <w:szCs w:val="32"/>
      <w:lang w:eastAsia="zh-CN" w:bidi="ar-SA"/>
    </w:rPr>
  </w:style>
  <w:style w:type="paragraph" w:customStyle="1" w:styleId="263">
    <w:name w:val="样式1"/>
    <w:basedOn w:val="4"/>
    <w:qFormat/>
    <w:uiPriority w:val="0"/>
    <w:pPr>
      <w:keepLines w:val="0"/>
      <w:spacing w:before="0" w:after="0" w:line="360" w:lineRule="auto"/>
    </w:pPr>
    <w:rPr>
      <w:rFonts w:ascii="宋体" w:eastAsia="黑体"/>
      <w:b/>
      <w:bCs/>
      <w:color w:val="auto"/>
      <w:kern w:val="2"/>
      <w:sz w:val="36"/>
      <w:szCs w:val="20"/>
      <w:lang w:eastAsia="zh-CN" w:bidi="ar-SA"/>
    </w:rPr>
  </w:style>
  <w:style w:type="paragraph" w:customStyle="1" w:styleId="264">
    <w:name w:val="xl79"/>
    <w:basedOn w:val="1"/>
    <w:qFormat/>
    <w:uiPriority w:val="0"/>
    <w:pPr>
      <w:widowControl/>
      <w:pBdr>
        <w:right w:val="single" w:color="auto" w:sz="4" w:space="0"/>
      </w:pBdr>
      <w:spacing w:before="100" w:beforeAutospacing="1" w:after="100" w:afterAutospacing="1"/>
      <w:textAlignment w:val="center"/>
    </w:pPr>
    <w:rPr>
      <w:rFonts w:ascii="宋体" w:hAnsi="宋体" w:eastAsia="宋体"/>
      <w:color w:val="auto"/>
      <w:sz w:val="20"/>
      <w:szCs w:val="20"/>
      <w:lang w:eastAsia="zh-CN" w:bidi="ar-SA"/>
    </w:rPr>
  </w:style>
  <w:style w:type="paragraph" w:customStyle="1" w:styleId="265">
    <w:name w:val="xl63"/>
    <w:basedOn w:val="1"/>
    <w:qFormat/>
    <w:uiPriority w:val="0"/>
    <w:pPr>
      <w:widowControl/>
      <w:pBdr>
        <w:bottom w:val="single" w:color="auto" w:sz="4" w:space="0"/>
      </w:pBdr>
      <w:spacing w:before="100" w:beforeAutospacing="1" w:after="100" w:afterAutospacing="1"/>
      <w:jc w:val="center"/>
      <w:textAlignment w:val="center"/>
    </w:pPr>
    <w:rPr>
      <w:rFonts w:ascii="宋体" w:hAnsi="宋体" w:eastAsia="宋体"/>
      <w:color w:val="auto"/>
      <w:lang w:eastAsia="zh-CN" w:bidi="ar-SA"/>
    </w:rPr>
  </w:style>
  <w:style w:type="paragraph" w:customStyle="1" w:styleId="266">
    <w:name w:val="Subtitle 2"/>
    <w:basedOn w:val="29"/>
    <w:qFormat/>
    <w:uiPriority w:val="0"/>
    <w:pPr>
      <w:widowControl/>
      <w:tabs>
        <w:tab w:val="center" w:pos="4752"/>
        <w:tab w:val="right" w:pos="9864"/>
        <w:tab w:val="clear" w:pos="4153"/>
        <w:tab w:val="clear" w:pos="8306"/>
      </w:tabs>
      <w:wordWrap/>
      <w:snapToGrid/>
      <w:spacing w:before="240" w:after="240" w:line="240" w:lineRule="auto"/>
      <w:ind w:firstLine="0" w:firstLineChars="0"/>
      <w:jc w:val="center"/>
      <w:outlineLvl w:val="1"/>
    </w:pPr>
    <w:rPr>
      <w:rFonts w:cs="Times New Roman"/>
      <w:b/>
      <w:color w:val="auto"/>
      <w:sz w:val="32"/>
      <w:szCs w:val="20"/>
      <w:lang w:eastAsia="en-US"/>
    </w:rPr>
  </w:style>
  <w:style w:type="paragraph" w:customStyle="1" w:styleId="267">
    <w:name w:val="正文内容"/>
    <w:basedOn w:val="1"/>
    <w:qFormat/>
    <w:uiPriority w:val="0"/>
    <w:pPr>
      <w:spacing w:line="600" w:lineRule="exact"/>
      <w:ind w:firstLine="580"/>
      <w:jc w:val="both"/>
    </w:pPr>
    <w:rPr>
      <w:rFonts w:eastAsia="仿宋_GB2312"/>
      <w:color w:val="auto"/>
      <w:kern w:val="2"/>
      <w:sz w:val="28"/>
      <w:szCs w:val="20"/>
      <w:lang w:eastAsia="zh-CN" w:bidi="ar-SA"/>
    </w:rPr>
  </w:style>
  <w:style w:type="paragraph" w:customStyle="1" w:styleId="268">
    <w:name w:val="Main Para with Chapter#"/>
    <w:basedOn w:val="1"/>
    <w:qFormat/>
    <w:uiPriority w:val="0"/>
    <w:pPr>
      <w:widowControl/>
      <w:tabs>
        <w:tab w:val="left" w:pos="945"/>
      </w:tabs>
      <w:spacing w:after="240"/>
      <w:outlineLvl w:val="1"/>
    </w:pPr>
    <w:rPr>
      <w:color w:val="auto"/>
      <w:lang w:bidi="ar-SA"/>
    </w:rPr>
  </w:style>
  <w:style w:type="paragraph" w:customStyle="1" w:styleId="269">
    <w:name w:val="xl75"/>
    <w:basedOn w:val="1"/>
    <w:qFormat/>
    <w:uiPriority w:val="0"/>
    <w:pPr>
      <w:widowControl/>
      <w:pBdr>
        <w:top w:val="single" w:color="auto" w:sz="4" w:space="0"/>
      </w:pBdr>
      <w:spacing w:before="100" w:beforeAutospacing="1" w:after="100" w:afterAutospacing="1"/>
      <w:textAlignment w:val="center"/>
    </w:pPr>
    <w:rPr>
      <w:rFonts w:ascii="宋体" w:hAnsi="宋体" w:eastAsia="宋体"/>
      <w:color w:val="auto"/>
      <w:sz w:val="20"/>
      <w:szCs w:val="20"/>
      <w:lang w:eastAsia="zh-CN" w:bidi="ar-SA"/>
    </w:rPr>
  </w:style>
  <w:style w:type="paragraph" w:customStyle="1" w:styleId="270">
    <w:name w:val="页眉1"/>
    <w:basedOn w:val="30"/>
    <w:qFormat/>
    <w:uiPriority w:val="0"/>
    <w:pPr>
      <w:pBdr>
        <w:bottom w:val="none" w:color="auto" w:sz="0" w:space="0"/>
      </w:pBdr>
      <w:wordWrap/>
      <w:spacing w:line="240" w:lineRule="auto"/>
      <w:ind w:firstLine="0" w:firstLineChars="0"/>
    </w:pPr>
    <w:rPr>
      <w:rFonts w:cs="Times New Roman"/>
      <w:color w:val="auto"/>
      <w:kern w:val="2"/>
    </w:rPr>
  </w:style>
  <w:style w:type="paragraph" w:customStyle="1" w:styleId="271">
    <w:name w:val="Sub-Para 4 under X."/>
    <w:basedOn w:val="1"/>
    <w:qFormat/>
    <w:uiPriority w:val="0"/>
    <w:pPr>
      <w:widowControl/>
      <w:spacing w:after="240"/>
      <w:ind w:left="3600" w:hanging="720"/>
      <w:outlineLvl w:val="5"/>
    </w:pPr>
    <w:rPr>
      <w:color w:val="auto"/>
      <w:lang w:bidi="ar-SA"/>
    </w:rPr>
  </w:style>
  <w:style w:type="paragraph" w:customStyle="1" w:styleId="272">
    <w:name w:val="xl34"/>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eastAsia="宋体"/>
      <w:color w:val="auto"/>
      <w:sz w:val="20"/>
      <w:szCs w:val="20"/>
      <w:lang w:eastAsia="zh-CN" w:bidi="ar-SA"/>
    </w:rPr>
  </w:style>
  <w:style w:type="paragraph" w:customStyle="1" w:styleId="273">
    <w:name w:val="Sub-Para 1 under X.Y"/>
    <w:basedOn w:val="1"/>
    <w:qFormat/>
    <w:uiPriority w:val="0"/>
    <w:pPr>
      <w:widowControl/>
      <w:tabs>
        <w:tab w:val="left" w:pos="1560"/>
      </w:tabs>
      <w:spacing w:after="240"/>
      <w:ind w:left="1560" w:hanging="720"/>
      <w:outlineLvl w:val="2"/>
    </w:pPr>
    <w:rPr>
      <w:color w:val="auto"/>
      <w:lang w:bidi="ar-SA"/>
    </w:rPr>
  </w:style>
  <w:style w:type="paragraph" w:customStyle="1" w:styleId="274">
    <w:name w:val="Style 21"/>
    <w:basedOn w:val="1"/>
    <w:qFormat/>
    <w:uiPriority w:val="0"/>
    <w:pPr>
      <w:autoSpaceDE w:val="0"/>
      <w:autoSpaceDN w:val="0"/>
      <w:spacing w:line="816" w:lineRule="exact"/>
      <w:jc w:val="center"/>
    </w:pPr>
    <w:rPr>
      <w:rFonts w:eastAsia="宋体"/>
      <w:color w:val="auto"/>
      <w:lang w:bidi="ar-SA"/>
    </w:rPr>
  </w:style>
  <w:style w:type="paragraph" w:customStyle="1" w:styleId="275">
    <w:name w:val="xl83"/>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eastAsia="宋体"/>
      <w:color w:val="auto"/>
      <w:lang w:eastAsia="zh-CN" w:bidi="ar-SA"/>
    </w:rPr>
  </w:style>
  <w:style w:type="paragraph" w:customStyle="1" w:styleId="276">
    <w:name w:val="xl39"/>
    <w:basedOn w:val="1"/>
    <w:qFormat/>
    <w:uiPriority w:val="0"/>
    <w:pPr>
      <w:widowControl/>
      <w:pBdr>
        <w:top w:val="single" w:color="auto" w:sz="4" w:space="0"/>
        <w:bottom w:val="single" w:color="auto" w:sz="4" w:space="0"/>
      </w:pBdr>
      <w:spacing w:before="100" w:beforeAutospacing="1" w:after="100" w:afterAutospacing="1"/>
      <w:textAlignment w:val="center"/>
    </w:pPr>
    <w:rPr>
      <w:rFonts w:ascii="宋体" w:hAnsi="宋体" w:eastAsia="宋体"/>
      <w:color w:val="auto"/>
      <w:lang w:eastAsia="zh-CN" w:bidi="ar-SA"/>
    </w:rPr>
  </w:style>
  <w:style w:type="paragraph" w:customStyle="1" w:styleId="277">
    <w:name w:val="xl45"/>
    <w:basedOn w:val="1"/>
    <w:qFormat/>
    <w:uiPriority w:val="0"/>
    <w:pPr>
      <w:widowControl/>
      <w:pBdr>
        <w:top w:val="single" w:color="auto" w:sz="4" w:space="0"/>
        <w:bottom w:val="single" w:color="auto" w:sz="4" w:space="0"/>
      </w:pBdr>
      <w:spacing w:before="100" w:beforeAutospacing="1" w:after="100" w:afterAutospacing="1"/>
      <w:textAlignment w:val="top"/>
    </w:pPr>
    <w:rPr>
      <w:rFonts w:ascii="宋体" w:hAnsi="宋体" w:eastAsia="宋体"/>
      <w:color w:val="auto"/>
      <w:lang w:eastAsia="zh-CN" w:bidi="ar-SA"/>
    </w:rPr>
  </w:style>
  <w:style w:type="paragraph" w:customStyle="1" w:styleId="278">
    <w:name w:val="样式 标题 3 + (中文) 黑体 小四 非加粗 段前: 7.8 磅 段后: 0 磅 行距: 固定值 20 磅"/>
    <w:basedOn w:val="7"/>
    <w:qFormat/>
    <w:uiPriority w:val="0"/>
    <w:pPr>
      <w:spacing w:before="0" w:after="0" w:line="400" w:lineRule="exact"/>
      <w:jc w:val="both"/>
    </w:pPr>
    <w:rPr>
      <w:rFonts w:eastAsia="黑体" w:cs="宋体"/>
      <w:b w:val="0"/>
      <w:bCs w:val="0"/>
      <w:color w:val="auto"/>
      <w:kern w:val="2"/>
      <w:sz w:val="24"/>
      <w:szCs w:val="20"/>
      <w:lang w:eastAsia="zh-CN" w:bidi="ar-SA"/>
    </w:rPr>
  </w:style>
  <w:style w:type="paragraph" w:customStyle="1" w:styleId="279">
    <w:name w:val="项名"/>
    <w:basedOn w:val="1"/>
    <w:qFormat/>
    <w:uiPriority w:val="0"/>
    <w:pPr>
      <w:spacing w:before="120" w:after="120" w:line="440" w:lineRule="exact"/>
      <w:jc w:val="both"/>
    </w:pPr>
    <w:rPr>
      <w:rFonts w:ascii="黑体" w:hAnsi="宋体" w:eastAsia="黑体"/>
      <w:bCs/>
      <w:color w:val="auto"/>
      <w:kern w:val="2"/>
      <w:sz w:val="30"/>
      <w:szCs w:val="20"/>
      <w:lang w:eastAsia="zh-CN" w:bidi="ar-SA"/>
    </w:rPr>
  </w:style>
  <w:style w:type="paragraph" w:customStyle="1" w:styleId="280">
    <w:name w:val="xl54"/>
    <w:basedOn w:val="1"/>
    <w:qFormat/>
    <w:uiPriority w:val="0"/>
    <w:pPr>
      <w:widowControl/>
      <w:pBdr>
        <w:bottom w:val="single" w:color="auto" w:sz="4" w:space="0"/>
        <w:right w:val="single" w:color="auto" w:sz="4" w:space="0"/>
      </w:pBdr>
      <w:spacing w:before="100" w:beforeAutospacing="1" w:after="100" w:afterAutospacing="1"/>
    </w:pPr>
    <w:rPr>
      <w:rFonts w:ascii="宋体" w:hAnsi="宋体" w:eastAsia="宋体"/>
      <w:color w:val="auto"/>
      <w:lang w:eastAsia="zh-CN" w:bidi="ar-SA"/>
    </w:rPr>
  </w:style>
  <w:style w:type="paragraph" w:customStyle="1" w:styleId="281">
    <w:name w:val="表格文字"/>
    <w:basedOn w:val="1"/>
    <w:qFormat/>
    <w:uiPriority w:val="0"/>
    <w:pPr>
      <w:adjustRightInd w:val="0"/>
      <w:spacing w:line="420" w:lineRule="atLeast"/>
      <w:textAlignment w:val="baseline"/>
    </w:pPr>
    <w:rPr>
      <w:rFonts w:eastAsia="宋体"/>
      <w:color w:val="auto"/>
      <w:sz w:val="21"/>
      <w:szCs w:val="20"/>
      <w:lang w:eastAsia="zh-CN" w:bidi="ar-SA"/>
    </w:rPr>
  </w:style>
  <w:style w:type="paragraph" w:customStyle="1" w:styleId="282">
    <w:name w:val="font5"/>
    <w:basedOn w:val="1"/>
    <w:qFormat/>
    <w:uiPriority w:val="0"/>
    <w:pPr>
      <w:widowControl/>
      <w:spacing w:before="100" w:beforeAutospacing="1" w:after="100" w:afterAutospacing="1"/>
    </w:pPr>
    <w:rPr>
      <w:rFonts w:hint="eastAsia" w:ascii="宋体" w:hAnsi="宋体" w:eastAsia="宋体"/>
      <w:color w:val="auto"/>
      <w:sz w:val="18"/>
      <w:szCs w:val="18"/>
      <w:lang w:eastAsia="zh-CN" w:bidi="ar-SA"/>
    </w:rPr>
  </w:style>
  <w:style w:type="paragraph" w:customStyle="1" w:styleId="283">
    <w:name w:val="aa"/>
    <w:basedOn w:val="1"/>
    <w:qFormat/>
    <w:uiPriority w:val="0"/>
    <w:pPr>
      <w:widowControl/>
      <w:spacing w:before="100" w:beforeAutospacing="1" w:after="100" w:afterAutospacing="1"/>
    </w:pPr>
    <w:rPr>
      <w:rFonts w:ascii="宋体" w:hAnsi="宋体" w:eastAsia="宋体" w:cs="宋体"/>
      <w:color w:val="auto"/>
      <w:lang w:eastAsia="zh-CN" w:bidi="ar-SA"/>
    </w:rPr>
  </w:style>
  <w:style w:type="paragraph" w:customStyle="1" w:styleId="284">
    <w:name w:val="xl57"/>
    <w:basedOn w:val="1"/>
    <w:qFormat/>
    <w:uiPriority w:val="0"/>
    <w:pPr>
      <w:widowControl/>
      <w:pBdr>
        <w:bottom w:val="single" w:color="auto" w:sz="4" w:space="0"/>
      </w:pBdr>
      <w:spacing w:before="100" w:beforeAutospacing="1" w:after="100" w:afterAutospacing="1"/>
      <w:jc w:val="center"/>
    </w:pPr>
    <w:rPr>
      <w:rFonts w:ascii="宋体" w:hAnsi="宋体" w:eastAsia="宋体"/>
      <w:color w:val="auto"/>
      <w:sz w:val="44"/>
      <w:szCs w:val="44"/>
      <w:lang w:eastAsia="zh-CN" w:bidi="ar-SA"/>
    </w:rPr>
  </w:style>
  <w:style w:type="paragraph" w:customStyle="1" w:styleId="285">
    <w:name w:val="表内容"/>
    <w:basedOn w:val="1"/>
    <w:qFormat/>
    <w:uiPriority w:val="0"/>
    <w:pPr>
      <w:jc w:val="center"/>
    </w:pPr>
    <w:rPr>
      <w:rFonts w:ascii="宋体" w:eastAsia="宋体"/>
      <w:color w:val="auto"/>
      <w:kern w:val="2"/>
      <w:sz w:val="21"/>
      <w:szCs w:val="20"/>
      <w:lang w:eastAsia="zh-CN" w:bidi="ar-SA"/>
    </w:rPr>
  </w:style>
  <w:style w:type="paragraph" w:customStyle="1" w:styleId="286">
    <w:name w:val="xl36"/>
    <w:basedOn w:val="1"/>
    <w:qFormat/>
    <w:uiPriority w:val="0"/>
    <w:pPr>
      <w:widowControl/>
      <w:pBdr>
        <w:bottom w:val="single" w:color="auto" w:sz="4" w:space="0"/>
      </w:pBdr>
      <w:spacing w:before="100" w:beforeAutospacing="1" w:after="100" w:afterAutospacing="1"/>
      <w:jc w:val="center"/>
    </w:pPr>
    <w:rPr>
      <w:rFonts w:eastAsia="宋体"/>
      <w:color w:val="auto"/>
      <w:sz w:val="44"/>
      <w:szCs w:val="44"/>
      <w:lang w:eastAsia="zh-CN" w:bidi="ar-SA"/>
    </w:rPr>
  </w:style>
  <w:style w:type="paragraph" w:customStyle="1" w:styleId="287">
    <w:name w:val="标题D"/>
    <w:basedOn w:val="1"/>
    <w:qFormat/>
    <w:uiPriority w:val="0"/>
    <w:pPr>
      <w:spacing w:line="360" w:lineRule="auto"/>
      <w:jc w:val="both"/>
      <w:outlineLvl w:val="3"/>
    </w:pPr>
    <w:rPr>
      <w:rFonts w:ascii="宋体" w:hAnsi="宋体" w:eastAsia="宋体"/>
      <w:b/>
      <w:color w:val="auto"/>
      <w:kern w:val="2"/>
      <w:lang w:eastAsia="zh-CN" w:bidi="ar-SA"/>
    </w:rPr>
  </w:style>
  <w:style w:type="paragraph" w:customStyle="1" w:styleId="288">
    <w:name w:val="表格文字 Char Char"/>
    <w:basedOn w:val="1"/>
    <w:qFormat/>
    <w:uiPriority w:val="0"/>
    <w:pPr>
      <w:adjustRightInd w:val="0"/>
      <w:snapToGrid w:val="0"/>
      <w:jc w:val="center"/>
    </w:pPr>
    <w:rPr>
      <w:rFonts w:eastAsia="宋体"/>
      <w:color w:val="auto"/>
      <w:kern w:val="2"/>
      <w:lang w:eastAsia="zh-CN" w:bidi="ar-SA"/>
    </w:rPr>
  </w:style>
  <w:style w:type="paragraph" w:customStyle="1" w:styleId="289">
    <w:name w:val="xl42"/>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eastAsia="宋体"/>
      <w:color w:val="auto"/>
      <w:lang w:eastAsia="zh-CN" w:bidi="ar-SA"/>
    </w:rPr>
  </w:style>
  <w:style w:type="paragraph" w:customStyle="1" w:styleId="290">
    <w:name w:val="标题B"/>
    <w:basedOn w:val="1"/>
    <w:qFormat/>
    <w:uiPriority w:val="0"/>
    <w:pPr>
      <w:spacing w:beforeLines="50" w:line="360" w:lineRule="auto"/>
      <w:outlineLvl w:val="1"/>
    </w:pPr>
    <w:rPr>
      <w:rFonts w:ascii="宋体" w:hAnsi="宋体" w:eastAsia="宋体"/>
      <w:b/>
      <w:color w:val="auto"/>
      <w:kern w:val="2"/>
      <w:sz w:val="28"/>
      <w:lang w:eastAsia="zh-CN" w:bidi="ar-SA"/>
    </w:rPr>
  </w:style>
  <w:style w:type="paragraph" w:customStyle="1" w:styleId="291">
    <w:name w:val="xl84"/>
    <w:basedOn w:val="1"/>
    <w:qFormat/>
    <w:uiPriority w:val="0"/>
    <w:pPr>
      <w:widowControl/>
      <w:pBdr>
        <w:top w:val="single" w:color="auto" w:sz="4" w:space="0"/>
        <w:bottom w:val="single" w:color="auto" w:sz="4" w:space="0"/>
      </w:pBdr>
      <w:spacing w:before="100" w:beforeAutospacing="1" w:after="100" w:afterAutospacing="1"/>
      <w:jc w:val="center"/>
      <w:textAlignment w:val="center"/>
    </w:pPr>
    <w:rPr>
      <w:rFonts w:ascii="宋体" w:hAnsi="宋体" w:eastAsia="宋体"/>
      <w:color w:val="auto"/>
      <w:lang w:eastAsia="zh-CN" w:bidi="ar-SA"/>
    </w:rPr>
  </w:style>
  <w:style w:type="paragraph" w:customStyle="1" w:styleId="292">
    <w:name w:val="dsm-三级"/>
    <w:basedOn w:val="7"/>
    <w:next w:val="1"/>
    <w:qFormat/>
    <w:uiPriority w:val="0"/>
    <w:pPr>
      <w:spacing w:before="60" w:after="60" w:line="360" w:lineRule="auto"/>
      <w:jc w:val="both"/>
    </w:pPr>
    <w:rPr>
      <w:rFonts w:ascii="黑体" w:eastAsia="黑体"/>
      <w:b w:val="0"/>
      <w:color w:val="auto"/>
      <w:kern w:val="2"/>
      <w:sz w:val="24"/>
      <w:lang w:eastAsia="zh-CN" w:bidi="ar-SA"/>
    </w:rPr>
  </w:style>
  <w:style w:type="paragraph" w:customStyle="1" w:styleId="293">
    <w:name w:val="标题-3"/>
    <w:basedOn w:val="1"/>
    <w:link w:val="294"/>
    <w:qFormat/>
    <w:uiPriority w:val="0"/>
    <w:pPr>
      <w:spacing w:before="50" w:beforeLines="50" w:after="50" w:afterLines="50"/>
      <w:jc w:val="both"/>
      <w:outlineLvl w:val="2"/>
    </w:pPr>
    <w:rPr>
      <w:rFonts w:eastAsia="宋体"/>
      <w:b/>
      <w:color w:val="auto"/>
      <w:kern w:val="2"/>
      <w:sz w:val="28"/>
      <w:szCs w:val="20"/>
      <w:lang w:val="zh-CN" w:eastAsia="zh-CN" w:bidi="ar-SA"/>
    </w:rPr>
  </w:style>
  <w:style w:type="character" w:customStyle="1" w:styleId="294">
    <w:name w:val="标题-3 Char"/>
    <w:link w:val="293"/>
    <w:qFormat/>
    <w:uiPriority w:val="0"/>
    <w:rPr>
      <w:b/>
      <w:kern w:val="2"/>
      <w:sz w:val="28"/>
      <w:lang w:val="zh-CN" w:eastAsia="zh-CN"/>
    </w:rPr>
  </w:style>
  <w:style w:type="paragraph" w:customStyle="1" w:styleId="295">
    <w:name w:val="图表文字"/>
    <w:basedOn w:val="1"/>
    <w:link w:val="296"/>
    <w:qFormat/>
    <w:uiPriority w:val="0"/>
    <w:pPr>
      <w:spacing w:line="360" w:lineRule="exact"/>
      <w:ind w:left="50" w:leftChars="50" w:right="50" w:rightChars="50" w:firstLine="100" w:firstLineChars="100"/>
      <w:jc w:val="both"/>
    </w:pPr>
    <w:rPr>
      <w:rFonts w:ascii="宋体" w:hAnsi="宋体" w:eastAsia="宋体"/>
      <w:kern w:val="2"/>
      <w:sz w:val="21"/>
      <w:szCs w:val="21"/>
      <w:lang w:eastAsia="zh-CN" w:bidi="ar-SA"/>
    </w:rPr>
  </w:style>
  <w:style w:type="character" w:customStyle="1" w:styleId="296">
    <w:name w:val="图表文字 Char"/>
    <w:link w:val="295"/>
    <w:qFormat/>
    <w:uiPriority w:val="0"/>
    <w:rPr>
      <w:rFonts w:ascii="宋体" w:hAnsi="宋体"/>
      <w:color w:val="000000"/>
      <w:kern w:val="2"/>
      <w:sz w:val="21"/>
      <w:szCs w:val="21"/>
    </w:rPr>
  </w:style>
  <w:style w:type="character" w:customStyle="1" w:styleId="297">
    <w:name w:val="正文文本首行缩进 2 字符"/>
    <w:basedOn w:val="150"/>
    <w:link w:val="46"/>
    <w:semiHidden/>
    <w:qFormat/>
    <w:uiPriority w:val="99"/>
    <w:rPr>
      <w:rFonts w:ascii="宋体"/>
      <w:kern w:val="2"/>
      <w:sz w:val="21"/>
      <w:szCs w:val="24"/>
    </w:rPr>
  </w:style>
  <w:style w:type="paragraph" w:customStyle="1" w:styleId="298">
    <w:name w:val="TOC 标题2"/>
    <w:basedOn w:val="4"/>
    <w:next w:val="1"/>
    <w:unhideWhenUsed/>
    <w:qFormat/>
    <w:uiPriority w:val="39"/>
    <w:pPr>
      <w:widowControl/>
      <w:spacing w:before="240" w:after="0" w:line="259" w:lineRule="auto"/>
      <w:jc w:val="left"/>
      <w:outlineLvl w:val="9"/>
    </w:pPr>
    <w:rPr>
      <w:rFonts w:ascii="等线 Light" w:hAnsi="等线 Light" w:eastAsia="等线 Light"/>
      <w:color w:val="2F5496"/>
      <w:kern w:val="0"/>
      <w:sz w:val="32"/>
      <w:szCs w:val="32"/>
      <w:lang w:eastAsia="zh-CN" w:bidi="ar-SA"/>
    </w:rPr>
  </w:style>
  <w:style w:type="character" w:customStyle="1" w:styleId="299">
    <w:name w:val="@他1"/>
    <w:semiHidden/>
    <w:unhideWhenUsed/>
    <w:qFormat/>
    <w:uiPriority w:val="99"/>
    <w:rPr>
      <w:color w:val="2B579A"/>
      <w:shd w:val="clear" w:color="auto" w:fill="E6E6E6"/>
    </w:rPr>
  </w:style>
  <w:style w:type="table" w:customStyle="1" w:styleId="300">
    <w:name w:val="网格型1"/>
    <w:basedOn w:val="47"/>
    <w:qFormat/>
    <w:uiPriority w:val="3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301">
    <w:name w:val="可研报告正文格式 Char"/>
    <w:link w:val="302"/>
    <w:qFormat/>
    <w:uiPriority w:val="0"/>
    <w:rPr>
      <w:kern w:val="2"/>
      <w:sz w:val="24"/>
      <w:szCs w:val="24"/>
    </w:rPr>
  </w:style>
  <w:style w:type="paragraph" w:customStyle="1" w:styleId="302">
    <w:name w:val="可研报告正文格式"/>
    <w:basedOn w:val="1"/>
    <w:link w:val="301"/>
    <w:qFormat/>
    <w:uiPriority w:val="0"/>
    <w:pPr>
      <w:spacing w:line="360" w:lineRule="auto"/>
      <w:ind w:firstLine="200" w:firstLineChars="200"/>
      <w:jc w:val="both"/>
    </w:pPr>
    <w:rPr>
      <w:rFonts w:eastAsia="宋体"/>
      <w:color w:val="auto"/>
      <w:kern w:val="2"/>
      <w:lang w:eastAsia="zh-CN" w:bidi="ar-SA"/>
    </w:rPr>
  </w:style>
  <w:style w:type="character" w:customStyle="1" w:styleId="303">
    <w:name w:val="A正文 Char"/>
    <w:qFormat/>
    <w:uiPriority w:val="0"/>
    <w:rPr>
      <w:rFonts w:eastAsia="宋体"/>
      <w:kern w:val="2"/>
      <w:sz w:val="24"/>
      <w:lang w:val="en-US" w:eastAsia="zh-CN" w:bidi="ar-SA"/>
    </w:rPr>
  </w:style>
  <w:style w:type="paragraph" w:customStyle="1" w:styleId="304">
    <w:name w:val="af15hichaf0dbchf15cgrid"/>
    <w:qFormat/>
    <w:uiPriority w:val="0"/>
    <w:pPr>
      <w:widowControl w:val="0"/>
      <w:tabs>
        <w:tab w:val="center" w:pos="4320"/>
        <w:tab w:val="right" w:pos="8640"/>
      </w:tabs>
      <w:adjustRightInd w:val="0"/>
      <w:spacing w:line="315" w:lineRule="atLeast"/>
      <w:jc w:val="both"/>
      <w:textAlignment w:val="baseline"/>
    </w:pPr>
    <w:rPr>
      <w:rFonts w:ascii="宋体" w:hAnsi="Times New Roman" w:eastAsia="宋体" w:cs="Times New Roman"/>
      <w:sz w:val="21"/>
      <w:lang w:val="en-US" w:eastAsia="zh-CN" w:bidi="ar-SA"/>
    </w:rPr>
  </w:style>
  <w:style w:type="character" w:customStyle="1" w:styleId="305">
    <w:name w:val="标题 字符"/>
    <w:basedOn w:val="49"/>
    <w:link w:val="5"/>
    <w:qFormat/>
    <w:uiPriority w:val="10"/>
    <w:rPr>
      <w:rFonts w:ascii="Arial" w:hAnsi="Arial" w:eastAsia="Times New Roman"/>
      <w:b/>
      <w:color w:val="000000"/>
      <w:sz w:val="32"/>
      <w:szCs w:val="24"/>
      <w:lang w:eastAsia="en-US" w:bidi="en-US"/>
    </w:rPr>
  </w:style>
  <w:style w:type="character" w:customStyle="1" w:styleId="306">
    <w:name w:val="未处理的提及3"/>
    <w:basedOn w:val="49"/>
    <w:semiHidden/>
    <w:unhideWhenUsed/>
    <w:qFormat/>
    <w:uiPriority w:val="99"/>
    <w:rPr>
      <w:color w:val="605E5C"/>
      <w:shd w:val="clear" w:color="auto" w:fill="E1DFDD"/>
    </w:rPr>
  </w:style>
  <w:style w:type="character" w:customStyle="1" w:styleId="307">
    <w:name w:val="Unresolved Mention"/>
    <w:basedOn w:val="49"/>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6" Type="http://schemas.openxmlformats.org/officeDocument/2006/relationships/fontTable" Target="fontTable.xml"/><Relationship Id="rId45" Type="http://schemas.openxmlformats.org/officeDocument/2006/relationships/customXml" Target="../customXml/item1.xml"/><Relationship Id="rId44" Type="http://schemas.openxmlformats.org/officeDocument/2006/relationships/numbering" Target="numbering.xml"/><Relationship Id="rId43" Type="http://schemas.openxmlformats.org/officeDocument/2006/relationships/theme" Target="theme/theme1.xml"/><Relationship Id="rId42" Type="http://schemas.openxmlformats.org/officeDocument/2006/relationships/footer" Target="footer19.xml"/><Relationship Id="rId41" Type="http://schemas.openxmlformats.org/officeDocument/2006/relationships/header" Target="header19.xml"/><Relationship Id="rId40" Type="http://schemas.openxmlformats.org/officeDocument/2006/relationships/footer" Target="footer18.xml"/><Relationship Id="rId4" Type="http://schemas.openxmlformats.org/officeDocument/2006/relationships/endnotes" Target="endnotes.xml"/><Relationship Id="rId39" Type="http://schemas.openxmlformats.org/officeDocument/2006/relationships/footer" Target="footer17.xml"/><Relationship Id="rId38" Type="http://schemas.openxmlformats.org/officeDocument/2006/relationships/header" Target="header18.xml"/><Relationship Id="rId37" Type="http://schemas.openxmlformats.org/officeDocument/2006/relationships/header" Target="header17.xml"/><Relationship Id="rId36" Type="http://schemas.openxmlformats.org/officeDocument/2006/relationships/header" Target="header16.xml"/><Relationship Id="rId35" Type="http://schemas.openxmlformats.org/officeDocument/2006/relationships/footer" Target="footer16.xml"/><Relationship Id="rId34" Type="http://schemas.openxmlformats.org/officeDocument/2006/relationships/footer" Target="footer15.xml"/><Relationship Id="rId33" Type="http://schemas.openxmlformats.org/officeDocument/2006/relationships/header" Target="header15.xml"/><Relationship Id="rId32" Type="http://schemas.openxmlformats.org/officeDocument/2006/relationships/footer" Target="footer14.xml"/><Relationship Id="rId31" Type="http://schemas.openxmlformats.org/officeDocument/2006/relationships/header" Target="header14.xml"/><Relationship Id="rId30" Type="http://schemas.openxmlformats.org/officeDocument/2006/relationships/footer" Target="footer13.xml"/><Relationship Id="rId3" Type="http://schemas.openxmlformats.org/officeDocument/2006/relationships/footnotes" Target="footnotes.xml"/><Relationship Id="rId29" Type="http://schemas.openxmlformats.org/officeDocument/2006/relationships/footer" Target="footer12.xml"/><Relationship Id="rId28" Type="http://schemas.openxmlformats.org/officeDocument/2006/relationships/header" Target="header13.xml"/><Relationship Id="rId27" Type="http://schemas.openxmlformats.org/officeDocument/2006/relationships/footer" Target="footer11.xml"/><Relationship Id="rId26" Type="http://schemas.openxmlformats.org/officeDocument/2006/relationships/header" Target="header12.xml"/><Relationship Id="rId25" Type="http://schemas.openxmlformats.org/officeDocument/2006/relationships/header" Target="header11.xml"/><Relationship Id="rId24" Type="http://schemas.openxmlformats.org/officeDocument/2006/relationships/footer" Target="footer10.xml"/><Relationship Id="rId23" Type="http://schemas.openxmlformats.org/officeDocument/2006/relationships/footer" Target="footer9.xml"/><Relationship Id="rId22" Type="http://schemas.openxmlformats.org/officeDocument/2006/relationships/footer" Target="footer8.xml"/><Relationship Id="rId21" Type="http://schemas.openxmlformats.org/officeDocument/2006/relationships/header" Target="header10.xml"/><Relationship Id="rId20" Type="http://schemas.openxmlformats.org/officeDocument/2006/relationships/header" Target="header9.xml"/><Relationship Id="rId2" Type="http://schemas.openxmlformats.org/officeDocument/2006/relationships/settings" Target="settings.xml"/><Relationship Id="rId19" Type="http://schemas.openxmlformats.org/officeDocument/2006/relationships/footer" Target="footer7.xml"/><Relationship Id="rId18" Type="http://schemas.openxmlformats.org/officeDocument/2006/relationships/footer" Target="footer6.xml"/><Relationship Id="rId17" Type="http://schemas.openxmlformats.org/officeDocument/2006/relationships/footer" Target="footer5.xml"/><Relationship Id="rId16" Type="http://schemas.openxmlformats.org/officeDocument/2006/relationships/header" Target="header8.xml"/><Relationship Id="rId15" Type="http://schemas.openxmlformats.org/officeDocument/2006/relationships/header" Target="header7.xml"/><Relationship Id="rId14" Type="http://schemas.openxmlformats.org/officeDocument/2006/relationships/header" Target="header6.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1D71D3-7C32-4A9E-A3CD-EA04C5B27554}">
  <ds:schemaRefs/>
</ds:datastoreItem>
</file>

<file path=docProps/app.xml><?xml version="1.0" encoding="utf-8"?>
<Properties xmlns="http://schemas.openxmlformats.org/officeDocument/2006/extended-properties" xmlns:vt="http://schemas.openxmlformats.org/officeDocument/2006/docPropsVTypes">
  <Template>Normal.dotm</Template>
  <Company>http://www.xitongtiandi.com/</Company>
  <Pages>130</Pages>
  <Words>12644</Words>
  <Characters>72075</Characters>
  <Lines>600</Lines>
  <Paragraphs>169</Paragraphs>
  <TotalTime>208</TotalTime>
  <ScaleCrop>false</ScaleCrop>
  <LinksUpToDate>false</LinksUpToDate>
  <CharactersWithSpaces>84550</CharactersWithSpaces>
  <Application>WPS Office_12.8.2.18205_F1E327BC-269C-435d-A152-05C5408002CA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2025-10-14T03:35:00Z</dcterms:created>
  <dc:creator>lenovo</dc:creator>
  <cp:lastModifiedBy>市交通运输局管理员</cp:lastModifiedBy>
  <cp:lastPrinted>2020-07-06T04:37:00Z</cp:lastPrinted>
  <dcterms:modified xsi:type="dcterms:W3CDTF">2025-10-22T01:38:46Z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KSOTemplateDocerSaveRecord">
    <vt:lpwstr>eyJoZGlkIjoiNjBjZWM2YTUwYWMwZjNjYjk3YzVmN2VlZmZjMTc3NTEiLCJ1c2VySWQiOiI0Mzk2ODM2MjMifQ==</vt:lpwstr>
  </property>
  <property fmtid="{D5CDD505-2E9C-101B-9397-08002B2CF9AE}" pid="4" name="ICV">
    <vt:lpwstr>105309F31F2E44998095561106BEB2E1_12</vt:lpwstr>
  </property>
</Properties>
</file>