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2D406">
      <w:pPr>
        <w:keepNext w:val="0"/>
        <w:keepLines w:val="0"/>
        <w:pageBreakBefore w:val="0"/>
        <w:widowControl/>
        <w:kinsoku w:val="0"/>
        <w:wordWrap/>
        <w:overflowPunct/>
        <w:topLinePunct w:val="0"/>
        <w:autoSpaceDE w:val="0"/>
        <w:autoSpaceDN w:val="0"/>
        <w:bidi w:val="0"/>
        <w:adjustRightInd w:val="0"/>
        <w:snapToGrid w:val="0"/>
        <w:spacing w:before="250" w:line="6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pacing w:val="8"/>
          <w:sz w:val="44"/>
          <w:szCs w:val="44"/>
        </w:rPr>
        <w:t>新余市城市管理局</w:t>
      </w:r>
    </w:p>
    <w:p w14:paraId="0C3943A7">
      <w:pPr>
        <w:keepNext w:val="0"/>
        <w:keepLines w:val="0"/>
        <w:pageBreakBefore w:val="0"/>
        <w:widowControl/>
        <w:kinsoku w:val="0"/>
        <w:wordWrap/>
        <w:overflowPunct/>
        <w:topLinePunct w:val="0"/>
        <w:autoSpaceDE w:val="0"/>
        <w:autoSpaceDN w:val="0"/>
        <w:bidi w:val="0"/>
        <w:adjustRightInd w:val="0"/>
        <w:snapToGrid w:val="0"/>
        <w:spacing w:before="195" w:line="600" w:lineRule="exact"/>
        <w:jc w:val="center"/>
        <w:outlineLvl w:val="0"/>
        <w:rPr>
          <w:rFonts w:ascii="黑体" w:hAnsi="黑体" w:eastAsia="黑体" w:cs="黑体"/>
          <w:sz w:val="35"/>
          <w:szCs w:val="35"/>
        </w:rPr>
      </w:pPr>
      <w:r>
        <w:rPr>
          <w:rFonts w:hint="eastAsia" w:ascii="方正小标宋简体" w:hAnsi="方正小标宋简体" w:eastAsia="方正小标宋简体" w:cs="方正小标宋简体"/>
          <w:b/>
          <w:bCs/>
          <w:spacing w:val="7"/>
          <w:sz w:val="44"/>
          <w:szCs w:val="44"/>
        </w:rPr>
        <w:t>202</w:t>
      </w:r>
      <w:r>
        <w:rPr>
          <w:rFonts w:hint="eastAsia" w:ascii="方正小标宋简体" w:hAnsi="方正小标宋简体" w:eastAsia="方正小标宋简体" w:cs="方正小标宋简体"/>
          <w:b/>
          <w:bCs/>
          <w:spacing w:val="7"/>
          <w:sz w:val="44"/>
          <w:szCs w:val="44"/>
          <w:lang w:val="en-US" w:eastAsia="zh-CN"/>
        </w:rPr>
        <w:t>4</w:t>
      </w:r>
      <w:r>
        <w:rPr>
          <w:rFonts w:hint="eastAsia" w:ascii="方正小标宋简体" w:hAnsi="方正小标宋简体" w:eastAsia="方正小标宋简体" w:cs="方正小标宋简体"/>
          <w:b/>
          <w:bCs/>
          <w:spacing w:val="7"/>
          <w:sz w:val="44"/>
          <w:szCs w:val="44"/>
        </w:rPr>
        <w:t>年度部门整体</w:t>
      </w:r>
      <w:r>
        <w:rPr>
          <w:rFonts w:hint="eastAsia" w:ascii="方正小标宋简体" w:hAnsi="方正小标宋简体" w:eastAsia="方正小标宋简体" w:cs="方正小标宋简体"/>
          <w:b/>
          <w:bCs/>
          <w:spacing w:val="7"/>
          <w:sz w:val="44"/>
          <w:szCs w:val="44"/>
          <w:lang w:eastAsia="zh-CN"/>
        </w:rPr>
        <w:t>项目支出评价</w:t>
      </w:r>
      <w:r>
        <w:rPr>
          <w:rFonts w:hint="eastAsia" w:ascii="方正小标宋简体" w:hAnsi="方正小标宋简体" w:eastAsia="方正小标宋简体" w:cs="方正小标宋简体"/>
          <w:b/>
          <w:bCs/>
          <w:spacing w:val="7"/>
          <w:sz w:val="44"/>
          <w:szCs w:val="44"/>
        </w:rPr>
        <w:t>报告</w:t>
      </w:r>
    </w:p>
    <w:p w14:paraId="68FD4FB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napToGrid w:val="0"/>
          <w:color w:val="000000"/>
          <w:kern w:val="0"/>
          <w:sz w:val="32"/>
          <w:szCs w:val="32"/>
          <w:lang w:val="en-US" w:eastAsia="zh-CN" w:bidi="ar-SA"/>
        </w:rPr>
        <w:t>一、</w:t>
      </w:r>
      <w:r>
        <w:rPr>
          <w:rFonts w:hint="eastAsia" w:ascii="仿宋_GB2312" w:hAnsi="仿宋_GB2312" w:eastAsia="仿宋_GB2312" w:cs="仿宋_GB2312"/>
          <w:b/>
          <w:bCs/>
          <w:sz w:val="32"/>
          <w:szCs w:val="32"/>
          <w:lang w:val="en-US" w:eastAsia="zh-CN"/>
        </w:rPr>
        <w:t>部门概况</w:t>
      </w:r>
    </w:p>
    <w:p w14:paraId="25DBC94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（一）部门主要职责</w:t>
      </w:r>
    </w:p>
    <w:p w14:paraId="2FE83254">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left"/>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1.负责协调局机关政务工作；负责机关文电、印章、档案、后勤、会务、建议提案办理工作；负责综合性文稿起草、审核工作，牵头起草行政方面的规章制度并督促落实；</w:t>
      </w:r>
    </w:p>
    <w:p w14:paraId="79840C64">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left"/>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起草城市管理和城市综合行政执法地方性法规、规章草案和制度工作；拟订城市管理领域综合行政执法年度工作计划和阶段性工作计划并指导实施；负责规范性文件合法性审查、备案工作；负责普法教育、法制培训工作；负责行政复议、行政调解、行政诉讼的应讼工作。</w:t>
      </w:r>
    </w:p>
    <w:p w14:paraId="330D8001">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left"/>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牵头城市管理公用事业领域内的中长期规划和管理工作；牵头工程项目建设统筹谋划、管理、项目审计等相关工作；编制园林绿化、环境卫生等事业发展的年度计划并指导实施；负责环境卫生方面的资质审核、报批和发证工作；负责园林设施、环卫设施的管理；负责城市建筑垃圾和生活垃圾经营性清扫、收集、运输、处置的监督管理；负责指导市容环境养护；指导协调园林绿化、环境卫生等的行业政策、管理标准、技术规范等并组织实施；负责节能减排（降碳）工作；负责城市功能品质提升工作。</w:t>
      </w:r>
    </w:p>
    <w:p w14:paraId="36E460BD">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left"/>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编制市政工程、城市照明、城市排水及生活污水处理、市政污泥处理发展规划、年度计划；负责制定市政工程、城市照明、城市排水及生活污水、污泥处理的行业政策、管理标准、技术规范等并组织实施；协调指导市政工程管理、城市照明等工作，组织协调市政工程项目建设；负责市政设施的管理；负责市本级城市排水管网的水质监测、生活污水处理设施的运行及达标排放监管；牵头水生态环境治理、排涝以及城镇生活污水处理提质增效、城市黑臭水体治理、河湖长制等工作；负责市政工程、城市照明、城市排水及生活污水、污泥处理的行业管理。</w:t>
      </w:r>
    </w:p>
    <w:p w14:paraId="108FF9FE">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left"/>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运用数字化城市管理平台履行对城市管理责任主体的监督、协调和考评；负责对县（区）智慧城管建设、运行、管理进行业务指导；负责对接国家、省城市综合管理服务平台及“城市大脑”建设相关工作；负责城市管理前沿科技、信息的对接和新工艺、新技术的应用和信息化建设工作；负责受理城市管理和执法举报投诉，承办上级督办、批示件办理。</w:t>
      </w:r>
    </w:p>
    <w:p w14:paraId="50A7D604">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jc w:val="left"/>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宣传、贯彻和执行国家、省、市有关垃圾分类的方针、政策、法律法规和规章；负责起草垃圾分类实施方案、质量和技术标准并组织实施；负责生活垃圾分类工作的协调、指导、考核；负责全市城乡环境综合整治及农村生活垃圾治理工作；负责美丽乡镇建设工作。</w:t>
      </w:r>
    </w:p>
    <w:p w14:paraId="22138D47">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3" w:firstLineChars="200"/>
        <w:jc w:val="left"/>
        <w:textAlignment w:val="auto"/>
        <w:outlineLvl w:val="1"/>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b/>
          <w:bCs/>
          <w:color w:val="000000" w:themeColor="text1"/>
          <w:sz w:val="32"/>
          <w:szCs w:val="32"/>
          <w14:textFill>
            <w14:solidFill>
              <w14:schemeClr w14:val="tx1"/>
            </w14:solidFill>
          </w14:textFill>
        </w:rPr>
        <w:t>机构设置及人员情况</w:t>
      </w:r>
    </w:p>
    <w:p w14:paraId="2F71A8D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纳入本套部门决算汇编范围的单位共</w:t>
      </w:r>
      <w:r>
        <w:rPr>
          <w:rFonts w:hint="eastAsia" w:ascii="仿宋_GB2312" w:hAnsi="仿宋_GB2312" w:eastAsia="仿宋_GB2312" w:cs="仿宋_GB2312"/>
          <w:color w:val="000000" w:themeColor="text1"/>
          <w:sz w:val="32"/>
          <w:szCs w:val="32"/>
          <w:lang w:val="en-US" w:eastAsia="zh-CN" w:bidi="zh-HK"/>
          <w14:textFill>
            <w14:solidFill>
              <w14:schemeClr w14:val="tx1"/>
            </w14:solidFill>
          </w14:textFill>
        </w:rPr>
        <w:t>8</w:t>
      </w:r>
      <w:r>
        <w:rPr>
          <w:rFonts w:hint="eastAsia" w:ascii="仿宋_GB2312" w:hAnsi="仿宋_GB2312" w:eastAsia="仿宋_GB2312" w:cs="仿宋_GB2312"/>
          <w:color w:val="000000" w:themeColor="text1"/>
          <w:sz w:val="32"/>
          <w:szCs w:val="32"/>
          <w14:textFill>
            <w14:solidFill>
              <w14:schemeClr w14:val="tx1"/>
            </w14:solidFill>
          </w14:textFill>
        </w:rPr>
        <w:t>个，包括：</w:t>
      </w:r>
    </w:p>
    <w:tbl>
      <w:tblPr>
        <w:tblStyle w:val="5"/>
        <w:tblpPr w:leftFromText="180" w:rightFromText="180" w:vertAnchor="text" w:horzAnchor="page" w:tblpXSpec="center" w:tblpY="436"/>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4538"/>
        <w:gridCol w:w="2348"/>
      </w:tblGrid>
      <w:tr w14:paraId="639CB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noWrap w:val="0"/>
            <w:vAlign w:val="top"/>
          </w:tcPr>
          <w:p w14:paraId="501655CA">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序号</w:t>
            </w:r>
          </w:p>
        </w:tc>
        <w:tc>
          <w:tcPr>
            <w:tcW w:w="4538" w:type="dxa"/>
            <w:noWrap w:val="0"/>
            <w:vAlign w:val="top"/>
          </w:tcPr>
          <w:p w14:paraId="52D064A6">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单位名称</w:t>
            </w:r>
          </w:p>
        </w:tc>
        <w:tc>
          <w:tcPr>
            <w:tcW w:w="2348" w:type="dxa"/>
            <w:noWrap w:val="0"/>
            <w:vAlign w:val="top"/>
          </w:tcPr>
          <w:p w14:paraId="2BFA878C">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预算级次</w:t>
            </w:r>
          </w:p>
        </w:tc>
      </w:tr>
      <w:tr w14:paraId="12F4C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noWrap w:val="0"/>
            <w:vAlign w:val="top"/>
          </w:tcPr>
          <w:p w14:paraId="530B58CD">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p>
        </w:tc>
        <w:tc>
          <w:tcPr>
            <w:tcW w:w="4538" w:type="dxa"/>
            <w:noWrap w:val="0"/>
            <w:vAlign w:val="top"/>
          </w:tcPr>
          <w:p w14:paraId="2F6745A2">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新余市城市管理局</w:t>
            </w:r>
          </w:p>
        </w:tc>
        <w:tc>
          <w:tcPr>
            <w:tcW w:w="2348" w:type="dxa"/>
            <w:noWrap w:val="0"/>
            <w:vAlign w:val="top"/>
          </w:tcPr>
          <w:p w14:paraId="66A061B9">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二级</w:t>
            </w:r>
          </w:p>
        </w:tc>
      </w:tr>
      <w:tr w14:paraId="2B55C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noWrap w:val="0"/>
            <w:vAlign w:val="top"/>
          </w:tcPr>
          <w:p w14:paraId="01515413">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p>
        </w:tc>
        <w:tc>
          <w:tcPr>
            <w:tcW w:w="4538" w:type="dxa"/>
            <w:noWrap w:val="0"/>
            <w:vAlign w:val="top"/>
          </w:tcPr>
          <w:p w14:paraId="10814D0C">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新余市公用事业服务中心</w:t>
            </w:r>
          </w:p>
        </w:tc>
        <w:tc>
          <w:tcPr>
            <w:tcW w:w="2348" w:type="dxa"/>
            <w:noWrap w:val="0"/>
            <w:vAlign w:val="top"/>
          </w:tcPr>
          <w:p w14:paraId="00BABE51">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二级</w:t>
            </w:r>
          </w:p>
        </w:tc>
      </w:tr>
      <w:tr w14:paraId="29F0D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0" w:type="dxa"/>
            <w:noWrap w:val="0"/>
            <w:vAlign w:val="top"/>
          </w:tcPr>
          <w:p w14:paraId="084F9ADE">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p>
        </w:tc>
        <w:tc>
          <w:tcPr>
            <w:tcW w:w="4538" w:type="dxa"/>
            <w:noWrap w:val="0"/>
            <w:vAlign w:val="top"/>
          </w:tcPr>
          <w:p w14:paraId="4BE78A08">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新余市市政工程管理处</w:t>
            </w:r>
          </w:p>
        </w:tc>
        <w:tc>
          <w:tcPr>
            <w:tcW w:w="2348" w:type="dxa"/>
            <w:noWrap w:val="0"/>
            <w:vAlign w:val="top"/>
          </w:tcPr>
          <w:p w14:paraId="08397EA7">
            <w:pPr>
              <w:keepNext w:val="0"/>
              <w:keepLines w:val="0"/>
              <w:pageBreakBefore w:val="0"/>
              <w:widowControl/>
              <w:kinsoku w:val="0"/>
              <w:wordWrap/>
              <w:overflowPunct/>
              <w:topLinePunct w:val="0"/>
              <w:autoSpaceDE w:val="0"/>
              <w:autoSpaceDN w:val="0"/>
              <w:bidi w:val="0"/>
              <w:adjustRightInd w:val="0"/>
              <w:snapToGrid w:val="0"/>
              <w:spacing w:line="600" w:lineRule="exact"/>
              <w:ind w:left="420" w:leftChars="200"/>
              <w:jc w:val="center"/>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二级</w:t>
            </w:r>
          </w:p>
        </w:tc>
      </w:tr>
    </w:tbl>
    <w:p w14:paraId="122C0782">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14:paraId="7721952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bidi="ar-SA"/>
        </w:rPr>
      </w:pPr>
      <w:r>
        <w:rPr>
          <w:rFonts w:hint="eastAsia" w:ascii="仿宋_GB2312" w:hAnsi="仿宋_GB2312" w:eastAsia="仿宋_GB2312" w:cs="仿宋_GB2312"/>
          <w:snapToGrid w:val="0"/>
          <w:color w:val="000000"/>
          <w:kern w:val="0"/>
          <w:sz w:val="32"/>
          <w:szCs w:val="32"/>
          <w:lang w:val="en-US" w:eastAsia="zh-CN" w:bidi="ar-SA"/>
        </w:rPr>
        <w:t>本部门年末编制内实有人员161人，其他人员0人。离退休人员168人，其中：单位发放离退休费的人员0人，养老保险基金发放养老金的人员168人。</w:t>
      </w:r>
    </w:p>
    <w:p w14:paraId="09B9678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（三）部门预算及执行情况</w:t>
      </w:r>
    </w:p>
    <w:p w14:paraId="787041E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本部门2024年度财政拨款本年支出年初预算数22273.98万元，决算数35048.18万元，完成年初预算的157.35%。</w:t>
      </w:r>
    </w:p>
    <w:p w14:paraId="788060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14:paraId="56F19B2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部门项目自评工作开展情况：市城管局共开展了58个项目，其中局本级的项目9个，市政工程管理处项目18个，公用事业服务中心项目41个。调整后的预算数为32181.25万元，预算执行数为31608.19万元。总体自评得分为97分。2024年，市城管局所有58个二级项目中，实现年初既定的总体绩效目标且预算实际执行到位的共计54个，实现年初既定的总体绩效目标但预算执行未全部到位的共计4个。</w:t>
      </w:r>
    </w:p>
    <w:p w14:paraId="01930AF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3" w:firstLineChars="200"/>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pacing w:val="-5"/>
          <w:sz w:val="32"/>
          <w:szCs w:val="32"/>
        </w:rPr>
        <w:t>二、预算绩效工作开展情况</w:t>
      </w:r>
    </w:p>
    <w:p w14:paraId="43BDAA4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75" w:firstLineChars="200"/>
        <w:textAlignment w:val="auto"/>
        <w:outlineLvl w:val="2"/>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8"/>
          <w:sz w:val="32"/>
          <w:szCs w:val="32"/>
        </w:rPr>
        <w:t>（一）绩效评价目的、对象和范围</w:t>
      </w:r>
    </w:p>
    <w:p w14:paraId="59356472">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为加强对本系统绩效评价工作的组织领导，落实项目具体责</w:t>
      </w:r>
      <w:r>
        <w:rPr>
          <w:rFonts w:hint="eastAsia" w:ascii="仿宋_GB2312" w:hAnsi="仿宋_GB2312" w:eastAsia="仿宋_GB2312" w:cs="仿宋_GB2312"/>
          <w:spacing w:val="-14"/>
          <w:sz w:val="32"/>
          <w:szCs w:val="32"/>
        </w:rPr>
        <w:t>任主体，督促其认真履责，提高财政资金支出绩效，全面践行“花</w:t>
      </w:r>
      <w:r>
        <w:rPr>
          <w:rFonts w:hint="eastAsia" w:ascii="仿宋_GB2312" w:hAnsi="仿宋_GB2312" w:eastAsia="仿宋_GB2312" w:cs="仿宋_GB2312"/>
          <w:spacing w:val="-4"/>
          <w:sz w:val="32"/>
          <w:szCs w:val="32"/>
        </w:rPr>
        <w:t>钱必问效，无效必问责”的理念，全面提升财政资金</w:t>
      </w:r>
      <w:r>
        <w:rPr>
          <w:rFonts w:hint="eastAsia" w:ascii="仿宋_GB2312" w:hAnsi="仿宋_GB2312" w:eastAsia="仿宋_GB2312" w:cs="仿宋_GB2312"/>
          <w:spacing w:val="-4"/>
          <w:sz w:val="32"/>
          <w:szCs w:val="32"/>
          <w:lang w:eastAsia="zh-CN"/>
        </w:rPr>
        <w:t>预算绩效管理</w:t>
      </w:r>
      <w:r>
        <w:rPr>
          <w:rFonts w:hint="eastAsia" w:ascii="仿宋_GB2312" w:hAnsi="仿宋_GB2312" w:eastAsia="仿宋_GB2312" w:cs="仿宋_GB2312"/>
          <w:spacing w:val="-4"/>
          <w:sz w:val="32"/>
          <w:szCs w:val="32"/>
        </w:rPr>
        <w:t>水平，合理配置财政资源。202</w:t>
      </w: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年3月底，我局对本系统78个项目从项目的申请、管理、投入产出、效益等方面科学设定评</w:t>
      </w:r>
      <w:r>
        <w:rPr>
          <w:rFonts w:hint="eastAsia" w:ascii="仿宋_GB2312" w:hAnsi="仿宋_GB2312" w:eastAsia="仿宋_GB2312" w:cs="仿宋_GB2312"/>
          <w:spacing w:val="-1"/>
          <w:sz w:val="32"/>
          <w:szCs w:val="32"/>
        </w:rPr>
        <w:t>价指标体系，采用公众评判、结果比较和加权评分等方式，逐个开展了预算绩效评价。</w:t>
      </w:r>
    </w:p>
    <w:p w14:paraId="666A7C3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39" w:firstLineChars="200"/>
        <w:textAlignment w:val="auto"/>
        <w:rPr>
          <w:rFonts w:hint="eastAsia" w:ascii="仿宋_GB2312" w:hAnsi="仿宋_GB2312" w:eastAsia="仿宋_GB2312" w:cs="仿宋_GB2312"/>
          <w:b/>
          <w:bCs/>
          <w:spacing w:val="-1"/>
          <w:sz w:val="32"/>
          <w:szCs w:val="32"/>
        </w:rPr>
      </w:pPr>
      <w:r>
        <w:rPr>
          <w:rFonts w:hint="eastAsia" w:ascii="仿宋_GB2312" w:hAnsi="仿宋_GB2312" w:eastAsia="仿宋_GB2312" w:cs="仿宋_GB2312"/>
          <w:b/>
          <w:bCs/>
          <w:snapToGrid w:val="0"/>
          <w:color w:val="000000"/>
          <w:spacing w:val="-1"/>
          <w:kern w:val="0"/>
          <w:sz w:val="32"/>
          <w:szCs w:val="32"/>
          <w:lang w:val="en-US" w:eastAsia="en-US" w:bidi="ar-SA"/>
        </w:rPr>
        <w:t>（二）</w:t>
      </w:r>
      <w:r>
        <w:rPr>
          <w:rFonts w:hint="eastAsia" w:ascii="仿宋_GB2312" w:hAnsi="仿宋_GB2312" w:eastAsia="仿宋_GB2312" w:cs="仿宋_GB2312"/>
          <w:b/>
          <w:bCs/>
          <w:sz w:val="32"/>
          <w:szCs w:val="32"/>
        </w:rPr>
        <w:t>绩效评价原则、评价指标体系、评价</w:t>
      </w:r>
      <w:r>
        <w:rPr>
          <w:rFonts w:hint="eastAsia" w:ascii="仿宋_GB2312" w:hAnsi="仿宋_GB2312" w:eastAsia="仿宋_GB2312" w:cs="仿宋_GB2312"/>
          <w:b/>
          <w:bCs/>
          <w:spacing w:val="-1"/>
          <w:sz w:val="32"/>
          <w:szCs w:val="32"/>
        </w:rPr>
        <w:t>方法、评价标准</w:t>
      </w:r>
    </w:p>
    <w:p w14:paraId="6D58A8F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27" w:firstLineChars="200"/>
        <w:textAlignment w:val="auto"/>
        <w:rPr>
          <w:rFonts w:hint="eastAsia" w:ascii="仿宋_GB2312" w:hAnsi="仿宋_GB2312" w:eastAsia="仿宋_GB2312" w:cs="仿宋_GB2312"/>
          <w:b/>
          <w:bCs/>
          <w:color w:val="333333"/>
          <w:spacing w:val="-4"/>
          <w:sz w:val="32"/>
          <w:szCs w:val="32"/>
        </w:rPr>
      </w:pPr>
      <w:r>
        <w:rPr>
          <w:rFonts w:hint="eastAsia" w:ascii="仿宋_GB2312" w:hAnsi="仿宋_GB2312" w:eastAsia="仿宋_GB2312" w:cs="仿宋_GB2312"/>
          <w:b/>
          <w:bCs/>
          <w:color w:val="333333"/>
          <w:spacing w:val="-4"/>
          <w:sz w:val="32"/>
          <w:szCs w:val="32"/>
        </w:rPr>
        <w:t>1.绩效评价原则</w:t>
      </w:r>
    </w:p>
    <w:p w14:paraId="3A5B767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20" w:firstLineChars="200"/>
        <w:textAlignment w:val="auto"/>
        <w:rPr>
          <w:rFonts w:hint="eastAsia" w:ascii="仿宋_GB2312" w:hAnsi="仿宋_GB2312" w:eastAsia="仿宋_GB2312" w:cs="仿宋_GB2312"/>
          <w:color w:val="333333"/>
          <w:spacing w:val="-4"/>
          <w:sz w:val="32"/>
          <w:szCs w:val="32"/>
          <w:lang w:eastAsia="zh-CN"/>
        </w:rPr>
      </w:pPr>
      <w:r>
        <w:rPr>
          <w:rFonts w:hint="eastAsia" w:ascii="仿宋_GB2312" w:hAnsi="仿宋_GB2312" w:eastAsia="仿宋_GB2312" w:cs="仿宋_GB2312"/>
          <w:color w:val="333333"/>
          <w:spacing w:val="-5"/>
          <w:sz w:val="32"/>
          <w:szCs w:val="32"/>
        </w:rPr>
        <w:t>市城管局对202</w:t>
      </w:r>
      <w:r>
        <w:rPr>
          <w:rFonts w:hint="eastAsia" w:ascii="仿宋_GB2312" w:hAnsi="仿宋_GB2312" w:eastAsia="仿宋_GB2312" w:cs="仿宋_GB2312"/>
          <w:color w:val="333333"/>
          <w:spacing w:val="-5"/>
          <w:sz w:val="32"/>
          <w:szCs w:val="32"/>
          <w:lang w:val="en-US" w:eastAsia="zh-CN"/>
        </w:rPr>
        <w:t>4</w:t>
      </w:r>
      <w:r>
        <w:rPr>
          <w:rFonts w:hint="eastAsia" w:ascii="仿宋_GB2312" w:hAnsi="仿宋_GB2312" w:eastAsia="仿宋_GB2312" w:cs="仿宋_GB2312"/>
          <w:color w:val="333333"/>
          <w:spacing w:val="-5"/>
          <w:sz w:val="32"/>
          <w:szCs w:val="32"/>
        </w:rPr>
        <w:t>年度的二级项目开展绩效评价，遵循以下基</w:t>
      </w:r>
      <w:r>
        <w:rPr>
          <w:rFonts w:hint="eastAsia" w:ascii="仿宋_GB2312" w:hAnsi="仿宋_GB2312" w:eastAsia="仿宋_GB2312" w:cs="仿宋_GB2312"/>
          <w:color w:val="333333"/>
          <w:spacing w:val="-4"/>
          <w:sz w:val="32"/>
          <w:szCs w:val="32"/>
        </w:rPr>
        <w:t>本原则：一是科学公正。绩效评价应当运用科学合理的方法，按</w:t>
      </w:r>
      <w:r>
        <w:rPr>
          <w:rFonts w:hint="eastAsia" w:ascii="仿宋_GB2312" w:hAnsi="仿宋_GB2312" w:eastAsia="仿宋_GB2312" w:cs="仿宋_GB2312"/>
          <w:color w:val="333333"/>
          <w:spacing w:val="-2"/>
          <w:sz w:val="32"/>
          <w:szCs w:val="32"/>
        </w:rPr>
        <w:t>照规范的程序，对项目绩效进行客观、公正</w:t>
      </w:r>
      <w:r>
        <w:rPr>
          <w:rFonts w:hint="eastAsia" w:ascii="仿宋_GB2312" w:hAnsi="仿宋_GB2312" w:eastAsia="仿宋_GB2312" w:cs="仿宋_GB2312"/>
          <w:color w:val="333333"/>
          <w:spacing w:val="-2"/>
          <w:sz w:val="32"/>
          <w:szCs w:val="32"/>
          <w:lang w:eastAsia="zh-CN"/>
        </w:rPr>
        <w:t>地</w:t>
      </w:r>
      <w:r>
        <w:rPr>
          <w:rFonts w:hint="eastAsia" w:ascii="仿宋_GB2312" w:hAnsi="仿宋_GB2312" w:eastAsia="仿宋_GB2312" w:cs="仿宋_GB2312"/>
          <w:color w:val="333333"/>
          <w:spacing w:val="-2"/>
          <w:sz w:val="32"/>
          <w:szCs w:val="32"/>
        </w:rPr>
        <w:t>反映。二是统筹</w:t>
      </w:r>
      <w:r>
        <w:rPr>
          <w:rFonts w:hint="eastAsia" w:ascii="仿宋_GB2312" w:hAnsi="仿宋_GB2312" w:eastAsia="仿宋_GB2312" w:cs="仿宋_GB2312"/>
          <w:color w:val="333333"/>
          <w:spacing w:val="-3"/>
          <w:sz w:val="32"/>
          <w:szCs w:val="32"/>
        </w:rPr>
        <w:t>兼顾。单位自评、部门评价和财政评价应职责明确，各有侧</w:t>
      </w:r>
      <w:r>
        <w:rPr>
          <w:rFonts w:hint="eastAsia" w:ascii="仿宋_GB2312" w:hAnsi="仿宋_GB2312" w:eastAsia="仿宋_GB2312" w:cs="仿宋_GB2312"/>
          <w:color w:val="333333"/>
          <w:spacing w:val="-4"/>
          <w:sz w:val="32"/>
          <w:szCs w:val="32"/>
        </w:rPr>
        <w:t>重</w:t>
      </w:r>
      <w:r>
        <w:rPr>
          <w:rFonts w:hint="eastAsia" w:ascii="仿宋_GB2312" w:hAnsi="仿宋_GB2312" w:eastAsia="仿宋_GB2312" w:cs="仿宋_GB2312"/>
          <w:color w:val="333333"/>
          <w:spacing w:val="-4"/>
          <w:sz w:val="32"/>
          <w:szCs w:val="32"/>
          <w:lang w:eastAsia="zh-CN"/>
        </w:rPr>
        <w:t>，</w:t>
      </w:r>
      <w:r>
        <w:rPr>
          <w:rFonts w:hint="eastAsia" w:ascii="仿宋_GB2312" w:hAnsi="仿宋_GB2312" w:eastAsia="仿宋_GB2312" w:cs="仿宋_GB2312"/>
          <w:color w:val="333333"/>
          <w:spacing w:val="-4"/>
          <w:sz w:val="32"/>
          <w:szCs w:val="32"/>
        </w:rPr>
        <w:t>相互衔接。单位自评应由项目单位自主实施，即“谁支出、谁自评”。部门评价和财政评价应在单位自评的基础上开展，必要时可委托第三方机构实施。三是激励约束。绩效评价结果应与预算安排、政策调整、改进管理实质性挂钩，体现奖优罚劣和激励相容导向，有效要安排、低效要压减、无效要问责。四是公开透明。绩效评价结果应依法依规公开，并自觉接受社会监督</w:t>
      </w:r>
      <w:r>
        <w:rPr>
          <w:rFonts w:hint="eastAsia" w:ascii="仿宋_GB2312" w:hAnsi="仿宋_GB2312" w:eastAsia="仿宋_GB2312" w:cs="仿宋_GB2312"/>
          <w:color w:val="333333"/>
          <w:spacing w:val="-4"/>
          <w:sz w:val="32"/>
          <w:szCs w:val="32"/>
          <w:lang w:eastAsia="zh-CN"/>
        </w:rPr>
        <w:t>。</w:t>
      </w:r>
    </w:p>
    <w:p w14:paraId="5855060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31" w:firstLineChars="200"/>
        <w:textAlignment w:val="auto"/>
        <w:rPr>
          <w:rFonts w:hint="eastAsia" w:ascii="仿宋_GB2312" w:hAnsi="仿宋_GB2312" w:eastAsia="仿宋_GB2312" w:cs="仿宋_GB2312"/>
          <w:b/>
          <w:bCs/>
          <w:color w:val="333333"/>
          <w:spacing w:val="-3"/>
          <w:sz w:val="32"/>
          <w:szCs w:val="32"/>
        </w:rPr>
      </w:pPr>
      <w:r>
        <w:rPr>
          <w:rFonts w:hint="eastAsia" w:ascii="仿宋_GB2312" w:hAnsi="仿宋_GB2312" w:eastAsia="仿宋_GB2312" w:cs="仿宋_GB2312"/>
          <w:b/>
          <w:bCs/>
          <w:snapToGrid w:val="0"/>
          <w:color w:val="333333"/>
          <w:spacing w:val="-3"/>
          <w:kern w:val="0"/>
          <w:sz w:val="32"/>
          <w:szCs w:val="32"/>
          <w:lang w:val="en-US" w:eastAsia="en-US" w:bidi="ar-SA"/>
        </w:rPr>
        <w:t>2.</w:t>
      </w:r>
      <w:r>
        <w:rPr>
          <w:rFonts w:hint="eastAsia" w:ascii="仿宋_GB2312" w:hAnsi="仿宋_GB2312" w:eastAsia="仿宋_GB2312" w:cs="仿宋_GB2312"/>
          <w:b/>
          <w:bCs/>
          <w:color w:val="333333"/>
          <w:spacing w:val="-3"/>
          <w:sz w:val="32"/>
          <w:szCs w:val="32"/>
        </w:rPr>
        <w:t>绩效评价指标体系</w:t>
      </w:r>
    </w:p>
    <w:p w14:paraId="0EF1F1A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本次绩效评价指标体系以</w:t>
      </w:r>
      <w:r>
        <w:rPr>
          <w:rFonts w:hint="eastAsia" w:ascii="仿宋_GB2312" w:hAnsi="仿宋_GB2312" w:eastAsia="仿宋_GB2312" w:cs="仿宋_GB2312"/>
          <w:color w:val="333333"/>
          <w:spacing w:val="-2"/>
          <w:sz w:val="32"/>
          <w:szCs w:val="32"/>
        </w:rPr>
        <w:t>《中共新余市委新余市人民政</w:t>
      </w:r>
      <w:r>
        <w:rPr>
          <w:rFonts w:hint="eastAsia" w:ascii="仿宋_GB2312" w:hAnsi="仿宋_GB2312" w:eastAsia="仿宋_GB2312" w:cs="仿宋_GB2312"/>
          <w:color w:val="333333"/>
          <w:spacing w:val="-1"/>
          <w:sz w:val="32"/>
          <w:szCs w:val="32"/>
        </w:rPr>
        <w:t>府关于全面实施预算绩效管理的实施意见》（余发</w:t>
      </w:r>
      <w:r>
        <w:rPr>
          <w:rFonts w:hint="eastAsia" w:ascii="仿宋_GB2312" w:hAnsi="仿宋_GB2312" w:eastAsia="仿宋_GB2312" w:cs="仿宋_GB2312"/>
          <w:color w:val="333333"/>
          <w:spacing w:val="-1"/>
          <w:sz w:val="32"/>
          <w:szCs w:val="32"/>
          <w:lang w:eastAsia="zh-CN"/>
        </w:rPr>
        <w:t>〔2019〕17号</w:t>
      </w:r>
      <w:r>
        <w:rPr>
          <w:rFonts w:hint="eastAsia" w:ascii="仿宋_GB2312" w:hAnsi="仿宋_GB2312" w:eastAsia="仿宋_GB2312" w:cs="仿宋_GB2312"/>
          <w:color w:val="333333"/>
          <w:spacing w:val="-4"/>
          <w:sz w:val="32"/>
          <w:szCs w:val="32"/>
        </w:rPr>
        <w:t>）和新余市财政局关于印发《推进全市预算绩效管理提质增效</w:t>
      </w:r>
      <w:r>
        <w:rPr>
          <w:rFonts w:hint="eastAsia" w:ascii="仿宋_GB2312" w:hAnsi="仿宋_GB2312" w:eastAsia="仿宋_GB2312" w:cs="仿宋_GB2312"/>
          <w:color w:val="333333"/>
          <w:spacing w:val="-1"/>
          <w:sz w:val="32"/>
          <w:szCs w:val="32"/>
        </w:rPr>
        <w:t>工作方案》（余财监</w:t>
      </w:r>
      <w:r>
        <w:rPr>
          <w:rFonts w:hint="eastAsia" w:ascii="仿宋_GB2312" w:hAnsi="仿宋_GB2312" w:eastAsia="仿宋_GB2312" w:cs="仿宋_GB2312"/>
          <w:color w:val="333333"/>
          <w:spacing w:val="-1"/>
          <w:sz w:val="32"/>
          <w:szCs w:val="32"/>
          <w:lang w:eastAsia="zh-CN"/>
        </w:rPr>
        <w:t>〔2022〕15号</w:t>
      </w:r>
      <w:r>
        <w:rPr>
          <w:rFonts w:hint="eastAsia" w:ascii="仿宋_GB2312" w:hAnsi="仿宋_GB2312" w:eastAsia="仿宋_GB2312" w:cs="仿宋_GB2312"/>
          <w:color w:val="333333"/>
          <w:spacing w:val="-1"/>
          <w:sz w:val="32"/>
          <w:szCs w:val="32"/>
        </w:rPr>
        <w:t>）</w:t>
      </w:r>
      <w:r>
        <w:rPr>
          <w:rFonts w:hint="eastAsia" w:ascii="仿宋_GB2312" w:hAnsi="仿宋_GB2312" w:eastAsia="仿宋_GB2312" w:cs="仿宋_GB2312"/>
          <w:spacing w:val="-1"/>
          <w:sz w:val="32"/>
          <w:szCs w:val="32"/>
        </w:rPr>
        <w:t>的指导框架为基</w:t>
      </w:r>
      <w:r>
        <w:rPr>
          <w:rFonts w:hint="eastAsia" w:ascii="仿宋_GB2312" w:hAnsi="仿宋_GB2312" w:eastAsia="仿宋_GB2312" w:cs="仿宋_GB2312"/>
          <w:spacing w:val="-2"/>
          <w:sz w:val="32"/>
          <w:szCs w:val="32"/>
        </w:rPr>
        <w:t>础，结合</w:t>
      </w:r>
      <w:r>
        <w:rPr>
          <w:rFonts w:hint="eastAsia" w:ascii="仿宋_GB2312" w:hAnsi="仿宋_GB2312" w:eastAsia="仿宋_GB2312" w:cs="仿宋_GB2312"/>
          <w:spacing w:val="-4"/>
          <w:sz w:val="32"/>
          <w:szCs w:val="32"/>
        </w:rPr>
        <w:t>项目实施内容，依据各项目实施单位的绩效目标申报表，细化指</w:t>
      </w:r>
      <w:r>
        <w:rPr>
          <w:rFonts w:hint="eastAsia" w:ascii="仿宋_GB2312" w:hAnsi="仿宋_GB2312" w:eastAsia="仿宋_GB2312" w:cs="仿宋_GB2312"/>
          <w:spacing w:val="-1"/>
          <w:sz w:val="32"/>
          <w:szCs w:val="32"/>
        </w:rPr>
        <w:t>标体系中的产出、效益指标，确保评价指标体系的科学性、合</w:t>
      </w:r>
      <w:r>
        <w:rPr>
          <w:rFonts w:hint="eastAsia" w:ascii="仿宋_GB2312" w:hAnsi="仿宋_GB2312" w:eastAsia="仿宋_GB2312" w:cs="仿宋_GB2312"/>
          <w:spacing w:val="-4"/>
          <w:sz w:val="32"/>
          <w:szCs w:val="32"/>
        </w:rPr>
        <w:t>理性。</w:t>
      </w:r>
    </w:p>
    <w:p w14:paraId="5F3475E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15"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color w:val="333333"/>
          <w:spacing w:val="-7"/>
          <w:sz w:val="32"/>
          <w:szCs w:val="32"/>
        </w:rPr>
        <w:t>3.绩效评价方法</w:t>
      </w:r>
    </w:p>
    <w:p w14:paraId="24240ED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本次评价工作采用的绩效评价方法主要包括目标评价</w:t>
      </w:r>
      <w:r>
        <w:rPr>
          <w:rFonts w:hint="eastAsia" w:ascii="仿宋_GB2312" w:hAnsi="仿宋_GB2312" w:eastAsia="仿宋_GB2312" w:cs="仿宋_GB2312"/>
          <w:spacing w:val="-5"/>
          <w:sz w:val="32"/>
          <w:szCs w:val="32"/>
        </w:rPr>
        <w:t>法、抽</w:t>
      </w:r>
      <w:r>
        <w:rPr>
          <w:rFonts w:hint="eastAsia" w:ascii="仿宋_GB2312" w:hAnsi="仿宋_GB2312" w:eastAsia="仿宋_GB2312" w:cs="仿宋_GB2312"/>
          <w:spacing w:val="-1"/>
          <w:sz w:val="32"/>
          <w:szCs w:val="32"/>
        </w:rPr>
        <w:t>样复核法、公众评判法、逻辑分析法等。</w:t>
      </w:r>
    </w:p>
    <w:p w14:paraId="2AA0D57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4.评价标准</w:t>
      </w:r>
    </w:p>
    <w:p w14:paraId="5D95EFC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根据设计、完善的评价指标体系，评价工作组对项目实施计</w:t>
      </w:r>
      <w:r>
        <w:rPr>
          <w:rFonts w:hint="eastAsia" w:ascii="仿宋_GB2312" w:hAnsi="仿宋_GB2312" w:eastAsia="仿宋_GB2312" w:cs="仿宋_GB2312"/>
          <w:spacing w:val="-3"/>
          <w:sz w:val="32"/>
          <w:szCs w:val="32"/>
        </w:rPr>
        <w:t>划、项目相关负责人进行详细访谈，结合项目签订的服务</w:t>
      </w:r>
      <w:r>
        <w:rPr>
          <w:rFonts w:hint="eastAsia" w:ascii="仿宋_GB2312" w:hAnsi="仿宋_GB2312" w:eastAsia="仿宋_GB2312" w:cs="仿宋_GB2312"/>
          <w:spacing w:val="-4"/>
          <w:sz w:val="32"/>
          <w:szCs w:val="32"/>
        </w:rPr>
        <w:t>合同，</w:t>
      </w:r>
      <w:r>
        <w:rPr>
          <w:rFonts w:hint="eastAsia" w:ascii="仿宋_GB2312" w:hAnsi="仿宋_GB2312" w:eastAsia="仿宋_GB2312" w:cs="仿宋_GB2312"/>
          <w:spacing w:val="-1"/>
          <w:sz w:val="32"/>
          <w:szCs w:val="32"/>
        </w:rPr>
        <w:t>确定各指标的目标值，同时按照</w:t>
      </w:r>
      <w:r>
        <w:rPr>
          <w:rFonts w:hint="eastAsia" w:ascii="仿宋_GB2312" w:hAnsi="仿宋_GB2312" w:eastAsia="仿宋_GB2312" w:cs="仿宋_GB2312"/>
          <w:color w:val="333333"/>
          <w:spacing w:val="-1"/>
          <w:sz w:val="32"/>
          <w:szCs w:val="32"/>
        </w:rPr>
        <w:t>《中共新余市委</w:t>
      </w:r>
      <w:r>
        <w:rPr>
          <w:rFonts w:hint="eastAsia" w:ascii="仿宋_GB2312" w:hAnsi="仿宋_GB2312" w:eastAsia="仿宋_GB2312" w:cs="仿宋_GB2312"/>
          <w:color w:val="333333"/>
          <w:spacing w:val="-2"/>
          <w:sz w:val="32"/>
          <w:szCs w:val="32"/>
        </w:rPr>
        <w:t>新余市人民</w:t>
      </w:r>
      <w:r>
        <w:rPr>
          <w:rFonts w:hint="eastAsia" w:ascii="仿宋_GB2312" w:hAnsi="仿宋_GB2312" w:eastAsia="仿宋_GB2312" w:cs="仿宋_GB2312"/>
          <w:color w:val="333333"/>
          <w:spacing w:val="-4"/>
          <w:sz w:val="32"/>
          <w:szCs w:val="32"/>
        </w:rPr>
        <w:t>政府关于全面实施预算绩效管理的实施意见》（余发</w:t>
      </w:r>
      <w:r>
        <w:rPr>
          <w:rFonts w:hint="eastAsia" w:ascii="仿宋_GB2312" w:hAnsi="仿宋_GB2312" w:eastAsia="仿宋_GB2312" w:cs="仿宋_GB2312"/>
          <w:color w:val="333333"/>
          <w:spacing w:val="-4"/>
          <w:sz w:val="32"/>
          <w:szCs w:val="32"/>
          <w:lang w:eastAsia="zh-CN"/>
        </w:rPr>
        <w:t>〔2019〕17号</w:t>
      </w:r>
      <w:r>
        <w:rPr>
          <w:rFonts w:hint="eastAsia" w:ascii="仿宋_GB2312" w:hAnsi="仿宋_GB2312" w:eastAsia="仿宋_GB2312" w:cs="仿宋_GB2312"/>
          <w:color w:val="333333"/>
          <w:spacing w:val="-4"/>
          <w:sz w:val="32"/>
          <w:szCs w:val="32"/>
        </w:rPr>
        <w:t>）和新余市财政局关于印发《推进全市预算</w:t>
      </w:r>
      <w:r>
        <w:rPr>
          <w:rFonts w:hint="eastAsia" w:ascii="仿宋_GB2312" w:hAnsi="仿宋_GB2312" w:eastAsia="仿宋_GB2312" w:cs="仿宋_GB2312"/>
          <w:color w:val="333333"/>
          <w:spacing w:val="-5"/>
          <w:sz w:val="32"/>
          <w:szCs w:val="32"/>
        </w:rPr>
        <w:t>绩效管理提质增效</w:t>
      </w:r>
      <w:r>
        <w:rPr>
          <w:rFonts w:hint="eastAsia" w:ascii="仿宋_GB2312" w:hAnsi="仿宋_GB2312" w:eastAsia="仿宋_GB2312" w:cs="仿宋_GB2312"/>
          <w:color w:val="333333"/>
          <w:spacing w:val="-2"/>
          <w:sz w:val="32"/>
          <w:szCs w:val="32"/>
        </w:rPr>
        <w:t>工作方案》（余财监</w:t>
      </w:r>
      <w:r>
        <w:rPr>
          <w:rFonts w:hint="eastAsia" w:ascii="仿宋_GB2312" w:hAnsi="仿宋_GB2312" w:eastAsia="仿宋_GB2312" w:cs="仿宋_GB2312"/>
          <w:color w:val="333333"/>
          <w:spacing w:val="-2"/>
          <w:sz w:val="32"/>
          <w:szCs w:val="32"/>
          <w:lang w:eastAsia="zh-CN"/>
        </w:rPr>
        <w:t>〔2022〕15号</w:t>
      </w:r>
      <w:r>
        <w:rPr>
          <w:rFonts w:hint="eastAsia" w:ascii="仿宋_GB2312" w:hAnsi="仿宋_GB2312" w:eastAsia="仿宋_GB2312" w:cs="仿宋_GB2312"/>
          <w:color w:val="333333"/>
          <w:spacing w:val="-2"/>
          <w:sz w:val="32"/>
          <w:szCs w:val="32"/>
        </w:rPr>
        <w:t>）</w:t>
      </w:r>
      <w:r>
        <w:rPr>
          <w:rFonts w:hint="eastAsia" w:ascii="仿宋_GB2312" w:hAnsi="仿宋_GB2312" w:eastAsia="仿宋_GB2312" w:cs="仿宋_GB2312"/>
          <w:spacing w:val="-2"/>
          <w:sz w:val="32"/>
          <w:szCs w:val="32"/>
        </w:rPr>
        <w:t>文件的要求，配以相应的</w:t>
      </w:r>
      <w:r>
        <w:rPr>
          <w:rFonts w:hint="eastAsia" w:ascii="仿宋_GB2312" w:hAnsi="仿宋_GB2312" w:eastAsia="仿宋_GB2312" w:cs="仿宋_GB2312"/>
          <w:spacing w:val="-1"/>
          <w:sz w:val="32"/>
          <w:szCs w:val="32"/>
        </w:rPr>
        <w:t>权重，设计分层次的评分标准，力求做到科学合理。</w:t>
      </w:r>
    </w:p>
    <w:p w14:paraId="529F4D8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39"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1"/>
          <w:sz w:val="32"/>
          <w:szCs w:val="32"/>
        </w:rPr>
        <w:t>（三）绩效评价工作过程</w:t>
      </w:r>
    </w:p>
    <w:p w14:paraId="7ED25306">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76"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spacing w:val="9"/>
          <w:sz w:val="32"/>
          <w:szCs w:val="32"/>
        </w:rPr>
        <w:t>根据项目预算绩效评价工作的要求，我局成立了</w:t>
      </w:r>
      <w:r>
        <w:rPr>
          <w:rFonts w:hint="eastAsia" w:ascii="仿宋_GB2312" w:hAnsi="仿宋_GB2312" w:eastAsia="仿宋_GB2312" w:cs="仿宋_GB2312"/>
          <w:color w:val="333333"/>
          <w:spacing w:val="8"/>
          <w:sz w:val="32"/>
          <w:szCs w:val="32"/>
        </w:rPr>
        <w:t>项目支</w:t>
      </w:r>
      <w:r>
        <w:rPr>
          <w:rFonts w:hint="eastAsia" w:ascii="仿宋_GB2312" w:hAnsi="仿宋_GB2312" w:eastAsia="仿宋_GB2312" w:cs="仿宋_GB2312"/>
          <w:color w:val="333333"/>
          <w:spacing w:val="7"/>
          <w:sz w:val="32"/>
          <w:szCs w:val="32"/>
        </w:rPr>
        <w:t>出绩效评价工作领导小组，集中力量对</w:t>
      </w:r>
      <w:r>
        <w:rPr>
          <w:rFonts w:hint="eastAsia" w:ascii="仿宋_GB2312" w:hAnsi="仿宋_GB2312" w:eastAsia="仿宋_GB2312" w:cs="仿宋_GB2312"/>
          <w:color w:val="333333"/>
          <w:spacing w:val="7"/>
          <w:sz w:val="32"/>
          <w:szCs w:val="32"/>
          <w:lang w:eastAsia="zh-CN"/>
        </w:rPr>
        <w:t>2024</w:t>
      </w:r>
      <w:r>
        <w:rPr>
          <w:rFonts w:hint="eastAsia" w:ascii="仿宋_GB2312" w:hAnsi="仿宋_GB2312" w:eastAsia="仿宋_GB2312" w:cs="仿宋_GB2312"/>
          <w:color w:val="333333"/>
          <w:spacing w:val="7"/>
          <w:sz w:val="32"/>
          <w:szCs w:val="32"/>
        </w:rPr>
        <w:t>年的各项目工</w:t>
      </w:r>
      <w:r>
        <w:rPr>
          <w:rFonts w:hint="eastAsia" w:ascii="仿宋_GB2312" w:hAnsi="仿宋_GB2312" w:eastAsia="仿宋_GB2312" w:cs="仿宋_GB2312"/>
          <w:color w:val="333333"/>
          <w:spacing w:val="9"/>
          <w:sz w:val="32"/>
          <w:szCs w:val="32"/>
        </w:rPr>
        <w:t>作完成情况进行了梳理评价。在评价过程中，结合单</w:t>
      </w:r>
      <w:r>
        <w:rPr>
          <w:rFonts w:hint="eastAsia" w:ascii="仿宋_GB2312" w:hAnsi="仿宋_GB2312" w:eastAsia="仿宋_GB2312" w:cs="仿宋_GB2312"/>
          <w:color w:val="333333"/>
          <w:spacing w:val="8"/>
          <w:sz w:val="32"/>
          <w:szCs w:val="32"/>
        </w:rPr>
        <w:t>位的实</w:t>
      </w:r>
      <w:r>
        <w:rPr>
          <w:rFonts w:hint="eastAsia" w:ascii="仿宋_GB2312" w:hAnsi="仿宋_GB2312" w:eastAsia="仿宋_GB2312" w:cs="仿宋_GB2312"/>
          <w:color w:val="333333"/>
          <w:spacing w:val="9"/>
          <w:sz w:val="32"/>
          <w:szCs w:val="32"/>
        </w:rPr>
        <w:t>际情况，组织各相关项目实施单位，听取了绩</w:t>
      </w:r>
      <w:r>
        <w:rPr>
          <w:rFonts w:hint="eastAsia" w:ascii="仿宋_GB2312" w:hAnsi="仿宋_GB2312" w:eastAsia="仿宋_GB2312" w:cs="仿宋_GB2312"/>
          <w:color w:val="333333"/>
          <w:spacing w:val="8"/>
          <w:sz w:val="32"/>
          <w:szCs w:val="32"/>
        </w:rPr>
        <w:t>效评价工作开</w:t>
      </w:r>
      <w:r>
        <w:rPr>
          <w:rFonts w:hint="eastAsia" w:ascii="仿宋_GB2312" w:hAnsi="仿宋_GB2312" w:eastAsia="仿宋_GB2312" w:cs="仿宋_GB2312"/>
          <w:color w:val="333333"/>
          <w:spacing w:val="9"/>
          <w:sz w:val="32"/>
          <w:szCs w:val="32"/>
        </w:rPr>
        <w:t>展情况的介绍，针对各项目实施过程中存在的</w:t>
      </w:r>
      <w:r>
        <w:rPr>
          <w:rFonts w:hint="eastAsia" w:ascii="仿宋_GB2312" w:hAnsi="仿宋_GB2312" w:eastAsia="仿宋_GB2312" w:cs="仿宋_GB2312"/>
          <w:color w:val="333333"/>
          <w:spacing w:val="8"/>
          <w:sz w:val="32"/>
          <w:szCs w:val="32"/>
        </w:rPr>
        <w:t>问题开展了认</w:t>
      </w:r>
      <w:r>
        <w:rPr>
          <w:rFonts w:hint="eastAsia" w:ascii="仿宋_GB2312" w:hAnsi="仿宋_GB2312" w:eastAsia="仿宋_GB2312" w:cs="仿宋_GB2312"/>
          <w:color w:val="333333"/>
          <w:sz w:val="32"/>
          <w:szCs w:val="32"/>
        </w:rPr>
        <w:t>真</w:t>
      </w:r>
      <w:r>
        <w:rPr>
          <w:rFonts w:hint="eastAsia" w:ascii="仿宋_GB2312" w:hAnsi="仿宋_GB2312" w:eastAsia="仿宋_GB2312" w:cs="仿宋_GB2312"/>
          <w:color w:val="333333"/>
          <w:sz w:val="32"/>
          <w:szCs w:val="32"/>
          <w:lang w:eastAsia="zh-CN"/>
        </w:rPr>
        <w:t>地</w:t>
      </w:r>
      <w:r>
        <w:rPr>
          <w:rFonts w:hint="eastAsia" w:ascii="仿宋_GB2312" w:hAnsi="仿宋_GB2312" w:eastAsia="仿宋_GB2312" w:cs="仿宋_GB2312"/>
          <w:color w:val="333333"/>
          <w:sz w:val="32"/>
          <w:szCs w:val="32"/>
        </w:rPr>
        <w:t>分析，并对会计记录、财务报表及财务资料进行了整理，</w:t>
      </w:r>
      <w:r>
        <w:rPr>
          <w:rFonts w:hint="eastAsia" w:ascii="仿宋_GB2312" w:hAnsi="仿宋_GB2312" w:eastAsia="仿宋_GB2312" w:cs="仿宋_GB2312"/>
          <w:color w:val="333333"/>
          <w:spacing w:val="8"/>
          <w:sz w:val="32"/>
          <w:szCs w:val="32"/>
        </w:rPr>
        <w:t>取得了项目绩效评价工作的一手数据资料。</w:t>
      </w:r>
    </w:p>
    <w:p w14:paraId="31A5C5B4">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3" w:firstLineChars="200"/>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b/>
          <w:bCs/>
          <w:color w:val="333333"/>
          <w:spacing w:val="-5"/>
          <w:sz w:val="32"/>
          <w:szCs w:val="32"/>
        </w:rPr>
        <w:t>三、综合评价情况及评价结论</w:t>
      </w:r>
    </w:p>
    <w:p w14:paraId="020DA58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本次评价的指标分为项目决策、项目过程、项目产出</w:t>
      </w:r>
      <w:r>
        <w:rPr>
          <w:rFonts w:hint="eastAsia" w:ascii="仿宋_GB2312" w:hAnsi="仿宋_GB2312" w:eastAsia="仿宋_GB2312" w:cs="仿宋_GB2312"/>
          <w:spacing w:val="-5"/>
          <w:sz w:val="32"/>
          <w:szCs w:val="32"/>
        </w:rPr>
        <w:t>、项目</w:t>
      </w:r>
      <w:r>
        <w:rPr>
          <w:rFonts w:hint="eastAsia" w:ascii="仿宋_GB2312" w:hAnsi="仿宋_GB2312" w:eastAsia="仿宋_GB2312" w:cs="仿宋_GB2312"/>
          <w:spacing w:val="-3"/>
          <w:sz w:val="32"/>
          <w:szCs w:val="32"/>
        </w:rPr>
        <w:t>效益四个部分，满分100分，评价得分为96.73分，评价等级</w:t>
      </w:r>
      <w:r>
        <w:rPr>
          <w:rFonts w:hint="eastAsia" w:ascii="仿宋_GB2312" w:hAnsi="仿宋_GB2312" w:eastAsia="仿宋_GB2312" w:cs="仿宋_GB2312"/>
          <w:spacing w:val="-19"/>
          <w:sz w:val="32"/>
          <w:szCs w:val="32"/>
        </w:rPr>
        <w:t>为“优”（绩效得分90分以上为“优”，</w:t>
      </w:r>
      <w:r>
        <w:rPr>
          <w:rFonts w:hint="eastAsia" w:ascii="仿宋_GB2312" w:hAnsi="仿宋_GB2312" w:eastAsia="仿宋_GB2312" w:cs="仿宋_GB2312"/>
          <w:spacing w:val="-20"/>
          <w:sz w:val="32"/>
          <w:szCs w:val="32"/>
        </w:rPr>
        <w:t>75分-90分为“良”，</w:t>
      </w:r>
      <w:r>
        <w:rPr>
          <w:rFonts w:hint="eastAsia" w:ascii="仿宋_GB2312" w:hAnsi="仿宋_GB2312" w:eastAsia="仿宋_GB2312" w:cs="仿宋_GB2312"/>
          <w:spacing w:val="-3"/>
          <w:sz w:val="32"/>
          <w:szCs w:val="32"/>
        </w:rPr>
        <w:t>60-75分为“中”，60分以下为“差”）。</w:t>
      </w:r>
    </w:p>
    <w:p w14:paraId="721742FD">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城管局</w:t>
      </w:r>
      <w:r>
        <w:rPr>
          <w:rFonts w:hint="eastAsia" w:ascii="仿宋_GB2312" w:hAnsi="仿宋_GB2312" w:eastAsia="仿宋_GB2312" w:cs="仿宋_GB2312"/>
          <w:spacing w:val="-3"/>
          <w:sz w:val="32"/>
          <w:szCs w:val="32"/>
          <w:lang w:eastAsia="zh-CN"/>
        </w:rPr>
        <w:t>2024</w:t>
      </w:r>
      <w:r>
        <w:rPr>
          <w:rFonts w:hint="eastAsia" w:ascii="仿宋_GB2312" w:hAnsi="仿宋_GB2312" w:eastAsia="仿宋_GB2312" w:cs="仿宋_GB2312"/>
          <w:spacing w:val="-3"/>
          <w:sz w:val="32"/>
          <w:szCs w:val="32"/>
        </w:rPr>
        <w:t>年项目绩效自评得分情况表</w:t>
      </w:r>
    </w:p>
    <w:tbl>
      <w:tblPr>
        <w:tblStyle w:val="7"/>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33"/>
        <w:gridCol w:w="2129"/>
        <w:gridCol w:w="2130"/>
        <w:gridCol w:w="2134"/>
      </w:tblGrid>
      <w:tr w14:paraId="55CE55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2133" w:type="dxa"/>
            <w:vAlign w:val="top"/>
          </w:tcPr>
          <w:p w14:paraId="385A56A3">
            <w:pPr>
              <w:pStyle w:val="6"/>
              <w:keepNext w:val="0"/>
              <w:keepLines w:val="0"/>
              <w:pageBreakBefore w:val="0"/>
              <w:widowControl/>
              <w:kinsoku w:val="0"/>
              <w:wordWrap/>
              <w:overflowPunct/>
              <w:topLinePunct w:val="0"/>
              <w:autoSpaceDE w:val="0"/>
              <w:autoSpaceDN w:val="0"/>
              <w:bidi w:val="0"/>
              <w:adjustRightInd w:val="0"/>
              <w:snapToGrid w:val="0"/>
              <w:spacing w:before="168"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7"/>
                <w:sz w:val="32"/>
                <w:szCs w:val="32"/>
              </w:rPr>
              <w:t>指标类型</w:t>
            </w:r>
          </w:p>
        </w:tc>
        <w:tc>
          <w:tcPr>
            <w:tcW w:w="2129" w:type="dxa"/>
            <w:vAlign w:val="top"/>
          </w:tcPr>
          <w:p w14:paraId="31CC37E6">
            <w:pPr>
              <w:pStyle w:val="6"/>
              <w:keepNext w:val="0"/>
              <w:keepLines w:val="0"/>
              <w:pageBreakBefore w:val="0"/>
              <w:widowControl/>
              <w:kinsoku w:val="0"/>
              <w:wordWrap/>
              <w:overflowPunct/>
              <w:topLinePunct w:val="0"/>
              <w:autoSpaceDE w:val="0"/>
              <w:autoSpaceDN w:val="0"/>
              <w:bidi w:val="0"/>
              <w:adjustRightInd w:val="0"/>
              <w:snapToGrid w:val="0"/>
              <w:spacing w:before="169"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13"/>
                <w:sz w:val="32"/>
                <w:szCs w:val="32"/>
              </w:rPr>
              <w:t>权重</w:t>
            </w:r>
          </w:p>
        </w:tc>
        <w:tc>
          <w:tcPr>
            <w:tcW w:w="2130" w:type="dxa"/>
            <w:vAlign w:val="top"/>
          </w:tcPr>
          <w:p w14:paraId="3A1BD1FB">
            <w:pPr>
              <w:pStyle w:val="6"/>
              <w:keepNext w:val="0"/>
              <w:keepLines w:val="0"/>
              <w:pageBreakBefore w:val="0"/>
              <w:widowControl/>
              <w:kinsoku w:val="0"/>
              <w:wordWrap/>
              <w:overflowPunct/>
              <w:topLinePunct w:val="0"/>
              <w:autoSpaceDE w:val="0"/>
              <w:autoSpaceDN w:val="0"/>
              <w:bidi w:val="0"/>
              <w:adjustRightInd w:val="0"/>
              <w:snapToGrid w:val="0"/>
              <w:spacing w:before="169"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12"/>
                <w:sz w:val="32"/>
                <w:szCs w:val="32"/>
              </w:rPr>
              <w:t>得分</w:t>
            </w:r>
          </w:p>
        </w:tc>
        <w:tc>
          <w:tcPr>
            <w:tcW w:w="2134" w:type="dxa"/>
            <w:vAlign w:val="top"/>
          </w:tcPr>
          <w:p w14:paraId="0C855C14">
            <w:pPr>
              <w:pStyle w:val="6"/>
              <w:keepNext w:val="0"/>
              <w:keepLines w:val="0"/>
              <w:pageBreakBefore w:val="0"/>
              <w:widowControl/>
              <w:kinsoku w:val="0"/>
              <w:wordWrap/>
              <w:overflowPunct/>
              <w:topLinePunct w:val="0"/>
              <w:autoSpaceDE w:val="0"/>
              <w:autoSpaceDN w:val="0"/>
              <w:bidi w:val="0"/>
              <w:adjustRightInd w:val="0"/>
              <w:snapToGrid w:val="0"/>
              <w:spacing w:before="168"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8"/>
                <w:sz w:val="32"/>
                <w:szCs w:val="32"/>
              </w:rPr>
              <w:t>得分率</w:t>
            </w:r>
          </w:p>
        </w:tc>
      </w:tr>
      <w:tr w14:paraId="59462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133" w:type="dxa"/>
            <w:vAlign w:val="top"/>
          </w:tcPr>
          <w:p w14:paraId="7886B77C">
            <w:pPr>
              <w:pStyle w:val="6"/>
              <w:keepNext w:val="0"/>
              <w:keepLines w:val="0"/>
              <w:pageBreakBefore w:val="0"/>
              <w:widowControl/>
              <w:kinsoku w:val="0"/>
              <w:wordWrap/>
              <w:overflowPunct/>
              <w:topLinePunct w:val="0"/>
              <w:autoSpaceDE w:val="0"/>
              <w:autoSpaceDN w:val="0"/>
              <w:bidi w:val="0"/>
              <w:adjustRightInd w:val="0"/>
              <w:snapToGrid w:val="0"/>
              <w:spacing w:before="165"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决策类指标</w:t>
            </w:r>
          </w:p>
        </w:tc>
        <w:tc>
          <w:tcPr>
            <w:tcW w:w="2129" w:type="dxa"/>
            <w:vAlign w:val="top"/>
          </w:tcPr>
          <w:p w14:paraId="0883AB80">
            <w:pPr>
              <w:pStyle w:val="6"/>
              <w:keepNext w:val="0"/>
              <w:keepLines w:val="0"/>
              <w:pageBreakBefore w:val="0"/>
              <w:widowControl/>
              <w:kinsoku w:val="0"/>
              <w:wordWrap/>
              <w:overflowPunct/>
              <w:topLinePunct w:val="0"/>
              <w:autoSpaceDE w:val="0"/>
              <w:autoSpaceDN w:val="0"/>
              <w:bidi w:val="0"/>
              <w:adjustRightInd w:val="0"/>
              <w:snapToGrid w:val="0"/>
              <w:spacing w:before="203"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20</w:t>
            </w:r>
          </w:p>
        </w:tc>
        <w:tc>
          <w:tcPr>
            <w:tcW w:w="2130" w:type="dxa"/>
            <w:vAlign w:val="top"/>
          </w:tcPr>
          <w:p w14:paraId="73FE469A">
            <w:pPr>
              <w:pStyle w:val="6"/>
              <w:keepNext w:val="0"/>
              <w:keepLines w:val="0"/>
              <w:pageBreakBefore w:val="0"/>
              <w:widowControl/>
              <w:kinsoku w:val="0"/>
              <w:wordWrap/>
              <w:overflowPunct/>
              <w:topLinePunct w:val="0"/>
              <w:autoSpaceDE w:val="0"/>
              <w:autoSpaceDN w:val="0"/>
              <w:bidi w:val="0"/>
              <w:adjustRightInd w:val="0"/>
              <w:snapToGrid w:val="0"/>
              <w:spacing w:before="203"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20</w:t>
            </w:r>
          </w:p>
        </w:tc>
        <w:tc>
          <w:tcPr>
            <w:tcW w:w="2134" w:type="dxa"/>
            <w:vAlign w:val="top"/>
          </w:tcPr>
          <w:p w14:paraId="15428581">
            <w:pPr>
              <w:pStyle w:val="6"/>
              <w:keepNext w:val="0"/>
              <w:keepLines w:val="0"/>
              <w:pageBreakBefore w:val="0"/>
              <w:widowControl/>
              <w:kinsoku w:val="0"/>
              <w:wordWrap/>
              <w:overflowPunct/>
              <w:topLinePunct w:val="0"/>
              <w:autoSpaceDE w:val="0"/>
              <w:autoSpaceDN w:val="0"/>
              <w:bidi w:val="0"/>
              <w:adjustRightInd w:val="0"/>
              <w:snapToGrid w:val="0"/>
              <w:spacing w:before="165"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100%</w:t>
            </w:r>
          </w:p>
        </w:tc>
      </w:tr>
      <w:tr w14:paraId="03A8D6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133" w:type="dxa"/>
            <w:vAlign w:val="top"/>
          </w:tcPr>
          <w:p w14:paraId="6AF651A9">
            <w:pPr>
              <w:pStyle w:val="6"/>
              <w:keepNext w:val="0"/>
              <w:keepLines w:val="0"/>
              <w:pageBreakBefore w:val="0"/>
              <w:widowControl/>
              <w:kinsoku w:val="0"/>
              <w:wordWrap/>
              <w:overflowPunct/>
              <w:topLinePunct w:val="0"/>
              <w:autoSpaceDE w:val="0"/>
              <w:autoSpaceDN w:val="0"/>
              <w:bidi w:val="0"/>
              <w:adjustRightInd w:val="0"/>
              <w:snapToGrid w:val="0"/>
              <w:spacing w:before="166"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过程类指标</w:t>
            </w:r>
          </w:p>
        </w:tc>
        <w:tc>
          <w:tcPr>
            <w:tcW w:w="2129" w:type="dxa"/>
            <w:vAlign w:val="top"/>
          </w:tcPr>
          <w:p w14:paraId="3B82E25B">
            <w:pPr>
              <w:pStyle w:val="6"/>
              <w:keepNext w:val="0"/>
              <w:keepLines w:val="0"/>
              <w:pageBreakBefore w:val="0"/>
              <w:widowControl/>
              <w:kinsoku w:val="0"/>
              <w:wordWrap/>
              <w:overflowPunct/>
              <w:topLinePunct w:val="0"/>
              <w:autoSpaceDE w:val="0"/>
              <w:autoSpaceDN w:val="0"/>
              <w:bidi w:val="0"/>
              <w:adjustRightInd w:val="0"/>
              <w:snapToGrid w:val="0"/>
              <w:spacing w:before="204"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25</w:t>
            </w:r>
          </w:p>
        </w:tc>
        <w:tc>
          <w:tcPr>
            <w:tcW w:w="2130" w:type="dxa"/>
            <w:vAlign w:val="top"/>
          </w:tcPr>
          <w:p w14:paraId="671EADE3">
            <w:pPr>
              <w:pStyle w:val="6"/>
              <w:keepNext w:val="0"/>
              <w:keepLines w:val="0"/>
              <w:pageBreakBefore w:val="0"/>
              <w:widowControl/>
              <w:kinsoku w:val="0"/>
              <w:wordWrap/>
              <w:overflowPunct/>
              <w:topLinePunct w:val="0"/>
              <w:autoSpaceDE w:val="0"/>
              <w:autoSpaceDN w:val="0"/>
              <w:bidi w:val="0"/>
              <w:adjustRightInd w:val="0"/>
              <w:snapToGrid w:val="0"/>
              <w:spacing w:before="204"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24.16</w:t>
            </w:r>
          </w:p>
        </w:tc>
        <w:tc>
          <w:tcPr>
            <w:tcW w:w="2134" w:type="dxa"/>
            <w:vAlign w:val="top"/>
          </w:tcPr>
          <w:p w14:paraId="0414E6A7">
            <w:pPr>
              <w:pStyle w:val="6"/>
              <w:keepNext w:val="0"/>
              <w:keepLines w:val="0"/>
              <w:pageBreakBefore w:val="0"/>
              <w:widowControl/>
              <w:kinsoku w:val="0"/>
              <w:wordWrap/>
              <w:overflowPunct/>
              <w:topLinePunct w:val="0"/>
              <w:autoSpaceDE w:val="0"/>
              <w:autoSpaceDN w:val="0"/>
              <w:bidi w:val="0"/>
              <w:adjustRightInd w:val="0"/>
              <w:snapToGrid w:val="0"/>
              <w:spacing w:before="166"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96.64%</w:t>
            </w:r>
          </w:p>
        </w:tc>
      </w:tr>
      <w:tr w14:paraId="4134A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2133" w:type="dxa"/>
            <w:vAlign w:val="top"/>
          </w:tcPr>
          <w:p w14:paraId="4207FB6F">
            <w:pPr>
              <w:pStyle w:val="6"/>
              <w:keepNext w:val="0"/>
              <w:keepLines w:val="0"/>
              <w:pageBreakBefore w:val="0"/>
              <w:widowControl/>
              <w:kinsoku w:val="0"/>
              <w:wordWrap/>
              <w:overflowPunct/>
              <w:topLinePunct w:val="0"/>
              <w:autoSpaceDE w:val="0"/>
              <w:autoSpaceDN w:val="0"/>
              <w:bidi w:val="0"/>
              <w:adjustRightInd w:val="0"/>
              <w:snapToGrid w:val="0"/>
              <w:spacing w:before="166"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产出类指标</w:t>
            </w:r>
          </w:p>
        </w:tc>
        <w:tc>
          <w:tcPr>
            <w:tcW w:w="2129" w:type="dxa"/>
            <w:vAlign w:val="top"/>
          </w:tcPr>
          <w:p w14:paraId="42B9E924">
            <w:pPr>
              <w:pStyle w:val="6"/>
              <w:keepNext w:val="0"/>
              <w:keepLines w:val="0"/>
              <w:pageBreakBefore w:val="0"/>
              <w:widowControl/>
              <w:kinsoku w:val="0"/>
              <w:wordWrap/>
              <w:overflowPunct/>
              <w:topLinePunct w:val="0"/>
              <w:autoSpaceDE w:val="0"/>
              <w:autoSpaceDN w:val="0"/>
              <w:bidi w:val="0"/>
              <w:adjustRightInd w:val="0"/>
              <w:snapToGrid w:val="0"/>
              <w:spacing w:before="205"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7"/>
                <w:sz w:val="32"/>
                <w:szCs w:val="32"/>
              </w:rPr>
              <w:t>30</w:t>
            </w:r>
          </w:p>
        </w:tc>
        <w:tc>
          <w:tcPr>
            <w:tcW w:w="2130" w:type="dxa"/>
            <w:vAlign w:val="top"/>
          </w:tcPr>
          <w:p w14:paraId="11AF66DF">
            <w:pPr>
              <w:pStyle w:val="6"/>
              <w:keepNext w:val="0"/>
              <w:keepLines w:val="0"/>
              <w:pageBreakBefore w:val="0"/>
              <w:widowControl/>
              <w:kinsoku w:val="0"/>
              <w:wordWrap/>
              <w:overflowPunct/>
              <w:topLinePunct w:val="0"/>
              <w:autoSpaceDE w:val="0"/>
              <w:autoSpaceDN w:val="0"/>
              <w:bidi w:val="0"/>
              <w:adjustRightInd w:val="0"/>
              <w:snapToGrid w:val="0"/>
              <w:spacing w:before="204"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29.4</w:t>
            </w:r>
          </w:p>
        </w:tc>
        <w:tc>
          <w:tcPr>
            <w:tcW w:w="2134" w:type="dxa"/>
            <w:vAlign w:val="top"/>
          </w:tcPr>
          <w:p w14:paraId="4364C52B">
            <w:pPr>
              <w:pStyle w:val="6"/>
              <w:keepNext w:val="0"/>
              <w:keepLines w:val="0"/>
              <w:pageBreakBefore w:val="0"/>
              <w:widowControl/>
              <w:kinsoku w:val="0"/>
              <w:wordWrap/>
              <w:overflowPunct/>
              <w:topLinePunct w:val="0"/>
              <w:autoSpaceDE w:val="0"/>
              <w:autoSpaceDN w:val="0"/>
              <w:bidi w:val="0"/>
              <w:adjustRightInd w:val="0"/>
              <w:snapToGrid w:val="0"/>
              <w:spacing w:before="166"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98%</w:t>
            </w:r>
          </w:p>
        </w:tc>
      </w:tr>
      <w:tr w14:paraId="5093B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2133" w:type="dxa"/>
            <w:vAlign w:val="top"/>
          </w:tcPr>
          <w:p w14:paraId="5726FC59">
            <w:pPr>
              <w:pStyle w:val="6"/>
              <w:keepNext w:val="0"/>
              <w:keepLines w:val="0"/>
              <w:pageBreakBefore w:val="0"/>
              <w:widowControl/>
              <w:kinsoku w:val="0"/>
              <w:wordWrap/>
              <w:overflowPunct/>
              <w:topLinePunct w:val="0"/>
              <w:autoSpaceDE w:val="0"/>
              <w:autoSpaceDN w:val="0"/>
              <w:bidi w:val="0"/>
              <w:adjustRightInd w:val="0"/>
              <w:snapToGrid w:val="0"/>
              <w:spacing w:before="167"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效益类指标</w:t>
            </w:r>
          </w:p>
        </w:tc>
        <w:tc>
          <w:tcPr>
            <w:tcW w:w="2129" w:type="dxa"/>
            <w:vAlign w:val="top"/>
          </w:tcPr>
          <w:p w14:paraId="330A08F6">
            <w:pPr>
              <w:pStyle w:val="6"/>
              <w:keepNext w:val="0"/>
              <w:keepLines w:val="0"/>
              <w:pageBreakBefore w:val="0"/>
              <w:widowControl/>
              <w:kinsoku w:val="0"/>
              <w:wordWrap/>
              <w:overflowPunct/>
              <w:topLinePunct w:val="0"/>
              <w:autoSpaceDE w:val="0"/>
              <w:autoSpaceDN w:val="0"/>
              <w:bidi w:val="0"/>
              <w:adjustRightInd w:val="0"/>
              <w:snapToGrid w:val="0"/>
              <w:spacing w:before="205"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25</w:t>
            </w:r>
          </w:p>
        </w:tc>
        <w:tc>
          <w:tcPr>
            <w:tcW w:w="2130" w:type="dxa"/>
            <w:vAlign w:val="top"/>
          </w:tcPr>
          <w:p w14:paraId="03D83168">
            <w:pPr>
              <w:pStyle w:val="6"/>
              <w:keepNext w:val="0"/>
              <w:keepLines w:val="0"/>
              <w:pageBreakBefore w:val="0"/>
              <w:widowControl/>
              <w:kinsoku w:val="0"/>
              <w:wordWrap/>
              <w:overflowPunct/>
              <w:topLinePunct w:val="0"/>
              <w:autoSpaceDE w:val="0"/>
              <w:autoSpaceDN w:val="0"/>
              <w:bidi w:val="0"/>
              <w:adjustRightInd w:val="0"/>
              <w:snapToGrid w:val="0"/>
              <w:spacing w:before="205"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23.54</w:t>
            </w:r>
          </w:p>
        </w:tc>
        <w:tc>
          <w:tcPr>
            <w:tcW w:w="2134" w:type="dxa"/>
            <w:vAlign w:val="top"/>
          </w:tcPr>
          <w:p w14:paraId="58CA073A">
            <w:pPr>
              <w:pStyle w:val="6"/>
              <w:keepNext w:val="0"/>
              <w:keepLines w:val="0"/>
              <w:pageBreakBefore w:val="0"/>
              <w:widowControl/>
              <w:kinsoku w:val="0"/>
              <w:wordWrap/>
              <w:overflowPunct/>
              <w:topLinePunct w:val="0"/>
              <w:autoSpaceDE w:val="0"/>
              <w:autoSpaceDN w:val="0"/>
              <w:bidi w:val="0"/>
              <w:adjustRightInd w:val="0"/>
              <w:snapToGrid w:val="0"/>
              <w:spacing w:before="167"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94.16%</w:t>
            </w:r>
          </w:p>
        </w:tc>
      </w:tr>
      <w:tr w14:paraId="107C13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2133" w:type="dxa"/>
            <w:vAlign w:val="top"/>
          </w:tcPr>
          <w:p w14:paraId="6AB62D70">
            <w:pPr>
              <w:pStyle w:val="6"/>
              <w:keepNext w:val="0"/>
              <w:keepLines w:val="0"/>
              <w:pageBreakBefore w:val="0"/>
              <w:widowControl/>
              <w:kinsoku w:val="0"/>
              <w:wordWrap/>
              <w:overflowPunct/>
              <w:topLinePunct w:val="0"/>
              <w:autoSpaceDE w:val="0"/>
              <w:autoSpaceDN w:val="0"/>
              <w:bidi w:val="0"/>
              <w:adjustRightInd w:val="0"/>
              <w:snapToGrid w:val="0"/>
              <w:spacing w:before="168"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合计</w:t>
            </w:r>
          </w:p>
        </w:tc>
        <w:tc>
          <w:tcPr>
            <w:tcW w:w="2129" w:type="dxa"/>
            <w:vAlign w:val="top"/>
          </w:tcPr>
          <w:p w14:paraId="53CCC5F6">
            <w:pPr>
              <w:pStyle w:val="6"/>
              <w:keepNext w:val="0"/>
              <w:keepLines w:val="0"/>
              <w:pageBreakBefore w:val="0"/>
              <w:widowControl/>
              <w:kinsoku w:val="0"/>
              <w:wordWrap/>
              <w:overflowPunct/>
              <w:topLinePunct w:val="0"/>
              <w:autoSpaceDE w:val="0"/>
              <w:autoSpaceDN w:val="0"/>
              <w:bidi w:val="0"/>
              <w:adjustRightInd w:val="0"/>
              <w:snapToGrid w:val="0"/>
              <w:spacing w:before="207"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rPr>
              <w:t>100</w:t>
            </w:r>
          </w:p>
        </w:tc>
        <w:tc>
          <w:tcPr>
            <w:tcW w:w="2130" w:type="dxa"/>
            <w:vAlign w:val="top"/>
          </w:tcPr>
          <w:p w14:paraId="1F736E3B">
            <w:pPr>
              <w:pStyle w:val="6"/>
              <w:keepNext w:val="0"/>
              <w:keepLines w:val="0"/>
              <w:pageBreakBefore w:val="0"/>
              <w:widowControl/>
              <w:kinsoku w:val="0"/>
              <w:wordWrap/>
              <w:overflowPunct/>
              <w:topLinePunct w:val="0"/>
              <w:autoSpaceDE w:val="0"/>
              <w:autoSpaceDN w:val="0"/>
              <w:bidi w:val="0"/>
              <w:adjustRightInd w:val="0"/>
              <w:snapToGrid w:val="0"/>
              <w:spacing w:before="207"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3"/>
                <w:sz w:val="32"/>
                <w:szCs w:val="32"/>
              </w:rPr>
              <w:t>97</w:t>
            </w:r>
          </w:p>
        </w:tc>
        <w:tc>
          <w:tcPr>
            <w:tcW w:w="2134" w:type="dxa"/>
            <w:vAlign w:val="top"/>
          </w:tcPr>
          <w:p w14:paraId="04C66235">
            <w:pPr>
              <w:pStyle w:val="6"/>
              <w:keepNext w:val="0"/>
              <w:keepLines w:val="0"/>
              <w:pageBreakBefore w:val="0"/>
              <w:widowControl/>
              <w:kinsoku w:val="0"/>
              <w:wordWrap/>
              <w:overflowPunct/>
              <w:topLinePunct w:val="0"/>
              <w:autoSpaceDE w:val="0"/>
              <w:autoSpaceDN w:val="0"/>
              <w:bidi w:val="0"/>
              <w:adjustRightInd w:val="0"/>
              <w:snapToGrid w:val="0"/>
              <w:spacing w:before="168" w:line="600" w:lineRule="exact"/>
              <w:ind w:left="420"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97%</w:t>
            </w:r>
          </w:p>
        </w:tc>
      </w:tr>
    </w:tbl>
    <w:p w14:paraId="7DE3E62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15" w:firstLineChars="200"/>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pacing w:val="-7"/>
          <w:sz w:val="32"/>
          <w:szCs w:val="32"/>
        </w:rPr>
        <w:t>四、绩效评价指标分析</w:t>
      </w:r>
    </w:p>
    <w:p w14:paraId="662E65D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39"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1"/>
          <w:sz w:val="32"/>
          <w:szCs w:val="32"/>
        </w:rPr>
        <w:t>（一）项目决策情况</w:t>
      </w:r>
    </w:p>
    <w:p w14:paraId="4D80051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eastAsia="zh-CN"/>
        </w:rPr>
        <w:t>2024</w:t>
      </w:r>
      <w:r>
        <w:rPr>
          <w:rFonts w:hint="eastAsia" w:ascii="仿宋_GB2312" w:hAnsi="仿宋_GB2312" w:eastAsia="仿宋_GB2312" w:cs="仿宋_GB2312"/>
          <w:spacing w:val="-2"/>
          <w:sz w:val="32"/>
          <w:szCs w:val="32"/>
        </w:rPr>
        <w:t>年度所有项目</w:t>
      </w:r>
      <w:r>
        <w:rPr>
          <w:rFonts w:hint="eastAsia" w:ascii="仿宋_GB2312" w:hAnsi="仿宋_GB2312" w:eastAsia="仿宋_GB2312" w:cs="仿宋_GB2312"/>
          <w:spacing w:val="-2"/>
          <w:sz w:val="32"/>
          <w:szCs w:val="32"/>
          <w:lang w:eastAsia="zh-CN"/>
        </w:rPr>
        <w:t>主要用于</w:t>
      </w:r>
      <w:r>
        <w:rPr>
          <w:rFonts w:hint="eastAsia" w:ascii="仿宋_GB2312" w:hAnsi="仿宋_GB2312" w:eastAsia="仿宋_GB2312" w:cs="仿宋_GB2312"/>
          <w:spacing w:val="-2"/>
          <w:sz w:val="32"/>
          <w:szCs w:val="32"/>
        </w:rPr>
        <w:t>弥补行政运行</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1"/>
          <w:sz w:val="32"/>
          <w:szCs w:val="32"/>
        </w:rPr>
        <w:t>公用设施维护</w:t>
      </w:r>
      <w:r>
        <w:rPr>
          <w:rFonts w:hint="eastAsia" w:ascii="仿宋_GB2312" w:hAnsi="仿宋_GB2312" w:eastAsia="仿宋_GB2312" w:cs="仿宋_GB2312"/>
          <w:spacing w:val="-1"/>
          <w:sz w:val="32"/>
          <w:szCs w:val="32"/>
          <w:lang w:eastAsia="zh-CN"/>
        </w:rPr>
        <w:t>和</w:t>
      </w:r>
      <w:r>
        <w:rPr>
          <w:rFonts w:hint="eastAsia" w:ascii="仿宋_GB2312" w:hAnsi="仿宋_GB2312" w:eastAsia="仿宋_GB2312" w:cs="仿宋_GB2312"/>
          <w:spacing w:val="-1"/>
          <w:sz w:val="32"/>
          <w:szCs w:val="32"/>
        </w:rPr>
        <w:t>街道的</w:t>
      </w:r>
      <w:r>
        <w:rPr>
          <w:rFonts w:hint="eastAsia" w:ascii="仿宋_GB2312" w:hAnsi="仿宋_GB2312" w:eastAsia="仿宋_GB2312" w:cs="仿宋_GB2312"/>
          <w:spacing w:val="-2"/>
          <w:sz w:val="32"/>
          <w:szCs w:val="32"/>
        </w:rPr>
        <w:t>日常</w:t>
      </w:r>
      <w:r>
        <w:rPr>
          <w:rFonts w:hint="eastAsia" w:ascii="仿宋_GB2312" w:hAnsi="仿宋_GB2312" w:eastAsia="仿宋_GB2312" w:cs="仿宋_GB2312"/>
          <w:spacing w:val="-4"/>
          <w:sz w:val="32"/>
          <w:szCs w:val="32"/>
        </w:rPr>
        <w:t>维护管理经费，项目实施的依据</w:t>
      </w:r>
      <w:r>
        <w:rPr>
          <w:rFonts w:hint="eastAsia" w:ascii="仿宋_GB2312" w:hAnsi="仿宋_GB2312" w:eastAsia="仿宋_GB2312" w:cs="仿宋_GB2312"/>
          <w:spacing w:val="-4"/>
          <w:sz w:val="32"/>
          <w:szCs w:val="32"/>
          <w:lang w:eastAsia="zh-CN"/>
        </w:rPr>
        <w:t>充</w:t>
      </w:r>
      <w:r>
        <w:rPr>
          <w:rFonts w:hint="eastAsia" w:ascii="仿宋_GB2312" w:hAnsi="仿宋_GB2312" w:eastAsia="仿宋_GB2312" w:cs="仿宋_GB2312"/>
          <w:spacing w:val="-4"/>
          <w:sz w:val="32"/>
          <w:szCs w:val="32"/>
        </w:rPr>
        <w:t>分，程序合规，绩效目标合</w:t>
      </w:r>
      <w:r>
        <w:rPr>
          <w:rFonts w:hint="eastAsia" w:ascii="仿宋_GB2312" w:hAnsi="仿宋_GB2312" w:eastAsia="仿宋_GB2312" w:cs="仿宋_GB2312"/>
          <w:spacing w:val="-8"/>
          <w:sz w:val="32"/>
          <w:szCs w:val="32"/>
        </w:rPr>
        <w:t>理。</w:t>
      </w:r>
    </w:p>
    <w:p w14:paraId="1F324E6C">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39"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1"/>
          <w:sz w:val="32"/>
          <w:szCs w:val="32"/>
        </w:rPr>
        <w:t>（二）项目过程情况</w:t>
      </w:r>
    </w:p>
    <w:p w14:paraId="56DF1073">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项目在实施过程中，组织协调、职责分工和人员</w:t>
      </w:r>
      <w:r>
        <w:rPr>
          <w:rFonts w:hint="eastAsia" w:ascii="仿宋_GB2312" w:hAnsi="仿宋_GB2312" w:eastAsia="仿宋_GB2312" w:cs="仿宋_GB2312"/>
          <w:spacing w:val="-4"/>
          <w:sz w:val="32"/>
          <w:szCs w:val="32"/>
        </w:rPr>
        <w:t>管理合理。项目实施过程中经费支付及时，财务管理制度健全。项目完工验收标准、考核方式合规。资金到位及时性、预算执行率和资金使</w:t>
      </w:r>
      <w:r>
        <w:rPr>
          <w:rFonts w:hint="eastAsia" w:ascii="仿宋_GB2312" w:hAnsi="仿宋_GB2312" w:eastAsia="仿宋_GB2312" w:cs="仿宋_GB2312"/>
          <w:spacing w:val="-1"/>
          <w:sz w:val="32"/>
          <w:szCs w:val="32"/>
        </w:rPr>
        <w:t>用符合项目绩效管理有关规定。</w:t>
      </w:r>
    </w:p>
    <w:p w14:paraId="320A5CA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39"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1"/>
          <w:sz w:val="32"/>
          <w:szCs w:val="32"/>
        </w:rPr>
        <w:t>（三）项目产出情况</w:t>
      </w:r>
    </w:p>
    <w:p w14:paraId="6BFA2576">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项目产出数量设置符合城市管理工作实际，已</w:t>
      </w:r>
      <w:r>
        <w:rPr>
          <w:rFonts w:hint="eastAsia" w:ascii="仿宋_GB2312" w:hAnsi="仿宋_GB2312" w:eastAsia="仿宋_GB2312" w:cs="仿宋_GB2312"/>
          <w:spacing w:val="-5"/>
          <w:sz w:val="32"/>
          <w:szCs w:val="32"/>
        </w:rPr>
        <w:t>完工项目经考</w:t>
      </w:r>
      <w:r>
        <w:rPr>
          <w:rFonts w:hint="eastAsia" w:ascii="仿宋_GB2312" w:hAnsi="仿宋_GB2312" w:eastAsia="仿宋_GB2312" w:cs="仿宋_GB2312"/>
          <w:spacing w:val="-1"/>
          <w:sz w:val="32"/>
          <w:szCs w:val="32"/>
        </w:rPr>
        <w:t>核已全部实现预期目标。</w:t>
      </w:r>
    </w:p>
    <w:p w14:paraId="5582A34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39"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1"/>
          <w:sz w:val="32"/>
          <w:szCs w:val="32"/>
        </w:rPr>
        <w:t>（四）项目效益情况</w:t>
      </w:r>
    </w:p>
    <w:p w14:paraId="1ACBC176">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通过自评，</w:t>
      </w:r>
      <w:r>
        <w:rPr>
          <w:rFonts w:hint="eastAsia" w:ascii="仿宋_GB2312" w:hAnsi="仿宋_GB2312" w:eastAsia="仿宋_GB2312" w:cs="仿宋_GB2312"/>
          <w:spacing w:val="-3"/>
          <w:sz w:val="32"/>
          <w:szCs w:val="32"/>
          <w:lang w:eastAsia="zh-CN"/>
        </w:rPr>
        <w:t>2024</w:t>
      </w:r>
      <w:r>
        <w:rPr>
          <w:rFonts w:hint="eastAsia" w:ascii="仿宋_GB2312" w:hAnsi="仿宋_GB2312" w:eastAsia="仿宋_GB2312" w:cs="仿宋_GB2312"/>
          <w:spacing w:val="-3"/>
          <w:sz w:val="32"/>
          <w:szCs w:val="32"/>
        </w:rPr>
        <w:t>年市城管系统开展绩效评</w:t>
      </w:r>
      <w:r>
        <w:rPr>
          <w:rFonts w:hint="eastAsia" w:ascii="仿宋_GB2312" w:hAnsi="仿宋_GB2312" w:eastAsia="仿宋_GB2312" w:cs="仿宋_GB2312"/>
          <w:spacing w:val="-4"/>
          <w:sz w:val="32"/>
          <w:szCs w:val="32"/>
        </w:rPr>
        <w:t>价的</w:t>
      </w:r>
      <w:r>
        <w:rPr>
          <w:rFonts w:hint="eastAsia" w:ascii="仿宋_GB2312" w:hAnsi="仿宋_GB2312" w:eastAsia="仿宋_GB2312" w:cs="仿宋_GB2312"/>
          <w:spacing w:val="-4"/>
          <w:sz w:val="32"/>
          <w:szCs w:val="32"/>
          <w:lang w:val="en-US" w:eastAsia="zh-CN"/>
        </w:rPr>
        <w:t>58</w:t>
      </w:r>
      <w:r>
        <w:rPr>
          <w:rFonts w:hint="eastAsia" w:ascii="仿宋_GB2312" w:hAnsi="仿宋_GB2312" w:eastAsia="仿宋_GB2312" w:cs="仿宋_GB2312"/>
          <w:spacing w:val="-4"/>
          <w:sz w:val="32"/>
          <w:szCs w:val="32"/>
        </w:rPr>
        <w:t>个项目，经满意度测评，所有已完工项目满意度都</w:t>
      </w:r>
      <w:bookmarkStart w:id="0" w:name="_GoBack"/>
      <w:r>
        <w:rPr>
          <w:rFonts w:hint="eastAsia" w:ascii="仿宋_GB2312" w:hAnsi="仿宋_GB2312" w:eastAsia="仿宋_GB2312" w:cs="仿宋_GB2312"/>
          <w:spacing w:val="-4"/>
          <w:sz w:val="32"/>
          <w:szCs w:val="32"/>
          <w:lang w:eastAsia="zh-CN"/>
        </w:rPr>
        <w:t>达到</w:t>
      </w:r>
      <w:bookmarkEnd w:id="0"/>
      <w:r>
        <w:rPr>
          <w:rFonts w:hint="eastAsia" w:ascii="仿宋_GB2312" w:hAnsi="仿宋_GB2312" w:eastAsia="仿宋_GB2312" w:cs="仿宋_GB2312"/>
          <w:spacing w:val="-4"/>
          <w:sz w:val="32"/>
          <w:szCs w:val="32"/>
        </w:rPr>
        <w:t>了预期目标，</w:t>
      </w:r>
      <w:r>
        <w:rPr>
          <w:rFonts w:hint="eastAsia" w:ascii="仿宋_GB2312" w:hAnsi="仿宋_GB2312" w:eastAsia="仿宋_GB2312" w:cs="仿宋_GB2312"/>
          <w:spacing w:val="-5"/>
          <w:sz w:val="32"/>
          <w:szCs w:val="32"/>
        </w:rPr>
        <w:t>市民</w:t>
      </w:r>
      <w:r>
        <w:rPr>
          <w:rFonts w:hint="eastAsia" w:ascii="仿宋_GB2312" w:hAnsi="仿宋_GB2312" w:eastAsia="仿宋_GB2312" w:cs="仿宋_GB2312"/>
          <w:spacing w:val="-3"/>
          <w:sz w:val="32"/>
          <w:szCs w:val="32"/>
        </w:rPr>
        <w:t>满意度≧95%。</w:t>
      </w:r>
    </w:p>
    <w:p w14:paraId="66C2BB5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7" w:firstLineChars="200"/>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rPr>
        <w:t>五、主要经验及做法、存在问题及原因分析</w:t>
      </w:r>
    </w:p>
    <w:p w14:paraId="307B530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31" w:firstLineChars="200"/>
        <w:textAlignment w:val="auto"/>
        <w:outlineLvl w:val="2"/>
        <w:rPr>
          <w:rFonts w:hint="eastAsia" w:ascii="仿宋_GB2312" w:hAnsi="仿宋_GB2312" w:eastAsia="仿宋_GB2312" w:cs="仿宋_GB2312"/>
          <w:b/>
          <w:bCs/>
          <w:spacing w:val="-3"/>
          <w:sz w:val="32"/>
          <w:szCs w:val="32"/>
        </w:rPr>
      </w:pPr>
      <w:r>
        <w:rPr>
          <w:rFonts w:hint="eastAsia" w:ascii="仿宋_GB2312" w:hAnsi="仿宋_GB2312" w:eastAsia="仿宋_GB2312" w:cs="仿宋_GB2312"/>
          <w:b/>
          <w:bCs/>
          <w:spacing w:val="-3"/>
          <w:sz w:val="32"/>
          <w:szCs w:val="32"/>
        </w:rPr>
        <w:t>（一）主要经验及做法</w:t>
      </w:r>
    </w:p>
    <w:p w14:paraId="7EBF8706">
      <w:pPr>
        <w:keepNext w:val="0"/>
        <w:keepLines w:val="0"/>
        <w:pageBreakBefore w:val="0"/>
        <w:widowControl/>
        <w:tabs>
          <w:tab w:val="left" w:pos="471"/>
        </w:tabs>
        <w:kinsoku w:val="0"/>
        <w:wordWrap/>
        <w:overflowPunct/>
        <w:topLinePunct w:val="0"/>
        <w:autoSpaceDE w:val="0"/>
        <w:autoSpaceDN w:val="0"/>
        <w:bidi w:val="0"/>
        <w:adjustRightInd w:val="0"/>
        <w:snapToGrid w:val="0"/>
        <w:spacing w:line="600" w:lineRule="exact"/>
        <w:ind w:firstLine="636" w:firstLineChars="200"/>
        <w:jc w:val="left"/>
        <w:rPr>
          <w:rFonts w:hint="eastAsia" w:ascii="仿宋_GB2312" w:hAnsi="仿宋_GB2312" w:eastAsia="仿宋_GB2312" w:cs="仿宋_GB2312"/>
          <w:b/>
          <w:bCs/>
          <w:color w:val="333333"/>
          <w:spacing w:val="-5"/>
          <w:sz w:val="32"/>
          <w:szCs w:val="32"/>
        </w:rPr>
      </w:pPr>
      <w:r>
        <w:rPr>
          <w:rFonts w:hint="eastAsia" w:ascii="仿宋_GB2312" w:hAnsi="仿宋_GB2312" w:eastAsia="仿宋_GB2312" w:cs="仿宋_GB2312"/>
          <w:color w:val="333333"/>
          <w:spacing w:val="-1"/>
          <w:sz w:val="32"/>
          <w:szCs w:val="32"/>
        </w:rPr>
        <w:t>局绩效评价小组对所属二级单位上报的预算绩效管理报告</w:t>
      </w:r>
      <w:r>
        <w:rPr>
          <w:rFonts w:hint="eastAsia" w:ascii="仿宋_GB2312" w:hAnsi="仿宋_GB2312" w:eastAsia="仿宋_GB2312" w:cs="仿宋_GB2312"/>
          <w:color w:val="333333"/>
          <w:spacing w:val="-4"/>
          <w:sz w:val="32"/>
          <w:szCs w:val="32"/>
        </w:rPr>
        <w:t>有分析评价，对所存在的问题作出了相应的整改，将绩效管理评价结果予以公开，建立了绩效追责问责机制，以绩效考核评价结果为依据，对全局职工干部实行有理有据的奖罚，有力推进城管</w:t>
      </w:r>
      <w:r>
        <w:rPr>
          <w:rFonts w:hint="eastAsia" w:ascii="仿宋_GB2312" w:hAnsi="仿宋_GB2312" w:eastAsia="仿宋_GB2312" w:cs="仿宋_GB2312"/>
          <w:color w:val="333333"/>
          <w:spacing w:val="-2"/>
          <w:sz w:val="32"/>
          <w:szCs w:val="32"/>
        </w:rPr>
        <w:t>系统各项工作取得实效。</w:t>
      </w:r>
    </w:p>
    <w:p w14:paraId="4EEA41D5">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3" w:firstLineChars="200"/>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b/>
          <w:bCs/>
          <w:color w:val="333333"/>
          <w:spacing w:val="-5"/>
          <w:sz w:val="32"/>
          <w:szCs w:val="32"/>
        </w:rPr>
        <w:t>（二）存在问题及原因分析</w:t>
      </w:r>
    </w:p>
    <w:p w14:paraId="7553E5C9">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2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资金使用范围模糊，部分下属单位基本支出与专项支</w:t>
      </w:r>
      <w:r>
        <w:rPr>
          <w:rFonts w:hint="eastAsia" w:ascii="仿宋_GB2312" w:hAnsi="仿宋_GB2312" w:eastAsia="仿宋_GB2312" w:cs="仿宋_GB2312"/>
          <w:spacing w:val="-4"/>
          <w:sz w:val="32"/>
          <w:szCs w:val="32"/>
          <w:lang w:eastAsia="zh-CN"/>
        </w:rPr>
        <w:t>出之</w:t>
      </w:r>
      <w:r>
        <w:rPr>
          <w:rFonts w:hint="eastAsia" w:ascii="仿宋_GB2312" w:hAnsi="仿宋_GB2312" w:eastAsia="仿宋_GB2312" w:cs="仿宋_GB2312"/>
          <w:spacing w:val="-5"/>
          <w:sz w:val="32"/>
          <w:szCs w:val="32"/>
        </w:rPr>
        <w:t>间没有明</w:t>
      </w:r>
      <w:r>
        <w:rPr>
          <w:rFonts w:hint="eastAsia" w:ascii="仿宋_GB2312" w:hAnsi="仿宋_GB2312" w:eastAsia="仿宋_GB2312" w:cs="仿宋_GB2312"/>
          <w:spacing w:val="-4"/>
          <w:sz w:val="32"/>
          <w:szCs w:val="32"/>
        </w:rPr>
        <w:t>确的界定，未实行专门的核算体系，存在经费核算不清或者</w:t>
      </w:r>
      <w:r>
        <w:rPr>
          <w:rFonts w:hint="eastAsia" w:ascii="仿宋_GB2312" w:hAnsi="仿宋_GB2312" w:eastAsia="仿宋_GB2312" w:cs="仿宋_GB2312"/>
          <w:spacing w:val="-4"/>
          <w:sz w:val="32"/>
          <w:szCs w:val="32"/>
          <w:lang w:eastAsia="zh-CN"/>
        </w:rPr>
        <w:t>混乱</w:t>
      </w:r>
      <w:r>
        <w:rPr>
          <w:rFonts w:hint="eastAsia" w:ascii="仿宋_GB2312" w:hAnsi="仿宋_GB2312" w:eastAsia="仿宋_GB2312" w:cs="仿宋_GB2312"/>
          <w:spacing w:val="-4"/>
          <w:sz w:val="32"/>
          <w:szCs w:val="32"/>
        </w:rPr>
        <w:t>的现</w:t>
      </w:r>
      <w:r>
        <w:rPr>
          <w:rFonts w:hint="eastAsia" w:ascii="仿宋_GB2312" w:hAnsi="仿宋_GB2312" w:eastAsia="仿宋_GB2312" w:cs="仿宋_GB2312"/>
          <w:spacing w:val="-2"/>
          <w:sz w:val="32"/>
          <w:szCs w:val="32"/>
        </w:rPr>
        <w:t>象。项目实施进度与资金支付进度不一致，</w:t>
      </w:r>
      <w:r>
        <w:rPr>
          <w:rFonts w:hint="eastAsia" w:ascii="仿宋_GB2312" w:hAnsi="仿宋_GB2312" w:eastAsia="仿宋_GB2312" w:cs="仿宋_GB2312"/>
          <w:spacing w:val="-2"/>
          <w:sz w:val="32"/>
          <w:szCs w:val="32"/>
          <w:lang w:eastAsia="zh-CN"/>
        </w:rPr>
        <w:t>导致</w:t>
      </w:r>
      <w:r>
        <w:rPr>
          <w:rFonts w:hint="eastAsia" w:ascii="仿宋_GB2312" w:hAnsi="仿宋_GB2312" w:eastAsia="仿宋_GB2312" w:cs="仿宋_GB2312"/>
          <w:spacing w:val="-3"/>
          <w:sz w:val="32"/>
          <w:szCs w:val="32"/>
        </w:rPr>
        <w:t>预算执行存在偏差。</w:t>
      </w:r>
      <w:r>
        <w:rPr>
          <w:rFonts w:hint="eastAsia" w:ascii="仿宋_GB2312" w:hAnsi="仿宋_GB2312" w:eastAsia="仿宋_GB2312" w:cs="仿宋_GB2312"/>
          <w:spacing w:val="9"/>
          <w:sz w:val="32"/>
          <w:szCs w:val="32"/>
        </w:rPr>
        <w:t>预算绩效管理相关人员业务素质和思想认识不足，</w:t>
      </w:r>
      <w:r>
        <w:rPr>
          <w:rFonts w:hint="eastAsia" w:ascii="仿宋_GB2312" w:hAnsi="仿宋_GB2312" w:eastAsia="仿宋_GB2312" w:cs="仿宋_GB2312"/>
          <w:spacing w:val="8"/>
          <w:sz w:val="32"/>
          <w:szCs w:val="32"/>
        </w:rPr>
        <w:t>没有完全将绩效评价</w:t>
      </w:r>
      <w:r>
        <w:rPr>
          <w:rFonts w:hint="eastAsia" w:ascii="仿宋_GB2312" w:hAnsi="仿宋_GB2312" w:eastAsia="仿宋_GB2312" w:cs="仿宋_GB2312"/>
          <w:spacing w:val="8"/>
          <w:sz w:val="32"/>
          <w:szCs w:val="32"/>
          <w:lang w:eastAsia="zh-CN"/>
        </w:rPr>
        <w:t>融入</w:t>
      </w:r>
      <w:r>
        <w:rPr>
          <w:rFonts w:hint="eastAsia" w:ascii="仿宋_GB2312" w:hAnsi="仿宋_GB2312" w:eastAsia="仿宋_GB2312" w:cs="仿宋_GB2312"/>
          <w:spacing w:val="8"/>
          <w:sz w:val="32"/>
          <w:szCs w:val="32"/>
        </w:rPr>
        <w:t>绩效管理的整个过程。</w:t>
      </w:r>
    </w:p>
    <w:p w14:paraId="2CA1F377">
      <w:pPr>
        <w:numPr>
          <w:ilvl w:val="0"/>
          <w:numId w:val="0"/>
        </w:numPr>
        <w:rPr>
          <w:rFonts w:hint="default" w:eastAsia="宋体"/>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MDFmYmQ0ZDdjNWUzNDJkNDRmZDNjOGJhN2I4MDEifQ=="/>
  </w:docVars>
  <w:rsids>
    <w:rsidRoot w:val="67534C97"/>
    <w:rsid w:val="10051C16"/>
    <w:rsid w:val="14BF5434"/>
    <w:rsid w:val="15930BAC"/>
    <w:rsid w:val="345F0BA3"/>
    <w:rsid w:val="3D532F93"/>
    <w:rsid w:val="4BC223DD"/>
    <w:rsid w:val="53055A34"/>
    <w:rsid w:val="5A33357F"/>
    <w:rsid w:val="63A0369D"/>
    <w:rsid w:val="67534C97"/>
    <w:rsid w:val="68CE1D36"/>
    <w:rsid w:val="6BA37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0"/>
      <w:szCs w:val="30"/>
      <w:lang w:val="en-US" w:eastAsia="en-US" w:bidi="ar-SA"/>
    </w:rPr>
  </w:style>
  <w:style w:type="table" w:customStyle="1" w:styleId="5">
    <w:name w:val="普通表格1"/>
    <w:semiHidden/>
    <w:qFormat/>
    <w:uiPriority w:val="0"/>
    <w:tblPr>
      <w:tblCellMar>
        <w:top w:w="0" w:type="dxa"/>
        <w:left w:w="108" w:type="dxa"/>
        <w:bottom w:w="0" w:type="dxa"/>
        <w:right w:w="108" w:type="dxa"/>
      </w:tblCellMar>
    </w:tblPr>
  </w:style>
  <w:style w:type="paragraph" w:customStyle="1" w:styleId="6">
    <w:name w:val="Table Text"/>
    <w:basedOn w:val="1"/>
    <w:semiHidden/>
    <w:qFormat/>
    <w:uiPriority w:val="0"/>
    <w:rPr>
      <w:rFonts w:ascii="FangSong_GB2312" w:hAnsi="FangSong_GB2312" w:eastAsia="FangSong_GB2312" w:cs="FangSong_GB2312"/>
      <w:sz w:val="30"/>
      <w:szCs w:val="30"/>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3226</Words>
  <Characters>3380</Characters>
  <Lines>0</Lines>
  <Paragraphs>0</Paragraphs>
  <TotalTime>19</TotalTime>
  <ScaleCrop>false</ScaleCrop>
  <LinksUpToDate>false</LinksUpToDate>
  <CharactersWithSpaces>3380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2024-11-01T08:21:00Z</dcterms:created>
  <dc:creator>小涛</dc:creator>
  <cp:lastModifiedBy>小涛</cp:lastModifiedBy>
  <dcterms:modified xsi:type="dcterms:W3CDTF">2025-09-30T07:27:53Z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62B17D44F5A24FC1AE67805839937C02_11</vt:lpwstr>
  </property>
  <property fmtid="{D5CDD505-2E9C-101B-9397-08002B2CF9AE}" pid="4" name="KSOTemplateDocerSaveRecord">
    <vt:lpwstr>eyJoZGlkIjoiOWYwMDFmYmQ0ZDdjNWUzNDJkNDRmZDNjOGJhN2I4MDEiLCJ1c2VySWQiOiIyMzAzNzM0ODAifQ==</vt:lpwstr>
  </property>
</Properties>
</file>