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提前下达202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年转移支付情况说明</w:t>
      </w:r>
    </w:p>
    <w:p>
      <w:pPr>
        <w:rPr>
          <w:rFonts w:hint="eastAsia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本级预算提交审议前，新余市收到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2024年提前下达</w:t>
      </w:r>
      <w:r>
        <w:rPr>
          <w:rFonts w:hint="eastAsia" w:ascii="仿宋_GB2312" w:eastAsia="仿宋_GB2312"/>
          <w:sz w:val="32"/>
          <w:szCs w:val="32"/>
        </w:rPr>
        <w:t>一般公共预算市县税收返还和转移支付合计</w:t>
      </w:r>
      <w:r>
        <w:rPr>
          <w:rFonts w:hint="eastAsia" w:ascii="仿宋_GB2312" w:hAnsi="仿宋_GB2312" w:eastAsia="仿宋_GB2312" w:cs="仿宋_GB2312"/>
          <w:sz w:val="32"/>
          <w:szCs w:val="32"/>
        </w:rPr>
        <w:t>381957万元，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返还性收入170932万元、一般性转移支付收入189716万元、专项转移支付收入21309万元。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一般公共预算转移支付分级次情况：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市本级89768万元、分宜县69217万元、渝水区122951万元、仙女湖区68316万元、高新区31705万元。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市本级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一般公共预算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税收返还和转移支付分项目情况为：增值税和消费税返还1868万元、所得税基数返还5716万元、成品油税费改革税收返还收入525万元、增值税“五五分享”税收返还收入11518万元、其他税收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返还收入-12782万元；均衡性转移支付收入20485万元、结算补助收入5138万元、资源枯竭城市转移支付补助收入15560万元、重点生态功能区转移支付收入388万元、固定数额补助收入19168万元、国防共同财政事权转移支付收入6万元、教育共同财政事权转移支付9025万元、文化旅游体育与传媒共同财政事权转移支付收入800万元、农林水共同财政事权转移支付收入10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万元；专项转移支付12343万元。</w:t>
      </w:r>
    </w:p>
    <w:p>
      <w:p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新余市收到2024年提前下达政府性基金转移支付合计4272万元，分级次情况为：市本级320万元、</w:t>
      </w:r>
      <w:r>
        <w:rPr>
          <w:rFonts w:hint="eastAsia" w:ascii="仿宋_GB2312" w:eastAsia="仿宋_GB2312"/>
          <w:sz w:val="32"/>
          <w:szCs w:val="32"/>
        </w:rPr>
        <w:t>分宜县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872</w:t>
      </w:r>
      <w:r>
        <w:rPr>
          <w:rFonts w:hint="eastAsia" w:ascii="仿宋_GB2312" w:eastAsia="仿宋_GB2312"/>
          <w:sz w:val="32"/>
          <w:szCs w:val="32"/>
        </w:rPr>
        <w:t>万元、渝水区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2219</w:t>
      </w:r>
      <w:r>
        <w:rPr>
          <w:rFonts w:hint="eastAsia" w:ascii="仿宋_GB2312" w:eastAsia="仿宋_GB2312"/>
          <w:sz w:val="32"/>
          <w:szCs w:val="32"/>
        </w:rPr>
        <w:t>万元、仙女湖区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397</w:t>
      </w:r>
      <w:r>
        <w:rPr>
          <w:rFonts w:hint="eastAsia" w:ascii="仿宋_GB2312" w:eastAsia="仿宋_GB2312"/>
          <w:sz w:val="32"/>
          <w:szCs w:val="32"/>
        </w:rPr>
        <w:t>万元、高新区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464</w:t>
      </w:r>
      <w:r>
        <w:rPr>
          <w:rFonts w:hint="eastAsia" w:ascii="仿宋_GB2312" w:eastAsia="仿宋_GB2312"/>
          <w:sz w:val="32"/>
          <w:szCs w:val="32"/>
        </w:rPr>
        <w:t>万元。</w:t>
      </w:r>
      <w:r>
        <w:rPr>
          <w:rFonts w:hint="eastAsia" w:ascii="仿宋_GB2312" w:eastAsia="仿宋_GB2312"/>
          <w:sz w:val="32"/>
          <w:szCs w:val="32"/>
          <w:lang w:eastAsia="zh-CN"/>
        </w:rPr>
        <w:t>市本级具体项目为：2024年省级水利专项资金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320万元。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D9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2024-01-30T02:09:43Z</dcterms:created>
  <dc:creator>Administrator</dc:creator>
  <cp:lastModifiedBy>Administrator</cp:lastModifiedBy>
  <dcterms:modified xsi:type="dcterms:W3CDTF">2024-01-30T02:18:30Z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