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提前下达202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eastAsia="方正小标宋简体"/>
          <w:sz w:val="36"/>
          <w:szCs w:val="36"/>
        </w:rPr>
        <w:t>年转移支付情况说明</w:t>
      </w:r>
    </w:p>
    <w:p>
      <w:pPr>
        <w:rPr>
          <w:rFonts w:hint="eastAsia"/>
        </w:rPr>
      </w:pPr>
    </w:p>
    <w:p>
      <w:pPr>
        <w:spacing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本级预算提交审议前，新余市收到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2024年提前下达</w:t>
      </w:r>
      <w:r>
        <w:rPr>
          <w:rFonts w:hint="eastAsia" w:ascii="仿宋_GB2312" w:eastAsia="仿宋_GB2312"/>
          <w:sz w:val="32"/>
          <w:szCs w:val="32"/>
        </w:rPr>
        <w:t>一般公共预算市县税收返还和转移支付合计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442702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其中</w:t>
      </w:r>
      <w:r>
        <w:rPr>
          <w:rFonts w:hint="eastAsia" w:ascii="仿宋_GB2312" w:hAnsi="仿宋_GB2312" w:eastAsia="仿宋_GB2312" w:cs="仿宋_GB2312"/>
          <w:sz w:val="32"/>
          <w:szCs w:val="32"/>
        </w:rPr>
        <w:t>返还性收入170932万元、一般性转移支付收入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251015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万元、专项转移支付收入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20755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spacing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一般公共预算转移支付分级次情况：</w:t>
      </w:r>
      <w:r>
        <w:rPr>
          <w:rFonts w:hint="eastAsia" w:ascii="仿宋_GB2312" w:hAnsi="仿宋_GB2312" w:eastAsia="仿宋_GB2312" w:cs="仿宋_GB2312"/>
          <w:sz w:val="32"/>
          <w:szCs w:val="32"/>
        </w:rPr>
        <w:t>市本级118004万元、分宜县81121万元、渝水区142750万元、仙女湖区70535万元、高新区30292万元。</w:t>
      </w:r>
    </w:p>
    <w:p>
      <w:pPr>
        <w:spacing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市本级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一般公共预算</w:t>
      </w:r>
      <w:r>
        <w:rPr>
          <w:rFonts w:hint="eastAsia" w:ascii="仿宋_GB2312" w:hAnsi="仿宋_GB2312" w:eastAsia="仿宋_GB2312" w:cs="仿宋_GB2312"/>
          <w:sz w:val="32"/>
          <w:szCs w:val="32"/>
        </w:rPr>
        <w:t>税收返还和转移支付分项目情况为：增值税和消费税返还1868万元、所得税基数返还5716万元、成品油税费改革税收返还收入525万元、增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值税“五五分享”税收返还收入11518万元、其他税收返还收入-12782万元；均衡性转移支付收入29516万元、结算补助收入16万元、资源枯竭城市转移支付补助收入17436万元、重点生态功能区转移支付收入388万元、固定数额补助收入24306万元、公共安全共同财政事权转移支付收入300万元、教育共同财政事权转移支付17186万元、科学技术共同财政事权转移支付收入25万元、文化旅游体育与传媒共同财政事权转移支付收入87万元、交通运输共同财政事权转移支付收入7199万元、住房保障共同财政事权转移支付收入610万元；专项转移支付收入14090万元。</w:t>
      </w:r>
    </w:p>
    <w:p>
      <w:pPr>
        <w:spacing w:line="600" w:lineRule="exact"/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新余市收到2025年提前下达政府性基金转移支付合计3047万元，分级次情况为：</w:t>
      </w:r>
      <w:r>
        <w:rPr>
          <w:rFonts w:hint="eastAsia" w:ascii="仿宋_GB2312" w:eastAsia="仿宋_GB2312"/>
          <w:sz w:val="32"/>
          <w:szCs w:val="32"/>
        </w:rPr>
        <w:t>分宜县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982</w:t>
      </w:r>
      <w:r>
        <w:rPr>
          <w:rFonts w:hint="eastAsia" w:ascii="仿宋_GB2312" w:eastAsia="仿宋_GB2312"/>
          <w:sz w:val="32"/>
          <w:szCs w:val="32"/>
        </w:rPr>
        <w:t>万元、渝水区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1855</w:t>
      </w:r>
      <w:r>
        <w:rPr>
          <w:rFonts w:hint="eastAsia" w:ascii="仿宋_GB2312" w:eastAsia="仿宋_GB2312"/>
          <w:sz w:val="32"/>
          <w:szCs w:val="32"/>
        </w:rPr>
        <w:t>万元、仙女湖区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210</w:t>
      </w:r>
      <w:r>
        <w:rPr>
          <w:rFonts w:hint="eastAsia" w:ascii="仿宋_GB2312" w:eastAsia="仿宋_GB2312"/>
          <w:sz w:val="32"/>
          <w:szCs w:val="32"/>
        </w:rPr>
        <w:t>万元。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BE3DB6"/>
    <w:rsid w:val="70D95F38"/>
    <w:rsid w:val="78866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2024-01-30T02:09:00Z</dcterms:created>
  <dc:creator>Administrator</dc:creator>
  <cp:lastModifiedBy>Administrator</cp:lastModifiedBy>
  <dcterms:modified xsi:type="dcterms:W3CDTF">2025-01-20T09:13:04Z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