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0D6D50">
      <w:pPr>
        <w:rPr>
          <w:rFonts w:ascii="Times New Roman" w:hAnsi="Times New Roman" w:eastAsia="黑体"/>
        </w:rPr>
      </w:pPr>
    </w:p>
    <w:p w14:paraId="21E9C45C">
      <w:pPr>
        <w:rPr>
          <w:rFonts w:ascii="Times New Roman" w:hAnsi="Times New Roman" w:eastAsia="黑体"/>
        </w:rPr>
      </w:pPr>
      <w:r>
        <w:rPr>
          <w:rFonts w:ascii="Times New Roman" w:hAnsi="Times New Roman" w:eastAsia="黑体"/>
        </w:rPr>
        <w:drawing>
          <wp:inline distT="0" distB="0" distL="114300" distR="114300">
            <wp:extent cx="5618480" cy="789940"/>
            <wp:effectExtent l="0" t="0" r="1270" b="1016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7"/>
                    <a:stretch>
                      <a:fillRect/>
                    </a:stretch>
                  </pic:blipFill>
                  <pic:spPr>
                    <a:xfrm>
                      <a:off x="0" y="0"/>
                      <a:ext cx="5618480" cy="789940"/>
                    </a:xfrm>
                    <a:prstGeom prst="rect">
                      <a:avLst/>
                    </a:prstGeom>
                    <a:noFill/>
                    <a:ln>
                      <a:noFill/>
                    </a:ln>
                  </pic:spPr>
                </pic:pic>
              </a:graphicData>
            </a:graphic>
          </wp:inline>
        </w:drawing>
      </w:r>
    </w:p>
    <w:p w14:paraId="05352EC9">
      <w:pPr>
        <w:rPr>
          <w:rFonts w:ascii="Times New Roman" w:hAnsi="Times New Roman"/>
        </w:rPr>
      </w:pPr>
      <w:r>
        <w:rPr>
          <w:rFonts w:ascii="Times New Roman" w:hAnsi="Times New Roman"/>
        </w:rPr>
        <mc:AlternateContent>
          <mc:Choice Requires="wps">
            <w:drawing>
              <wp:anchor distT="0" distB="0" distL="114300" distR="114300" simplePos="0" relativeHeight="251659264" behindDoc="0" locked="0" layoutInCell="1" allowOverlap="1">
                <wp:simplePos x="0" y="0"/>
                <wp:positionH relativeFrom="margin">
                  <wp:posOffset>0</wp:posOffset>
                </wp:positionH>
                <wp:positionV relativeFrom="margin">
                  <wp:posOffset>2624455</wp:posOffset>
                </wp:positionV>
                <wp:extent cx="5615940" cy="0"/>
                <wp:effectExtent l="0" t="13970" r="3810" b="24130"/>
                <wp:wrapNone/>
                <wp:docPr id="1" name="直线 32"/>
                <wp:cNvGraphicFramePr/>
                <a:graphic xmlns:a="http://schemas.openxmlformats.org/drawingml/2006/main">
                  <a:graphicData uri="http://schemas.microsoft.com/office/word/2010/wordprocessingShape">
                    <wps:wsp>
                      <wps:cNvCnPr/>
                      <wps:spPr>
                        <a:xfrm>
                          <a:off x="0" y="0"/>
                          <a:ext cx="5615940" cy="0"/>
                        </a:xfrm>
                        <a:prstGeom prst="line">
                          <a:avLst/>
                        </a:prstGeom>
                        <a:ln w="28575" cap="flat" cmpd="sng">
                          <a:solidFill>
                            <a:srgbClr val="FF0000"/>
                          </a:solidFill>
                          <a:prstDash val="solid"/>
                          <a:headEnd type="none" w="med" len="med"/>
                          <a:tailEnd type="none" w="med" len="med"/>
                        </a:ln>
                      </wps:spPr>
                      <wps:bodyPr/>
                    </wps:wsp>
                  </a:graphicData>
                </a:graphic>
              </wp:anchor>
            </w:drawing>
          </mc:Choice>
          <mc:Fallback>
            <w:pict>
              <v:line id="直线 32" o:spid="_x0000_s1026" o:spt="20" style="position:absolute;left:0pt;margin-left:0pt;margin-top:206.65pt;height:0pt;width:442.2pt;mso-position-horizontal-relative:margin;mso-position-vertical-relative:margin;z-index:251659264;mso-width-relative:page;mso-height-relative:page;" filled="f" stroked="t" coordsize="21600,21600" o:gfxdata="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LZqjf3VAAAACAEA&#10;AA8AAAAAAAAAAQAgAAAAIgAAAGRycy9kb3ducmV2LnhtbFBLAQIUABQAAAAIAIdO4kBzkvwK5AEA&#10;ANEDAAAOAAAAAAAAAAEAIAAAACQBAABkcnMvZTJvRG9jLnhtbFBLBQYAAAAABgAGAFkBAAB6BQAA&#10;AAA=&#10;">
                <v:fill on="f" focussize="0,0"/>
                <v:stroke weight="2.25pt" color="#FF0000" joinstyle="round"/>
                <v:imagedata o:title=""/>
                <o:lock v:ext="edit" aspectratio="f"/>
              </v:line>
            </w:pict>
          </mc:Fallback>
        </mc:AlternateContent>
      </w:r>
    </w:p>
    <w:p w14:paraId="593A662A">
      <w:pPr>
        <w:rPr>
          <w:rFonts w:ascii="Times New Roman" w:hAnsi="Times New Roman"/>
        </w:rPr>
      </w:pPr>
    </w:p>
    <w:p w14:paraId="7DB7737D">
      <w:pPr>
        <w:jc w:val="center"/>
        <w:rPr>
          <w:rFonts w:ascii="Times New Roman" w:hAnsi="Times New Roman"/>
        </w:rPr>
      </w:pPr>
      <w:r>
        <w:rPr>
          <w:rFonts w:hint="eastAsia" w:ascii="Times New Roman" w:hAnsi="Times New Roman"/>
        </w:rPr>
        <w:t>余府发﹝</w:t>
      </w:r>
      <w:r>
        <w:rPr>
          <w:rFonts w:ascii="Times New Roman" w:hAnsi="Times New Roman"/>
        </w:rPr>
        <w:t>2022</w:t>
      </w:r>
      <w:r>
        <w:rPr>
          <w:rFonts w:hint="eastAsia" w:ascii="Times New Roman" w:hAnsi="Times New Roman"/>
        </w:rPr>
        <w:t>﹞</w:t>
      </w:r>
      <w:r>
        <w:rPr>
          <w:rFonts w:ascii="Times New Roman" w:hAnsi="Times New Roman"/>
        </w:rPr>
        <w:t>1</w:t>
      </w:r>
      <w:r>
        <w:rPr>
          <w:rFonts w:hint="eastAsia" w:ascii="Times New Roman" w:hAnsi="Times New Roman"/>
        </w:rPr>
        <w:t>号</w:t>
      </w:r>
    </w:p>
    <w:p w14:paraId="72071D5E">
      <w:pPr>
        <w:rPr>
          <w:rFonts w:ascii="Times New Roman" w:hAnsi="Times New Roman"/>
        </w:rPr>
      </w:pPr>
    </w:p>
    <w:p w14:paraId="5CA86DBE">
      <w:pPr>
        <w:adjustRightInd w:val="0"/>
        <w:snapToGrid w:val="0"/>
        <w:spacing w:line="600" w:lineRule="exact"/>
        <w:ind w:firstLine="522"/>
        <w:jc w:val="center"/>
        <w:rPr>
          <w:rFonts w:ascii="Times New Roman" w:hAnsi="Times New Roman" w:eastAsia="方正小标宋简体"/>
          <w:sz w:val="44"/>
          <w:szCs w:val="44"/>
        </w:rPr>
      </w:pPr>
    </w:p>
    <w:p w14:paraId="129D2315">
      <w:pPr>
        <w:adjustRightInd w:val="0"/>
        <w:snapToGrid w:val="0"/>
        <w:spacing w:line="600" w:lineRule="exact"/>
        <w:ind w:firstLine="522"/>
        <w:jc w:val="center"/>
        <w:rPr>
          <w:rFonts w:ascii="Times New Roman" w:hAnsi="Times New Roman" w:eastAsia="方正小标宋简体"/>
          <w:sz w:val="44"/>
          <w:szCs w:val="44"/>
        </w:rPr>
      </w:pPr>
      <w:r>
        <w:rPr>
          <w:rFonts w:hint="eastAsia" w:ascii="Times New Roman" w:hAnsi="Times New Roman" w:eastAsia="方正小标宋简体"/>
          <w:sz w:val="44"/>
          <w:szCs w:val="44"/>
        </w:rPr>
        <w:t>新余市人民政府关于印发新余市“十四五”应急体系规划的通知</w:t>
      </w:r>
    </w:p>
    <w:p w14:paraId="794986B2">
      <w:pPr>
        <w:adjustRightInd w:val="0"/>
        <w:snapToGrid w:val="0"/>
        <w:spacing w:line="600" w:lineRule="exact"/>
        <w:jc w:val="center"/>
        <w:rPr>
          <w:rFonts w:ascii="Times New Roman" w:hAnsi="Times New Roman" w:eastAsia="方正小标宋简体"/>
          <w:b/>
        </w:rPr>
      </w:pPr>
    </w:p>
    <w:p w14:paraId="1D8E91D7">
      <w:pPr>
        <w:adjustRightInd w:val="0"/>
        <w:snapToGrid w:val="0"/>
        <w:spacing w:line="600" w:lineRule="exact"/>
        <w:rPr>
          <w:rFonts w:ascii="Times New Roman" w:hAnsi="Times New Roman"/>
        </w:rPr>
      </w:pPr>
      <w:r>
        <w:rPr>
          <w:rFonts w:hint="eastAsia" w:ascii="Times New Roman" w:hAnsi="Times New Roman"/>
        </w:rPr>
        <w:t>各县（区）人民政府、管委会，市政府各部门，市直各单位：</w:t>
      </w:r>
    </w:p>
    <w:p w14:paraId="5DFCAD54">
      <w:pPr>
        <w:adjustRightInd w:val="0"/>
        <w:snapToGrid w:val="0"/>
        <w:spacing w:line="600" w:lineRule="exact"/>
        <w:ind w:firstLine="640" w:firstLineChars="200"/>
        <w:rPr>
          <w:rFonts w:ascii="Times New Roman" w:hAnsi="Times New Roman"/>
        </w:rPr>
      </w:pPr>
      <w:r>
        <w:rPr>
          <w:rFonts w:hint="eastAsia" w:ascii="Times New Roman" w:hAnsi="Times New Roman"/>
        </w:rPr>
        <w:t>《新余市“十四五”应急体系规划》已经市十届人民政府第</w:t>
      </w:r>
      <w:r>
        <w:rPr>
          <w:rFonts w:ascii="Times New Roman" w:hAnsi="Times New Roman"/>
        </w:rPr>
        <w:t>6</w:t>
      </w:r>
      <w:r>
        <w:rPr>
          <w:rFonts w:hint="eastAsia" w:ascii="Times New Roman" w:hAnsi="Times New Roman"/>
        </w:rPr>
        <w:t>次常务会议研究同意，现印发给你们，请认真贯彻执行。</w:t>
      </w:r>
    </w:p>
    <w:p w14:paraId="14E665E5">
      <w:pPr>
        <w:pStyle w:val="2"/>
        <w:adjustRightInd w:val="0"/>
        <w:snapToGrid w:val="0"/>
        <w:spacing w:line="600" w:lineRule="exact"/>
        <w:ind w:firstLine="400"/>
        <w:rPr>
          <w:rFonts w:ascii="Times New Roman" w:hAnsi="Times New Roman"/>
        </w:rPr>
      </w:pPr>
    </w:p>
    <w:p w14:paraId="54193881">
      <w:pPr>
        <w:adjustRightInd w:val="0"/>
        <w:snapToGrid w:val="0"/>
        <w:spacing w:line="600" w:lineRule="exact"/>
        <w:ind w:firstLine="640" w:firstLineChars="200"/>
        <w:rPr>
          <w:rFonts w:ascii="Times New Roman" w:hAnsi="Times New Roman"/>
        </w:rPr>
      </w:pPr>
    </w:p>
    <w:p w14:paraId="27CC70C5">
      <w:pPr>
        <w:adjustRightInd w:val="0"/>
        <w:snapToGrid w:val="0"/>
        <w:spacing w:line="600" w:lineRule="exact"/>
        <w:rPr>
          <w:rFonts w:ascii="Times New Roman" w:hAnsi="Times New Roman"/>
        </w:rPr>
      </w:pPr>
      <w:r>
        <w:rPr>
          <w:rFonts w:ascii="Times New Roman" w:hAnsi="Times New Roman"/>
        </w:rPr>
        <w:t xml:space="preserve">                             </w:t>
      </w:r>
      <w:r>
        <w:rPr>
          <w:rFonts w:hint="eastAsia" w:ascii="Times New Roman" w:hAnsi="Times New Roman"/>
        </w:rPr>
        <w:t xml:space="preserve"> </w:t>
      </w:r>
    </w:p>
    <w:p w14:paraId="262108A3">
      <w:pPr>
        <w:adjustRightInd w:val="0"/>
        <w:snapToGrid w:val="0"/>
        <w:spacing w:line="600" w:lineRule="exact"/>
        <w:ind w:firstLine="630"/>
        <w:rPr>
          <w:rFonts w:ascii="Times New Roman" w:hAnsi="Times New Roman"/>
        </w:rPr>
      </w:pPr>
      <w:r>
        <w:rPr>
          <w:rFonts w:ascii="Times New Roman" w:hAnsi="Times New Roman"/>
        </w:rPr>
        <w:t xml:space="preserve">                                </w:t>
      </w:r>
      <w:r>
        <w:rPr>
          <w:rFonts w:hint="eastAsia" w:ascii="Times New Roman" w:hAnsi="Times New Roman"/>
        </w:rPr>
        <w:t>新余市人民政府</w:t>
      </w:r>
    </w:p>
    <w:p w14:paraId="64B13A19">
      <w:pPr>
        <w:adjustRightInd w:val="0"/>
        <w:snapToGrid w:val="0"/>
        <w:spacing w:line="600" w:lineRule="exact"/>
        <w:ind w:firstLine="630"/>
        <w:rPr>
          <w:rFonts w:ascii="Times New Roman" w:hAnsi="Times New Roman"/>
        </w:rPr>
      </w:pPr>
      <w:r>
        <w:rPr>
          <w:rFonts w:ascii="Times New Roman" w:hAnsi="Times New Roman"/>
        </w:rPr>
        <w:t xml:space="preserve">                               2022</w:t>
      </w:r>
      <w:r>
        <w:rPr>
          <w:rFonts w:hint="eastAsia" w:ascii="Times New Roman" w:hAnsi="Times New Roman"/>
        </w:rPr>
        <w:t>年</w:t>
      </w:r>
      <w:r>
        <w:rPr>
          <w:rFonts w:ascii="Times New Roman" w:hAnsi="Times New Roman"/>
        </w:rPr>
        <w:t>1</w:t>
      </w:r>
      <w:r>
        <w:rPr>
          <w:rFonts w:hint="eastAsia" w:ascii="Times New Roman" w:hAnsi="Times New Roman"/>
        </w:rPr>
        <w:t>月</w:t>
      </w:r>
      <w:r>
        <w:rPr>
          <w:rFonts w:ascii="Times New Roman" w:hAnsi="Times New Roman"/>
        </w:rPr>
        <w:t xml:space="preserve">11 </w:t>
      </w:r>
      <w:r>
        <w:rPr>
          <w:rFonts w:hint="eastAsia" w:ascii="Times New Roman" w:hAnsi="Times New Roman"/>
        </w:rPr>
        <w:t>日</w:t>
      </w:r>
    </w:p>
    <w:p w14:paraId="44A4D5D9">
      <w:pPr>
        <w:adjustRightInd w:val="0"/>
        <w:snapToGrid w:val="0"/>
        <w:spacing w:line="600" w:lineRule="exact"/>
        <w:ind w:firstLine="640" w:firstLineChars="200"/>
        <w:rPr>
          <w:rFonts w:ascii="Times New Roman" w:hAnsi="Times New Roman"/>
        </w:rPr>
      </w:pPr>
    </w:p>
    <w:p w14:paraId="27FA02B3">
      <w:pPr>
        <w:jc w:val="center"/>
        <w:rPr>
          <w:rFonts w:ascii="Times New Roman" w:hAnsi="Times New Roman" w:eastAsia="黑体"/>
          <w:b/>
          <w:color w:val="000000"/>
          <w:sz w:val="36"/>
          <w:szCs w:val="36"/>
        </w:rPr>
      </w:pPr>
      <w:r>
        <w:rPr>
          <w:rFonts w:hint="eastAsia" w:ascii="Times New Roman" w:hAnsi="Times New Roman" w:eastAsia="方正小标宋简体"/>
          <w:sz w:val="44"/>
          <w:szCs w:val="44"/>
        </w:rPr>
        <w:t>新余市“十四五”应急体系规划</w:t>
      </w:r>
    </w:p>
    <w:p w14:paraId="5D14A446">
      <w:pPr>
        <w:ind w:firstLine="643"/>
        <w:jc w:val="center"/>
        <w:rPr>
          <w:rFonts w:ascii="Times New Roman" w:hAnsi="Times New Roman" w:eastAsia="黑体"/>
          <w:b/>
          <w:color w:val="000000"/>
          <w:sz w:val="36"/>
          <w:szCs w:val="36"/>
        </w:rPr>
      </w:pPr>
      <w:r>
        <w:rPr>
          <w:rFonts w:hint="eastAsia" w:ascii="Times New Roman" w:hAnsi="Times New Roman" w:eastAsia="黑体"/>
          <w:b/>
          <w:color w:val="000000"/>
          <w:sz w:val="36"/>
          <w:szCs w:val="36"/>
        </w:rPr>
        <w:t>目</w:t>
      </w:r>
      <w:r>
        <w:rPr>
          <w:rFonts w:ascii="Times New Roman" w:hAnsi="Times New Roman" w:eastAsia="黑体"/>
          <w:b/>
          <w:color w:val="000000"/>
          <w:sz w:val="36"/>
          <w:szCs w:val="36"/>
        </w:rPr>
        <w:t xml:space="preserve">  </w:t>
      </w:r>
      <w:r>
        <w:rPr>
          <w:rFonts w:hint="eastAsia" w:ascii="Times New Roman" w:hAnsi="Times New Roman" w:eastAsia="黑体"/>
          <w:b/>
          <w:color w:val="000000"/>
          <w:sz w:val="36"/>
          <w:szCs w:val="36"/>
        </w:rPr>
        <w:t>录</w:t>
      </w:r>
    </w:p>
    <w:p w14:paraId="6E9967B3">
      <w:pPr>
        <w:pStyle w:val="7"/>
        <w:tabs>
          <w:tab w:val="right" w:leader="dot" w:pos="8296"/>
        </w:tabs>
        <w:rPr>
          <w:rFonts w:ascii="Times New Roman" w:hAnsi="Times New Roman"/>
          <w:sz w:val="28"/>
          <w:szCs w:val="28"/>
        </w:rPr>
      </w:pPr>
      <w:r>
        <w:rPr>
          <w:rFonts w:ascii="Times New Roman" w:hAnsi="Times New Roman" w:eastAsia="仿宋_GB2312"/>
          <w:color w:val="000000"/>
          <w:sz w:val="32"/>
          <w:szCs w:val="32"/>
        </w:rPr>
        <w:fldChar w:fldCharType="begin"/>
      </w:r>
      <w:r>
        <w:rPr>
          <w:rFonts w:ascii="Times New Roman" w:hAnsi="Times New Roman" w:eastAsia="仿宋_GB2312"/>
          <w:color w:val="000000"/>
          <w:sz w:val="32"/>
          <w:szCs w:val="32"/>
        </w:rPr>
        <w:instrText xml:space="preserve"> TOC \o "1-3" \h \z \u </w:instrText>
      </w:r>
      <w:r>
        <w:rPr>
          <w:rFonts w:ascii="Times New Roman" w:hAnsi="Times New Roman" w:eastAsia="仿宋_GB2312"/>
          <w:color w:val="000000"/>
          <w:sz w:val="32"/>
          <w:szCs w:val="32"/>
        </w:rPr>
        <w:fldChar w:fldCharType="separate"/>
      </w:r>
      <w:r>
        <w:rPr>
          <w:rFonts w:ascii="Times New Roman" w:hAnsi="Times New Roman"/>
        </w:rPr>
        <w:fldChar w:fldCharType="begin"/>
      </w:r>
      <w:r>
        <w:rPr>
          <w:rFonts w:ascii="Times New Roman" w:hAnsi="Times New Roman"/>
        </w:rPr>
        <w:instrText xml:space="preserve">HYPERLINK \l "_Toc73434503"</w:instrText>
      </w:r>
      <w:r>
        <w:rPr>
          <w:rFonts w:ascii="Times New Roman" w:hAnsi="Times New Roman"/>
        </w:rPr>
        <w:fldChar w:fldCharType="separate"/>
      </w:r>
      <w:r>
        <w:rPr>
          <w:rStyle w:val="14"/>
          <w:rFonts w:hint="eastAsia" w:ascii="Times New Roman" w:hAnsi="Times New Roman" w:eastAsia="黑体"/>
          <w:sz w:val="28"/>
          <w:szCs w:val="28"/>
        </w:rPr>
        <w:t>一、现状与形势</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_Toc73434503 \h </w:instrText>
      </w:r>
      <w:r>
        <w:rPr>
          <w:rFonts w:ascii="Times New Roman" w:hAnsi="Times New Roman"/>
          <w:sz w:val="28"/>
          <w:szCs w:val="28"/>
        </w:rPr>
        <w:fldChar w:fldCharType="separate"/>
      </w:r>
      <w:r>
        <w:rPr>
          <w:rFonts w:ascii="Times New Roman" w:hAnsi="Times New Roman"/>
          <w:sz w:val="28"/>
          <w:szCs w:val="28"/>
        </w:rPr>
        <w:t>- 1 -</w:t>
      </w:r>
      <w:r>
        <w:rPr>
          <w:rFonts w:ascii="Times New Roman" w:hAnsi="Times New Roman"/>
          <w:sz w:val="28"/>
          <w:szCs w:val="28"/>
        </w:rPr>
        <w:fldChar w:fldCharType="end"/>
      </w:r>
      <w:r>
        <w:rPr>
          <w:rFonts w:ascii="Times New Roman" w:hAnsi="Times New Roman"/>
        </w:rPr>
        <w:fldChar w:fldCharType="end"/>
      </w:r>
    </w:p>
    <w:p w14:paraId="487F3892">
      <w:pPr>
        <w:pStyle w:val="8"/>
        <w:tabs>
          <w:tab w:val="right" w:leader="dot" w:pos="8296"/>
        </w:tabs>
        <w:ind w:left="640"/>
        <w:rPr>
          <w:rFonts w:ascii="Times New Roman" w:hAnsi="Times New Roman"/>
          <w:sz w:val="28"/>
          <w:szCs w:val="28"/>
        </w:rPr>
      </w:pPr>
      <w:r>
        <w:rPr>
          <w:rFonts w:ascii="Times New Roman" w:hAnsi="Times New Roman"/>
        </w:rPr>
        <w:fldChar w:fldCharType="begin"/>
      </w:r>
      <w:r>
        <w:rPr>
          <w:rFonts w:ascii="Times New Roman" w:hAnsi="Times New Roman"/>
        </w:rPr>
        <w:instrText xml:space="preserve">HYPERLINK \l "_Toc73434504"</w:instrText>
      </w:r>
      <w:r>
        <w:rPr>
          <w:rFonts w:ascii="Times New Roman" w:hAnsi="Times New Roman"/>
        </w:rPr>
        <w:fldChar w:fldCharType="separate"/>
      </w:r>
      <w:r>
        <w:rPr>
          <w:rStyle w:val="14"/>
          <w:rFonts w:hint="eastAsia" w:ascii="Times New Roman" w:hAnsi="Times New Roman" w:eastAsia="楷体_GB2312"/>
          <w:b/>
          <w:sz w:val="28"/>
          <w:szCs w:val="28"/>
        </w:rPr>
        <w:t>（一）“十三五”期间应急管理工作取得的进展和成效</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_Toc73434504 \h </w:instrText>
      </w:r>
      <w:r>
        <w:rPr>
          <w:rFonts w:ascii="Times New Roman" w:hAnsi="Times New Roman"/>
          <w:sz w:val="28"/>
          <w:szCs w:val="28"/>
        </w:rPr>
        <w:fldChar w:fldCharType="separate"/>
      </w:r>
      <w:r>
        <w:rPr>
          <w:rFonts w:ascii="Times New Roman" w:hAnsi="Times New Roman"/>
          <w:sz w:val="28"/>
          <w:szCs w:val="28"/>
        </w:rPr>
        <w:t>- 1 -</w:t>
      </w:r>
      <w:r>
        <w:rPr>
          <w:rFonts w:ascii="Times New Roman" w:hAnsi="Times New Roman"/>
          <w:sz w:val="28"/>
          <w:szCs w:val="28"/>
        </w:rPr>
        <w:fldChar w:fldCharType="end"/>
      </w:r>
      <w:r>
        <w:rPr>
          <w:rFonts w:ascii="Times New Roman" w:hAnsi="Times New Roman"/>
        </w:rPr>
        <w:fldChar w:fldCharType="end"/>
      </w:r>
    </w:p>
    <w:p w14:paraId="076535F1">
      <w:pPr>
        <w:pStyle w:val="8"/>
        <w:tabs>
          <w:tab w:val="right" w:leader="dot" w:pos="8296"/>
        </w:tabs>
        <w:ind w:left="640"/>
        <w:rPr>
          <w:rFonts w:ascii="Times New Roman" w:hAnsi="Times New Roman"/>
          <w:sz w:val="28"/>
          <w:szCs w:val="28"/>
        </w:rPr>
      </w:pPr>
      <w:r>
        <w:rPr>
          <w:rFonts w:ascii="Times New Roman" w:hAnsi="Times New Roman"/>
        </w:rPr>
        <w:fldChar w:fldCharType="begin"/>
      </w:r>
      <w:r>
        <w:rPr>
          <w:rFonts w:ascii="Times New Roman" w:hAnsi="Times New Roman"/>
        </w:rPr>
        <w:instrText xml:space="preserve">HYPERLINK \l "_Toc73434505"</w:instrText>
      </w:r>
      <w:r>
        <w:rPr>
          <w:rFonts w:ascii="Times New Roman" w:hAnsi="Times New Roman"/>
        </w:rPr>
        <w:fldChar w:fldCharType="separate"/>
      </w:r>
      <w:r>
        <w:rPr>
          <w:rStyle w:val="14"/>
          <w:rFonts w:hint="eastAsia" w:ascii="Times New Roman" w:hAnsi="Times New Roman" w:eastAsia="楷体_GB2312"/>
          <w:b/>
          <w:sz w:val="28"/>
          <w:szCs w:val="28"/>
        </w:rPr>
        <w:t>（二）“十四五”期间应急管理工作面临的挑战</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_Toc73434505 \h </w:instrText>
      </w:r>
      <w:r>
        <w:rPr>
          <w:rFonts w:ascii="Times New Roman" w:hAnsi="Times New Roman"/>
          <w:sz w:val="28"/>
          <w:szCs w:val="28"/>
        </w:rPr>
        <w:fldChar w:fldCharType="separate"/>
      </w:r>
      <w:r>
        <w:rPr>
          <w:rFonts w:ascii="Times New Roman" w:hAnsi="Times New Roman"/>
          <w:sz w:val="28"/>
          <w:szCs w:val="28"/>
        </w:rPr>
        <w:t>- 4 -</w:t>
      </w:r>
      <w:r>
        <w:rPr>
          <w:rFonts w:ascii="Times New Roman" w:hAnsi="Times New Roman"/>
          <w:sz w:val="28"/>
          <w:szCs w:val="28"/>
        </w:rPr>
        <w:fldChar w:fldCharType="end"/>
      </w:r>
      <w:r>
        <w:rPr>
          <w:rFonts w:ascii="Times New Roman" w:hAnsi="Times New Roman"/>
        </w:rPr>
        <w:fldChar w:fldCharType="end"/>
      </w:r>
    </w:p>
    <w:p w14:paraId="5EA243F4">
      <w:pPr>
        <w:pStyle w:val="8"/>
        <w:tabs>
          <w:tab w:val="right" w:leader="dot" w:pos="8296"/>
        </w:tabs>
        <w:ind w:left="640"/>
        <w:rPr>
          <w:rFonts w:ascii="Times New Roman" w:hAnsi="Times New Roman"/>
          <w:sz w:val="28"/>
          <w:szCs w:val="28"/>
        </w:rPr>
      </w:pPr>
      <w:r>
        <w:rPr>
          <w:rFonts w:ascii="Times New Roman" w:hAnsi="Times New Roman"/>
        </w:rPr>
        <w:fldChar w:fldCharType="begin"/>
      </w:r>
      <w:r>
        <w:rPr>
          <w:rFonts w:ascii="Times New Roman" w:hAnsi="Times New Roman"/>
        </w:rPr>
        <w:instrText xml:space="preserve">HYPERLINK \l "_Toc73434506"</w:instrText>
      </w:r>
      <w:r>
        <w:rPr>
          <w:rFonts w:ascii="Times New Roman" w:hAnsi="Times New Roman"/>
        </w:rPr>
        <w:fldChar w:fldCharType="separate"/>
      </w:r>
      <w:r>
        <w:rPr>
          <w:rStyle w:val="14"/>
          <w:rFonts w:hint="eastAsia" w:ascii="Times New Roman" w:hAnsi="Times New Roman" w:eastAsia="楷体_GB2312"/>
          <w:b/>
          <w:sz w:val="28"/>
          <w:szCs w:val="28"/>
        </w:rPr>
        <w:t>（三）“十四五”期间应急管理工作发展的机遇</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_Toc73434506 \h </w:instrText>
      </w:r>
      <w:r>
        <w:rPr>
          <w:rFonts w:ascii="Times New Roman" w:hAnsi="Times New Roman"/>
          <w:sz w:val="28"/>
          <w:szCs w:val="28"/>
        </w:rPr>
        <w:fldChar w:fldCharType="separate"/>
      </w:r>
      <w:r>
        <w:rPr>
          <w:rFonts w:ascii="Times New Roman" w:hAnsi="Times New Roman"/>
          <w:sz w:val="28"/>
          <w:szCs w:val="28"/>
        </w:rPr>
        <w:t>- 6 -</w:t>
      </w:r>
      <w:r>
        <w:rPr>
          <w:rFonts w:ascii="Times New Roman" w:hAnsi="Times New Roman"/>
          <w:sz w:val="28"/>
          <w:szCs w:val="28"/>
        </w:rPr>
        <w:fldChar w:fldCharType="end"/>
      </w:r>
      <w:r>
        <w:rPr>
          <w:rFonts w:ascii="Times New Roman" w:hAnsi="Times New Roman"/>
        </w:rPr>
        <w:fldChar w:fldCharType="end"/>
      </w:r>
    </w:p>
    <w:p w14:paraId="2B814FE3">
      <w:pPr>
        <w:pStyle w:val="7"/>
        <w:tabs>
          <w:tab w:val="right" w:leader="dot" w:pos="8296"/>
        </w:tabs>
        <w:rPr>
          <w:rFonts w:ascii="Times New Roman" w:hAnsi="Times New Roman"/>
          <w:sz w:val="28"/>
          <w:szCs w:val="28"/>
        </w:rPr>
      </w:pPr>
      <w:r>
        <w:rPr>
          <w:rFonts w:ascii="Times New Roman" w:hAnsi="Times New Roman"/>
        </w:rPr>
        <w:fldChar w:fldCharType="begin"/>
      </w:r>
      <w:r>
        <w:rPr>
          <w:rFonts w:ascii="Times New Roman" w:hAnsi="Times New Roman"/>
        </w:rPr>
        <w:instrText xml:space="preserve">HYPERLINK \l "_Toc73434507"</w:instrText>
      </w:r>
      <w:r>
        <w:rPr>
          <w:rFonts w:ascii="Times New Roman" w:hAnsi="Times New Roman"/>
        </w:rPr>
        <w:fldChar w:fldCharType="separate"/>
      </w:r>
      <w:r>
        <w:rPr>
          <w:rStyle w:val="14"/>
          <w:rFonts w:hint="eastAsia" w:ascii="Times New Roman" w:hAnsi="Times New Roman" w:eastAsia="黑体"/>
          <w:b/>
          <w:sz w:val="28"/>
          <w:szCs w:val="28"/>
        </w:rPr>
        <w:t>二、总体要求</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_Toc73434507 \h </w:instrText>
      </w:r>
      <w:r>
        <w:rPr>
          <w:rFonts w:ascii="Times New Roman" w:hAnsi="Times New Roman"/>
          <w:sz w:val="28"/>
          <w:szCs w:val="28"/>
        </w:rPr>
        <w:fldChar w:fldCharType="separate"/>
      </w:r>
      <w:r>
        <w:rPr>
          <w:rFonts w:ascii="Times New Roman" w:hAnsi="Times New Roman"/>
          <w:sz w:val="28"/>
          <w:szCs w:val="28"/>
        </w:rPr>
        <w:t>- 7 -</w:t>
      </w:r>
      <w:r>
        <w:rPr>
          <w:rFonts w:ascii="Times New Roman" w:hAnsi="Times New Roman"/>
          <w:sz w:val="28"/>
          <w:szCs w:val="28"/>
        </w:rPr>
        <w:fldChar w:fldCharType="end"/>
      </w:r>
      <w:r>
        <w:rPr>
          <w:rFonts w:ascii="Times New Roman" w:hAnsi="Times New Roman"/>
        </w:rPr>
        <w:fldChar w:fldCharType="end"/>
      </w:r>
    </w:p>
    <w:p w14:paraId="2E865A8F">
      <w:pPr>
        <w:pStyle w:val="8"/>
        <w:tabs>
          <w:tab w:val="right" w:leader="dot" w:pos="8296"/>
        </w:tabs>
        <w:ind w:left="640"/>
        <w:rPr>
          <w:rFonts w:ascii="Times New Roman" w:hAnsi="Times New Roman"/>
          <w:sz w:val="28"/>
          <w:szCs w:val="28"/>
        </w:rPr>
      </w:pPr>
      <w:r>
        <w:rPr>
          <w:rFonts w:ascii="Times New Roman" w:hAnsi="Times New Roman"/>
        </w:rPr>
        <w:fldChar w:fldCharType="begin"/>
      </w:r>
      <w:r>
        <w:rPr>
          <w:rFonts w:ascii="Times New Roman" w:hAnsi="Times New Roman"/>
        </w:rPr>
        <w:instrText xml:space="preserve">HYPERLINK \l "_Toc73434508"</w:instrText>
      </w:r>
      <w:r>
        <w:rPr>
          <w:rFonts w:ascii="Times New Roman" w:hAnsi="Times New Roman"/>
        </w:rPr>
        <w:fldChar w:fldCharType="separate"/>
      </w:r>
      <w:r>
        <w:rPr>
          <w:rStyle w:val="14"/>
          <w:rFonts w:hint="eastAsia" w:ascii="Times New Roman" w:hAnsi="Times New Roman" w:eastAsia="楷体_GB2312"/>
          <w:b/>
          <w:sz w:val="28"/>
          <w:szCs w:val="28"/>
        </w:rPr>
        <w:t>（一）指导思想</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_Toc73434508 \h </w:instrText>
      </w:r>
      <w:r>
        <w:rPr>
          <w:rFonts w:ascii="Times New Roman" w:hAnsi="Times New Roman"/>
          <w:sz w:val="28"/>
          <w:szCs w:val="28"/>
        </w:rPr>
        <w:fldChar w:fldCharType="separate"/>
      </w:r>
      <w:r>
        <w:rPr>
          <w:rFonts w:ascii="Times New Roman" w:hAnsi="Times New Roman"/>
          <w:sz w:val="28"/>
          <w:szCs w:val="28"/>
        </w:rPr>
        <w:t>- 7 -</w:t>
      </w:r>
      <w:r>
        <w:rPr>
          <w:rFonts w:ascii="Times New Roman" w:hAnsi="Times New Roman"/>
          <w:sz w:val="28"/>
          <w:szCs w:val="28"/>
        </w:rPr>
        <w:fldChar w:fldCharType="end"/>
      </w:r>
      <w:r>
        <w:rPr>
          <w:rFonts w:ascii="Times New Roman" w:hAnsi="Times New Roman"/>
        </w:rPr>
        <w:fldChar w:fldCharType="end"/>
      </w:r>
    </w:p>
    <w:p w14:paraId="6FCD0710">
      <w:pPr>
        <w:pStyle w:val="8"/>
        <w:tabs>
          <w:tab w:val="right" w:leader="dot" w:pos="8296"/>
        </w:tabs>
        <w:ind w:left="640"/>
        <w:rPr>
          <w:rFonts w:ascii="Times New Roman" w:hAnsi="Times New Roman"/>
          <w:sz w:val="28"/>
          <w:szCs w:val="28"/>
        </w:rPr>
      </w:pPr>
      <w:r>
        <w:rPr>
          <w:rFonts w:ascii="Times New Roman" w:hAnsi="Times New Roman"/>
        </w:rPr>
        <w:fldChar w:fldCharType="begin"/>
      </w:r>
      <w:r>
        <w:rPr>
          <w:rFonts w:ascii="Times New Roman" w:hAnsi="Times New Roman"/>
        </w:rPr>
        <w:instrText xml:space="preserve">HYPERLINK \l "_Toc73434509"</w:instrText>
      </w:r>
      <w:r>
        <w:rPr>
          <w:rFonts w:ascii="Times New Roman" w:hAnsi="Times New Roman"/>
        </w:rPr>
        <w:fldChar w:fldCharType="separate"/>
      </w:r>
      <w:r>
        <w:rPr>
          <w:rStyle w:val="14"/>
          <w:rFonts w:hint="eastAsia" w:ascii="Times New Roman" w:hAnsi="Times New Roman" w:eastAsia="楷体_GB2312"/>
          <w:b/>
          <w:sz w:val="28"/>
          <w:szCs w:val="28"/>
        </w:rPr>
        <w:t>（二）基本原则</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_Toc73434509 \h </w:instrText>
      </w:r>
      <w:r>
        <w:rPr>
          <w:rFonts w:ascii="Times New Roman" w:hAnsi="Times New Roman"/>
          <w:sz w:val="28"/>
          <w:szCs w:val="28"/>
        </w:rPr>
        <w:fldChar w:fldCharType="separate"/>
      </w:r>
      <w:r>
        <w:rPr>
          <w:rFonts w:ascii="Times New Roman" w:hAnsi="Times New Roman"/>
          <w:sz w:val="28"/>
          <w:szCs w:val="28"/>
        </w:rPr>
        <w:t>- 8-</w:t>
      </w:r>
      <w:r>
        <w:rPr>
          <w:rFonts w:ascii="Times New Roman" w:hAnsi="Times New Roman"/>
          <w:sz w:val="28"/>
          <w:szCs w:val="28"/>
        </w:rPr>
        <w:fldChar w:fldCharType="end"/>
      </w:r>
      <w:r>
        <w:rPr>
          <w:rFonts w:ascii="Times New Roman" w:hAnsi="Times New Roman"/>
        </w:rPr>
        <w:fldChar w:fldCharType="end"/>
      </w:r>
    </w:p>
    <w:p w14:paraId="2DFCE51C">
      <w:pPr>
        <w:pStyle w:val="8"/>
        <w:tabs>
          <w:tab w:val="right" w:leader="dot" w:pos="8296"/>
        </w:tabs>
        <w:ind w:left="640"/>
        <w:rPr>
          <w:rFonts w:ascii="Times New Roman" w:hAnsi="Times New Roman"/>
          <w:sz w:val="28"/>
          <w:szCs w:val="28"/>
        </w:rPr>
      </w:pPr>
      <w:r>
        <w:rPr>
          <w:rFonts w:ascii="Times New Roman" w:hAnsi="Times New Roman"/>
        </w:rPr>
        <w:fldChar w:fldCharType="begin"/>
      </w:r>
      <w:r>
        <w:rPr>
          <w:rFonts w:ascii="Times New Roman" w:hAnsi="Times New Roman"/>
        </w:rPr>
        <w:instrText xml:space="preserve">HYPERLINK \l "_Toc73434510"</w:instrText>
      </w:r>
      <w:r>
        <w:rPr>
          <w:rFonts w:ascii="Times New Roman" w:hAnsi="Times New Roman"/>
        </w:rPr>
        <w:fldChar w:fldCharType="separate"/>
      </w:r>
      <w:r>
        <w:rPr>
          <w:rStyle w:val="14"/>
          <w:rFonts w:hint="eastAsia" w:ascii="Times New Roman" w:hAnsi="Times New Roman" w:eastAsia="楷体_GB2312"/>
          <w:b/>
          <w:sz w:val="28"/>
          <w:szCs w:val="28"/>
        </w:rPr>
        <w:t>（三）主要目标</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_Toc73434510 \h </w:instrText>
      </w:r>
      <w:r>
        <w:rPr>
          <w:rFonts w:ascii="Times New Roman" w:hAnsi="Times New Roman"/>
          <w:sz w:val="28"/>
          <w:szCs w:val="28"/>
        </w:rPr>
        <w:fldChar w:fldCharType="separate"/>
      </w:r>
      <w:r>
        <w:rPr>
          <w:rFonts w:ascii="Times New Roman" w:hAnsi="Times New Roman"/>
          <w:sz w:val="28"/>
          <w:szCs w:val="28"/>
        </w:rPr>
        <w:t>- 9 -</w:t>
      </w:r>
      <w:r>
        <w:rPr>
          <w:rFonts w:ascii="Times New Roman" w:hAnsi="Times New Roman"/>
          <w:sz w:val="28"/>
          <w:szCs w:val="28"/>
        </w:rPr>
        <w:fldChar w:fldCharType="end"/>
      </w:r>
      <w:r>
        <w:rPr>
          <w:rFonts w:ascii="Times New Roman" w:hAnsi="Times New Roman"/>
        </w:rPr>
        <w:fldChar w:fldCharType="end"/>
      </w:r>
    </w:p>
    <w:p w14:paraId="5A6DAC63">
      <w:pPr>
        <w:pStyle w:val="7"/>
        <w:tabs>
          <w:tab w:val="right" w:leader="dot" w:pos="8296"/>
        </w:tabs>
        <w:rPr>
          <w:rFonts w:ascii="Times New Roman" w:hAnsi="Times New Roman"/>
          <w:sz w:val="28"/>
          <w:szCs w:val="28"/>
        </w:rPr>
      </w:pPr>
      <w:r>
        <w:rPr>
          <w:rFonts w:ascii="Times New Roman" w:hAnsi="Times New Roman"/>
        </w:rPr>
        <w:fldChar w:fldCharType="begin"/>
      </w:r>
      <w:r>
        <w:rPr>
          <w:rFonts w:ascii="Times New Roman" w:hAnsi="Times New Roman"/>
        </w:rPr>
        <w:instrText xml:space="preserve">HYPERLINK \l "_Toc73434511"</w:instrText>
      </w:r>
      <w:r>
        <w:rPr>
          <w:rFonts w:ascii="Times New Roman" w:hAnsi="Times New Roman"/>
        </w:rPr>
        <w:fldChar w:fldCharType="separate"/>
      </w:r>
      <w:r>
        <w:rPr>
          <w:rStyle w:val="14"/>
          <w:rFonts w:hint="eastAsia" w:ascii="Times New Roman" w:hAnsi="Times New Roman" w:eastAsia="黑体" w:cs="Times New Roman"/>
          <w:bCs/>
          <w:sz w:val="28"/>
          <w:szCs w:val="28"/>
        </w:rPr>
        <w:t>三、主要任务</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_Toc73434511 \h </w:instrText>
      </w:r>
      <w:r>
        <w:rPr>
          <w:rFonts w:ascii="Times New Roman" w:hAnsi="Times New Roman"/>
          <w:sz w:val="28"/>
          <w:szCs w:val="28"/>
        </w:rPr>
        <w:fldChar w:fldCharType="separate"/>
      </w:r>
      <w:r>
        <w:rPr>
          <w:rFonts w:ascii="Times New Roman" w:hAnsi="Times New Roman"/>
          <w:sz w:val="28"/>
          <w:szCs w:val="28"/>
        </w:rPr>
        <w:t>- 12-</w:t>
      </w:r>
      <w:r>
        <w:rPr>
          <w:rFonts w:ascii="Times New Roman" w:hAnsi="Times New Roman"/>
          <w:sz w:val="28"/>
          <w:szCs w:val="28"/>
        </w:rPr>
        <w:fldChar w:fldCharType="end"/>
      </w:r>
      <w:r>
        <w:rPr>
          <w:rFonts w:ascii="Times New Roman" w:hAnsi="Times New Roman"/>
        </w:rPr>
        <w:fldChar w:fldCharType="end"/>
      </w:r>
    </w:p>
    <w:p w14:paraId="57E8C426">
      <w:pPr>
        <w:pStyle w:val="8"/>
        <w:tabs>
          <w:tab w:val="right" w:leader="dot" w:pos="8296"/>
        </w:tabs>
        <w:ind w:left="640"/>
        <w:rPr>
          <w:rFonts w:ascii="Times New Roman" w:hAnsi="Times New Roman"/>
          <w:sz w:val="28"/>
          <w:szCs w:val="28"/>
        </w:rPr>
      </w:pPr>
      <w:r>
        <w:rPr>
          <w:rStyle w:val="14"/>
          <w:rFonts w:ascii="Times New Roman" w:eastAsia="楷体_GB2312" w:cs="Times New Roman"/>
          <w:b/>
          <w:bCs/>
        </w:rPr>
        <w:fldChar w:fldCharType="begin"/>
      </w:r>
      <w:r>
        <w:rPr>
          <w:rStyle w:val="14"/>
          <w:rFonts w:ascii="Times New Roman" w:eastAsia="楷体_GB2312" w:cs="Times New Roman"/>
          <w:b/>
          <w:bCs/>
          <w:sz w:val="28"/>
          <w:szCs w:val="28"/>
        </w:rPr>
        <w:instrText xml:space="preserve"> HYPERLINK \l "_Toc73434512" </w:instrText>
      </w:r>
      <w:r>
        <w:rPr>
          <w:rStyle w:val="14"/>
          <w:rFonts w:eastAsia="楷体_GB2312"/>
          <w:b/>
          <w:bCs/>
        </w:rPr>
        <w:fldChar w:fldCharType="separate"/>
      </w:r>
      <w:r>
        <w:rPr>
          <w:rStyle w:val="14"/>
          <w:rFonts w:hint="eastAsia" w:ascii="Times New Roman" w:eastAsia="楷体_GB2312" w:cs="Times New Roman"/>
          <w:b/>
          <w:bCs/>
          <w:sz w:val="28"/>
          <w:szCs w:val="28"/>
        </w:rPr>
        <w:t>（一）完善应急管理体制机制</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_Toc73434512 \h </w:instrText>
      </w:r>
      <w:r>
        <w:rPr>
          <w:rFonts w:ascii="Times New Roman" w:hAnsi="Times New Roman"/>
          <w:sz w:val="28"/>
          <w:szCs w:val="28"/>
        </w:rPr>
        <w:fldChar w:fldCharType="separate"/>
      </w:r>
      <w:r>
        <w:rPr>
          <w:rFonts w:ascii="Times New Roman" w:hAnsi="Times New Roman"/>
          <w:sz w:val="28"/>
          <w:szCs w:val="28"/>
        </w:rPr>
        <w:t>- 12-</w:t>
      </w:r>
      <w:r>
        <w:rPr>
          <w:rFonts w:ascii="Times New Roman" w:hAnsi="Times New Roman"/>
          <w:sz w:val="28"/>
          <w:szCs w:val="28"/>
        </w:rPr>
        <w:fldChar w:fldCharType="end"/>
      </w:r>
      <w:r>
        <w:rPr>
          <w:rFonts w:ascii="Times New Roman" w:hAnsi="Times New Roman"/>
          <w:sz w:val="28"/>
          <w:szCs w:val="28"/>
        </w:rPr>
        <w:fldChar w:fldCharType="end"/>
      </w:r>
    </w:p>
    <w:p w14:paraId="0EBDAF30">
      <w:pPr>
        <w:pStyle w:val="8"/>
        <w:tabs>
          <w:tab w:val="right" w:leader="dot" w:pos="8296"/>
        </w:tabs>
        <w:ind w:left="640"/>
        <w:rPr>
          <w:rFonts w:ascii="Times New Roman" w:hAnsi="Times New Roman"/>
          <w:sz w:val="28"/>
          <w:szCs w:val="28"/>
        </w:rPr>
      </w:pPr>
      <w:r>
        <w:rPr>
          <w:rStyle w:val="14"/>
          <w:rFonts w:ascii="Times New Roman" w:eastAsia="楷体_GB2312"/>
          <w:b/>
        </w:rPr>
        <w:fldChar w:fldCharType="begin"/>
      </w:r>
      <w:r>
        <w:rPr>
          <w:rStyle w:val="14"/>
          <w:rFonts w:ascii="Times New Roman" w:eastAsia="楷体_GB2312"/>
          <w:b/>
          <w:sz w:val="28"/>
          <w:szCs w:val="28"/>
        </w:rPr>
        <w:instrText xml:space="preserve"> HYPERLINK \l "_Toc73434513" </w:instrText>
      </w:r>
      <w:r>
        <w:rPr>
          <w:rStyle w:val="14"/>
          <w:rFonts w:eastAsia="楷体_GB2312"/>
          <w:b/>
        </w:rPr>
        <w:fldChar w:fldCharType="separate"/>
      </w:r>
      <w:r>
        <w:rPr>
          <w:rStyle w:val="14"/>
          <w:rFonts w:hint="eastAsia" w:ascii="Times New Roman" w:eastAsia="楷体_GB2312"/>
          <w:b/>
          <w:sz w:val="28"/>
          <w:szCs w:val="28"/>
        </w:rPr>
        <w:t>（二）提升灾害</w:t>
      </w:r>
      <w:r>
        <w:rPr>
          <w:rStyle w:val="14"/>
          <w:rFonts w:hint="eastAsia" w:ascii="Times New Roman" w:hAnsi="Times New Roman" w:eastAsia="楷体_GB2312"/>
          <w:b/>
          <w:sz w:val="28"/>
          <w:szCs w:val="28"/>
        </w:rPr>
        <w:t>事故</w:t>
      </w:r>
      <w:r>
        <w:rPr>
          <w:rStyle w:val="14"/>
          <w:rFonts w:hint="eastAsia" w:ascii="Times New Roman" w:eastAsia="楷体_GB2312"/>
          <w:b/>
          <w:sz w:val="28"/>
          <w:szCs w:val="28"/>
        </w:rPr>
        <w:t>防范能力</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_Toc73434513 \h </w:instrText>
      </w:r>
      <w:r>
        <w:rPr>
          <w:rFonts w:ascii="Times New Roman" w:hAnsi="Times New Roman"/>
          <w:sz w:val="28"/>
          <w:szCs w:val="28"/>
        </w:rPr>
        <w:fldChar w:fldCharType="separate"/>
      </w:r>
      <w:r>
        <w:rPr>
          <w:rFonts w:ascii="Times New Roman" w:hAnsi="Times New Roman"/>
          <w:sz w:val="28"/>
          <w:szCs w:val="28"/>
        </w:rPr>
        <w:t>- 14 -</w:t>
      </w:r>
      <w:r>
        <w:rPr>
          <w:rFonts w:ascii="Times New Roman" w:hAnsi="Times New Roman"/>
          <w:sz w:val="28"/>
          <w:szCs w:val="28"/>
        </w:rPr>
        <w:fldChar w:fldCharType="end"/>
      </w:r>
      <w:r>
        <w:rPr>
          <w:rFonts w:ascii="Times New Roman" w:hAnsi="Times New Roman"/>
          <w:sz w:val="28"/>
          <w:szCs w:val="28"/>
        </w:rPr>
        <w:fldChar w:fldCharType="end"/>
      </w:r>
    </w:p>
    <w:p w14:paraId="0A316345">
      <w:pPr>
        <w:pStyle w:val="8"/>
        <w:tabs>
          <w:tab w:val="right" w:leader="dot" w:pos="8296"/>
        </w:tabs>
        <w:ind w:left="640"/>
        <w:rPr>
          <w:rFonts w:ascii="Times New Roman" w:hAnsi="Times New Roman"/>
          <w:sz w:val="28"/>
          <w:szCs w:val="28"/>
        </w:rPr>
      </w:pPr>
      <w:r>
        <w:rPr>
          <w:rStyle w:val="14"/>
          <w:rFonts w:ascii="Times New Roman" w:eastAsia="仿宋_GB2312" w:cs="Times New Roman"/>
          <w:b/>
          <w:bCs/>
        </w:rPr>
        <w:fldChar w:fldCharType="begin"/>
      </w:r>
      <w:r>
        <w:rPr>
          <w:rStyle w:val="14"/>
          <w:rFonts w:ascii="Times New Roman" w:eastAsia="仿宋_GB2312" w:cs="Times New Roman"/>
          <w:b/>
          <w:bCs/>
          <w:sz w:val="28"/>
          <w:szCs w:val="28"/>
        </w:rPr>
        <w:instrText xml:space="preserve"> HYPERLINK \l "_Toc73434516" </w:instrText>
      </w:r>
      <w:r>
        <w:rPr>
          <w:rStyle w:val="14"/>
          <w:rFonts w:eastAsia="仿宋_GB2312"/>
          <w:b/>
          <w:bCs/>
        </w:rPr>
        <w:fldChar w:fldCharType="separate"/>
      </w:r>
      <w:r>
        <w:rPr>
          <w:rStyle w:val="14"/>
          <w:rFonts w:hint="eastAsia" w:ascii="Times New Roman" w:eastAsia="仿宋_GB2312" w:cs="Times New Roman"/>
          <w:b/>
          <w:bCs/>
          <w:sz w:val="28"/>
          <w:szCs w:val="28"/>
        </w:rPr>
        <w:t>（三）</w:t>
      </w:r>
      <w:r>
        <w:rPr>
          <w:rStyle w:val="14"/>
          <w:rFonts w:hint="eastAsia" w:ascii="Times New Roman" w:hAnsi="Times New Roman" w:eastAsia="楷体_GB2312"/>
          <w:b/>
          <w:sz w:val="28"/>
          <w:szCs w:val="28"/>
        </w:rPr>
        <w:t>提升灾害事故救援救助能力</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_Toc73434516 \h </w:instrText>
      </w:r>
      <w:r>
        <w:rPr>
          <w:rFonts w:ascii="Times New Roman" w:hAnsi="Times New Roman"/>
          <w:sz w:val="28"/>
          <w:szCs w:val="28"/>
        </w:rPr>
        <w:fldChar w:fldCharType="separate"/>
      </w:r>
      <w:r>
        <w:rPr>
          <w:rFonts w:ascii="Times New Roman" w:hAnsi="Times New Roman"/>
          <w:sz w:val="28"/>
          <w:szCs w:val="28"/>
        </w:rPr>
        <w:t>- 22 -</w:t>
      </w:r>
      <w:r>
        <w:rPr>
          <w:rFonts w:ascii="Times New Roman" w:hAnsi="Times New Roman"/>
          <w:sz w:val="28"/>
          <w:szCs w:val="28"/>
        </w:rPr>
        <w:fldChar w:fldCharType="end"/>
      </w:r>
      <w:r>
        <w:rPr>
          <w:rFonts w:ascii="Times New Roman" w:hAnsi="Times New Roman"/>
          <w:sz w:val="28"/>
          <w:szCs w:val="28"/>
        </w:rPr>
        <w:fldChar w:fldCharType="end"/>
      </w:r>
    </w:p>
    <w:p w14:paraId="47A4925E">
      <w:pPr>
        <w:pStyle w:val="8"/>
        <w:tabs>
          <w:tab w:val="right" w:leader="dot" w:pos="8296"/>
        </w:tabs>
        <w:ind w:left="640"/>
        <w:rPr>
          <w:rFonts w:ascii="Times New Roman" w:hAnsi="Times New Roman"/>
          <w:sz w:val="28"/>
          <w:szCs w:val="28"/>
        </w:rPr>
      </w:pPr>
      <w:r>
        <w:rPr>
          <w:rStyle w:val="14"/>
          <w:rFonts w:ascii="Times New Roman" w:eastAsia="楷体_GB2312" w:cs="Times New Roman"/>
          <w:b/>
        </w:rPr>
        <w:fldChar w:fldCharType="begin"/>
      </w:r>
      <w:r>
        <w:rPr>
          <w:rStyle w:val="14"/>
          <w:rFonts w:ascii="Times New Roman" w:eastAsia="楷体_GB2312" w:cs="Times New Roman"/>
          <w:b/>
          <w:sz w:val="28"/>
          <w:szCs w:val="28"/>
        </w:rPr>
        <w:instrText xml:space="preserve"> HYPERLINK \l "_Toc73434517" </w:instrText>
      </w:r>
      <w:r>
        <w:rPr>
          <w:rStyle w:val="14"/>
          <w:rFonts w:eastAsia="楷体_GB2312"/>
          <w:b/>
        </w:rPr>
        <w:fldChar w:fldCharType="separate"/>
      </w:r>
      <w:r>
        <w:rPr>
          <w:rStyle w:val="14"/>
          <w:rFonts w:hint="eastAsia" w:ascii="Times New Roman" w:eastAsia="楷体_GB2312" w:cs="Times New Roman"/>
          <w:b/>
          <w:sz w:val="28"/>
          <w:szCs w:val="28"/>
        </w:rPr>
        <w:t>（四）提升</w:t>
      </w:r>
      <w:r>
        <w:rPr>
          <w:rStyle w:val="14"/>
          <w:rFonts w:hint="eastAsia" w:ascii="Times New Roman" w:hAnsi="Times New Roman" w:eastAsia="楷体_GB2312"/>
          <w:b/>
          <w:sz w:val="28"/>
          <w:szCs w:val="28"/>
        </w:rPr>
        <w:t>科技与人才</w:t>
      </w:r>
      <w:r>
        <w:rPr>
          <w:rStyle w:val="14"/>
          <w:rFonts w:hint="eastAsia" w:ascii="Times New Roman" w:eastAsia="楷体_GB2312" w:cs="Times New Roman"/>
          <w:b/>
          <w:sz w:val="28"/>
          <w:szCs w:val="28"/>
        </w:rPr>
        <w:t>支撑能力</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_Toc73434517 \h </w:instrText>
      </w:r>
      <w:r>
        <w:rPr>
          <w:rFonts w:ascii="Times New Roman" w:hAnsi="Times New Roman"/>
          <w:sz w:val="28"/>
          <w:szCs w:val="28"/>
        </w:rPr>
        <w:fldChar w:fldCharType="separate"/>
      </w:r>
      <w:r>
        <w:rPr>
          <w:rFonts w:ascii="Times New Roman" w:hAnsi="Times New Roman"/>
          <w:sz w:val="28"/>
          <w:szCs w:val="28"/>
        </w:rPr>
        <w:t>- 24 -</w:t>
      </w:r>
      <w:r>
        <w:rPr>
          <w:rFonts w:ascii="Times New Roman" w:hAnsi="Times New Roman"/>
          <w:sz w:val="28"/>
          <w:szCs w:val="28"/>
        </w:rPr>
        <w:fldChar w:fldCharType="end"/>
      </w:r>
      <w:r>
        <w:rPr>
          <w:rFonts w:ascii="Times New Roman" w:hAnsi="Times New Roman"/>
          <w:sz w:val="28"/>
          <w:szCs w:val="28"/>
        </w:rPr>
        <w:fldChar w:fldCharType="end"/>
      </w:r>
    </w:p>
    <w:p w14:paraId="4A1B64C7">
      <w:pPr>
        <w:pStyle w:val="8"/>
        <w:tabs>
          <w:tab w:val="right" w:leader="dot" w:pos="8296"/>
        </w:tabs>
        <w:ind w:left="640"/>
        <w:rPr>
          <w:rFonts w:ascii="Times New Roman" w:hAnsi="Times New Roman"/>
          <w:sz w:val="28"/>
          <w:szCs w:val="28"/>
        </w:rPr>
      </w:pPr>
      <w:r>
        <w:rPr>
          <w:rStyle w:val="14"/>
          <w:rFonts w:ascii="Times New Roman" w:eastAsia="楷体_GB2312"/>
          <w:b/>
        </w:rPr>
        <w:fldChar w:fldCharType="begin"/>
      </w:r>
      <w:r>
        <w:rPr>
          <w:rStyle w:val="14"/>
          <w:rFonts w:ascii="Times New Roman" w:eastAsia="楷体_GB2312"/>
          <w:b/>
          <w:sz w:val="28"/>
          <w:szCs w:val="28"/>
        </w:rPr>
        <w:instrText xml:space="preserve"> HYPERLINK \l "_Toc73434518" </w:instrText>
      </w:r>
      <w:r>
        <w:rPr>
          <w:rStyle w:val="14"/>
          <w:rFonts w:eastAsia="楷体_GB2312"/>
          <w:b/>
        </w:rPr>
        <w:fldChar w:fldCharType="separate"/>
      </w:r>
      <w:r>
        <w:rPr>
          <w:rStyle w:val="14"/>
          <w:rFonts w:hint="eastAsia" w:ascii="Times New Roman" w:eastAsia="楷体_GB2312"/>
          <w:b/>
          <w:sz w:val="28"/>
          <w:szCs w:val="28"/>
        </w:rPr>
        <w:t>（五）提升宣传教育能力</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_Toc73434518 \h </w:instrText>
      </w:r>
      <w:r>
        <w:rPr>
          <w:rFonts w:ascii="Times New Roman" w:hAnsi="Times New Roman"/>
          <w:sz w:val="28"/>
          <w:szCs w:val="28"/>
        </w:rPr>
        <w:fldChar w:fldCharType="separate"/>
      </w:r>
      <w:r>
        <w:rPr>
          <w:rFonts w:ascii="Times New Roman" w:hAnsi="Times New Roman"/>
          <w:sz w:val="28"/>
          <w:szCs w:val="28"/>
        </w:rPr>
        <w:t>- 26-</w:t>
      </w:r>
      <w:r>
        <w:rPr>
          <w:rFonts w:ascii="Times New Roman" w:hAnsi="Times New Roman"/>
          <w:sz w:val="28"/>
          <w:szCs w:val="28"/>
        </w:rPr>
        <w:fldChar w:fldCharType="end"/>
      </w:r>
      <w:r>
        <w:rPr>
          <w:rFonts w:ascii="Times New Roman" w:hAnsi="Times New Roman"/>
          <w:sz w:val="28"/>
          <w:szCs w:val="28"/>
        </w:rPr>
        <w:fldChar w:fldCharType="end"/>
      </w:r>
    </w:p>
    <w:p w14:paraId="24DF819A">
      <w:pPr>
        <w:pStyle w:val="7"/>
        <w:tabs>
          <w:tab w:val="right" w:leader="dot" w:pos="8296"/>
        </w:tabs>
        <w:rPr>
          <w:rFonts w:ascii="Times New Roman" w:hAnsi="Times New Roman"/>
          <w:sz w:val="28"/>
          <w:szCs w:val="28"/>
        </w:rPr>
      </w:pPr>
      <w:r>
        <w:rPr>
          <w:rFonts w:ascii="Times New Roman" w:hAnsi="Times New Roman"/>
        </w:rPr>
        <w:fldChar w:fldCharType="begin"/>
      </w:r>
      <w:r>
        <w:rPr>
          <w:rFonts w:ascii="Times New Roman" w:hAnsi="Times New Roman"/>
        </w:rPr>
        <w:instrText xml:space="preserve">HYPERLINK \l "_Toc73434519"</w:instrText>
      </w:r>
      <w:r>
        <w:rPr>
          <w:rFonts w:ascii="Times New Roman" w:hAnsi="Times New Roman"/>
        </w:rPr>
        <w:fldChar w:fldCharType="separate"/>
      </w:r>
      <w:r>
        <w:rPr>
          <w:rStyle w:val="14"/>
          <w:rFonts w:hint="eastAsia" w:ascii="Times New Roman" w:hAnsi="Times New Roman" w:eastAsia="黑体" w:cs="Times New Roman"/>
          <w:sz w:val="28"/>
          <w:szCs w:val="28"/>
        </w:rPr>
        <w:t>四、重点工程</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_Toc73434519 \h </w:instrText>
      </w:r>
      <w:r>
        <w:rPr>
          <w:rFonts w:ascii="Times New Roman" w:hAnsi="Times New Roman"/>
          <w:sz w:val="28"/>
          <w:szCs w:val="28"/>
        </w:rPr>
        <w:fldChar w:fldCharType="separate"/>
      </w:r>
      <w:r>
        <w:rPr>
          <w:rFonts w:ascii="Times New Roman" w:hAnsi="Times New Roman"/>
          <w:sz w:val="28"/>
          <w:szCs w:val="28"/>
        </w:rPr>
        <w:t>- 27 -</w:t>
      </w:r>
      <w:r>
        <w:rPr>
          <w:rFonts w:ascii="Times New Roman" w:hAnsi="Times New Roman"/>
          <w:sz w:val="28"/>
          <w:szCs w:val="28"/>
        </w:rPr>
        <w:fldChar w:fldCharType="end"/>
      </w:r>
      <w:r>
        <w:rPr>
          <w:rFonts w:ascii="Times New Roman" w:hAnsi="Times New Roman"/>
        </w:rPr>
        <w:fldChar w:fldCharType="end"/>
      </w:r>
    </w:p>
    <w:p w14:paraId="175D0653">
      <w:pPr>
        <w:pStyle w:val="8"/>
        <w:tabs>
          <w:tab w:val="right" w:leader="dot" w:pos="8296"/>
        </w:tabs>
        <w:ind w:left="640"/>
        <w:rPr>
          <w:rFonts w:ascii="Times New Roman" w:hAnsi="Times New Roman"/>
          <w:sz w:val="28"/>
          <w:szCs w:val="28"/>
        </w:rPr>
      </w:pPr>
      <w:r>
        <w:rPr>
          <w:rStyle w:val="14"/>
          <w:rFonts w:ascii="Times New Roman" w:hAnsi="Times New Roman" w:eastAsia="楷体_GB2312"/>
          <w:b/>
        </w:rPr>
        <w:fldChar w:fldCharType="begin"/>
      </w:r>
      <w:r>
        <w:rPr>
          <w:rStyle w:val="14"/>
          <w:rFonts w:ascii="Times New Roman" w:hAnsi="Times New Roman" w:eastAsia="楷体_GB2312"/>
          <w:b/>
          <w:sz w:val="28"/>
          <w:szCs w:val="28"/>
        </w:rPr>
        <w:instrText xml:space="preserve"> HYPERLINK \l "_Toc73434520" </w:instrText>
      </w:r>
      <w:r>
        <w:rPr>
          <w:rStyle w:val="14"/>
          <w:rFonts w:eastAsia="楷体_GB2312"/>
          <w:b/>
        </w:rPr>
        <w:fldChar w:fldCharType="separate"/>
      </w:r>
      <w:r>
        <w:rPr>
          <w:rStyle w:val="14"/>
          <w:rFonts w:hint="eastAsia" w:ascii="Times New Roman" w:hAnsi="Times New Roman" w:eastAsia="楷体_GB2312"/>
          <w:b/>
          <w:sz w:val="28"/>
          <w:szCs w:val="28"/>
        </w:rPr>
        <w:t>（一）应急指挥和行政执法能力提升工程</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_Toc73434520 \h </w:instrText>
      </w:r>
      <w:r>
        <w:rPr>
          <w:rFonts w:ascii="Times New Roman" w:hAnsi="Times New Roman"/>
          <w:sz w:val="28"/>
          <w:szCs w:val="28"/>
        </w:rPr>
        <w:fldChar w:fldCharType="separate"/>
      </w:r>
      <w:r>
        <w:rPr>
          <w:rFonts w:ascii="Times New Roman" w:hAnsi="Times New Roman"/>
          <w:sz w:val="28"/>
          <w:szCs w:val="28"/>
        </w:rPr>
        <w:t>- 27-</w:t>
      </w:r>
      <w:r>
        <w:rPr>
          <w:rFonts w:ascii="Times New Roman" w:hAnsi="Times New Roman"/>
          <w:sz w:val="28"/>
          <w:szCs w:val="28"/>
        </w:rPr>
        <w:fldChar w:fldCharType="end"/>
      </w:r>
      <w:r>
        <w:rPr>
          <w:rFonts w:ascii="Times New Roman" w:hAnsi="Times New Roman"/>
          <w:sz w:val="28"/>
          <w:szCs w:val="28"/>
        </w:rPr>
        <w:fldChar w:fldCharType="end"/>
      </w:r>
    </w:p>
    <w:p w14:paraId="6002A93A">
      <w:pPr>
        <w:pStyle w:val="8"/>
        <w:tabs>
          <w:tab w:val="right" w:leader="dot" w:pos="8296"/>
        </w:tabs>
        <w:ind w:left="640"/>
        <w:rPr>
          <w:rFonts w:ascii="Times New Roman" w:hAnsi="Times New Roman"/>
          <w:sz w:val="28"/>
          <w:szCs w:val="28"/>
        </w:rPr>
      </w:pPr>
      <w:r>
        <w:rPr>
          <w:rFonts w:ascii="Times New Roman" w:hAnsi="Times New Roman"/>
        </w:rPr>
        <w:fldChar w:fldCharType="begin"/>
      </w:r>
      <w:r>
        <w:rPr>
          <w:rFonts w:ascii="Times New Roman" w:hAnsi="Times New Roman"/>
        </w:rPr>
        <w:instrText xml:space="preserve">HYPERLINK \l "_Toc73434521"</w:instrText>
      </w:r>
      <w:r>
        <w:rPr>
          <w:rFonts w:ascii="Times New Roman" w:hAnsi="Times New Roman"/>
        </w:rPr>
        <w:fldChar w:fldCharType="separate"/>
      </w:r>
      <w:r>
        <w:rPr>
          <w:rStyle w:val="14"/>
          <w:rFonts w:hint="eastAsia" w:ascii="Times New Roman" w:hAnsi="Times New Roman" w:eastAsia="楷体_GB2312"/>
          <w:b/>
          <w:sz w:val="28"/>
          <w:szCs w:val="28"/>
        </w:rPr>
        <w:t>（二）风险防控能力提升工程</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_Toc73434521 \h </w:instrText>
      </w:r>
      <w:r>
        <w:rPr>
          <w:rFonts w:ascii="Times New Roman" w:hAnsi="Times New Roman"/>
          <w:sz w:val="28"/>
          <w:szCs w:val="28"/>
        </w:rPr>
        <w:fldChar w:fldCharType="separate"/>
      </w:r>
      <w:r>
        <w:rPr>
          <w:rFonts w:ascii="Times New Roman" w:hAnsi="Times New Roman"/>
          <w:sz w:val="28"/>
          <w:szCs w:val="28"/>
        </w:rPr>
        <w:t>- 27-</w:t>
      </w:r>
      <w:r>
        <w:rPr>
          <w:rFonts w:ascii="Times New Roman" w:hAnsi="Times New Roman"/>
          <w:sz w:val="28"/>
          <w:szCs w:val="28"/>
        </w:rPr>
        <w:fldChar w:fldCharType="end"/>
      </w:r>
      <w:r>
        <w:rPr>
          <w:rFonts w:ascii="Times New Roman" w:hAnsi="Times New Roman"/>
        </w:rPr>
        <w:fldChar w:fldCharType="end"/>
      </w:r>
    </w:p>
    <w:p w14:paraId="6ED28D4C">
      <w:pPr>
        <w:pStyle w:val="8"/>
        <w:tabs>
          <w:tab w:val="right" w:leader="dot" w:pos="8296"/>
        </w:tabs>
        <w:ind w:left="640"/>
        <w:rPr>
          <w:rFonts w:ascii="Times New Roman" w:hAnsi="Times New Roman"/>
          <w:sz w:val="28"/>
          <w:szCs w:val="28"/>
        </w:rPr>
      </w:pPr>
      <w:r>
        <w:rPr>
          <w:rFonts w:ascii="Times New Roman" w:hAnsi="Times New Roman"/>
        </w:rPr>
        <w:fldChar w:fldCharType="begin"/>
      </w:r>
      <w:r>
        <w:rPr>
          <w:rFonts w:ascii="Times New Roman" w:hAnsi="Times New Roman"/>
        </w:rPr>
        <w:instrText xml:space="preserve">HYPERLINK \l "_Toc73434522"</w:instrText>
      </w:r>
      <w:r>
        <w:rPr>
          <w:rFonts w:ascii="Times New Roman" w:hAnsi="Times New Roman"/>
        </w:rPr>
        <w:fldChar w:fldCharType="separate"/>
      </w:r>
      <w:r>
        <w:rPr>
          <w:rStyle w:val="14"/>
          <w:rFonts w:hint="eastAsia" w:ascii="Times New Roman" w:hAnsi="Times New Roman" w:eastAsia="楷体_GB2312"/>
          <w:b/>
          <w:sz w:val="28"/>
          <w:szCs w:val="28"/>
        </w:rPr>
        <w:t>（三）应急救援能力提升工程</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_Toc73434522 \h </w:instrText>
      </w:r>
      <w:r>
        <w:rPr>
          <w:rFonts w:ascii="Times New Roman" w:hAnsi="Times New Roman"/>
          <w:sz w:val="28"/>
          <w:szCs w:val="28"/>
        </w:rPr>
        <w:fldChar w:fldCharType="separate"/>
      </w:r>
      <w:r>
        <w:rPr>
          <w:rFonts w:ascii="Times New Roman" w:hAnsi="Times New Roman"/>
          <w:sz w:val="28"/>
          <w:szCs w:val="28"/>
        </w:rPr>
        <w:t>- 28 -</w:t>
      </w:r>
      <w:r>
        <w:rPr>
          <w:rFonts w:ascii="Times New Roman" w:hAnsi="Times New Roman"/>
          <w:sz w:val="28"/>
          <w:szCs w:val="28"/>
        </w:rPr>
        <w:fldChar w:fldCharType="end"/>
      </w:r>
      <w:r>
        <w:rPr>
          <w:rFonts w:ascii="Times New Roman" w:hAnsi="Times New Roman"/>
        </w:rPr>
        <w:fldChar w:fldCharType="end"/>
      </w:r>
    </w:p>
    <w:p w14:paraId="5AD91EF8">
      <w:pPr>
        <w:pStyle w:val="8"/>
        <w:tabs>
          <w:tab w:val="right" w:leader="dot" w:pos="8296"/>
        </w:tabs>
        <w:ind w:left="640"/>
        <w:rPr>
          <w:rFonts w:ascii="Times New Roman" w:hAnsi="Times New Roman"/>
          <w:sz w:val="28"/>
          <w:szCs w:val="28"/>
        </w:rPr>
      </w:pPr>
      <w:r>
        <w:rPr>
          <w:rStyle w:val="14"/>
          <w:rFonts w:ascii="Times New Roman" w:hAnsi="Times New Roman" w:eastAsia="楷体_GB2312"/>
          <w:b/>
        </w:rPr>
        <w:fldChar w:fldCharType="begin"/>
      </w:r>
      <w:r>
        <w:rPr>
          <w:rStyle w:val="14"/>
          <w:rFonts w:ascii="Times New Roman" w:hAnsi="Times New Roman" w:eastAsia="楷体_GB2312"/>
          <w:b/>
          <w:sz w:val="28"/>
          <w:szCs w:val="28"/>
        </w:rPr>
        <w:instrText xml:space="preserve"> HYPERLINK \l "_Toc73434523" </w:instrText>
      </w:r>
      <w:r>
        <w:rPr>
          <w:rStyle w:val="14"/>
          <w:rFonts w:eastAsia="楷体_GB2312"/>
          <w:b/>
        </w:rPr>
        <w:fldChar w:fldCharType="separate"/>
      </w:r>
      <w:r>
        <w:rPr>
          <w:rStyle w:val="14"/>
          <w:rFonts w:hint="eastAsia" w:ascii="Times New Roman" w:hAnsi="Times New Roman" w:eastAsia="楷体_GB2312"/>
          <w:b/>
          <w:sz w:val="28"/>
          <w:szCs w:val="28"/>
        </w:rPr>
        <w:t>（四）</w:t>
      </w:r>
      <w:r>
        <w:rPr>
          <w:rStyle w:val="14"/>
          <w:rFonts w:hint="eastAsia" w:ascii="Times New Roman" w:eastAsia="楷体_GB2312"/>
          <w:b/>
          <w:sz w:val="28"/>
          <w:szCs w:val="28"/>
        </w:rPr>
        <w:t>应急物资保障能力建设工程</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_Toc73434523 \h </w:instrText>
      </w:r>
      <w:r>
        <w:rPr>
          <w:rFonts w:ascii="Times New Roman" w:hAnsi="Times New Roman"/>
          <w:sz w:val="28"/>
          <w:szCs w:val="28"/>
        </w:rPr>
        <w:fldChar w:fldCharType="separate"/>
      </w:r>
      <w:r>
        <w:rPr>
          <w:rFonts w:ascii="Times New Roman" w:hAnsi="Times New Roman"/>
          <w:sz w:val="28"/>
          <w:szCs w:val="28"/>
        </w:rPr>
        <w:t>- 29 -</w:t>
      </w:r>
      <w:r>
        <w:rPr>
          <w:rFonts w:ascii="Times New Roman" w:hAnsi="Times New Roman"/>
          <w:sz w:val="28"/>
          <w:szCs w:val="28"/>
        </w:rPr>
        <w:fldChar w:fldCharType="end"/>
      </w:r>
      <w:r>
        <w:rPr>
          <w:rFonts w:ascii="Times New Roman" w:hAnsi="Times New Roman"/>
          <w:sz w:val="28"/>
          <w:szCs w:val="28"/>
        </w:rPr>
        <w:fldChar w:fldCharType="end"/>
      </w:r>
    </w:p>
    <w:p w14:paraId="29AB6A87">
      <w:pPr>
        <w:pStyle w:val="8"/>
        <w:tabs>
          <w:tab w:val="right" w:leader="dot" w:pos="8296"/>
        </w:tabs>
        <w:ind w:left="640"/>
        <w:rPr>
          <w:rFonts w:ascii="Times New Roman" w:hAnsi="Times New Roman"/>
          <w:sz w:val="28"/>
          <w:szCs w:val="28"/>
        </w:rPr>
      </w:pPr>
      <w:r>
        <w:rPr>
          <w:rFonts w:ascii="Times New Roman" w:hAnsi="Times New Roman"/>
        </w:rPr>
        <w:fldChar w:fldCharType="begin"/>
      </w:r>
      <w:r>
        <w:rPr>
          <w:rFonts w:ascii="Times New Roman" w:hAnsi="Times New Roman"/>
        </w:rPr>
        <w:instrText xml:space="preserve">HYPERLINK \l "_Toc73434524"</w:instrText>
      </w:r>
      <w:r>
        <w:rPr>
          <w:rFonts w:ascii="Times New Roman" w:hAnsi="Times New Roman"/>
        </w:rPr>
        <w:fldChar w:fldCharType="separate"/>
      </w:r>
      <w:r>
        <w:rPr>
          <w:rStyle w:val="14"/>
          <w:rFonts w:hint="eastAsia" w:ascii="Times New Roman" w:hAnsi="Times New Roman" w:eastAsia="楷体_GB2312" w:cs="Times New Roman"/>
          <w:b/>
          <w:sz w:val="28"/>
          <w:szCs w:val="28"/>
        </w:rPr>
        <w:t>（五）宣传</w:t>
      </w:r>
      <w:r>
        <w:rPr>
          <w:rStyle w:val="14"/>
          <w:rFonts w:hint="eastAsia" w:ascii="Times New Roman" w:hAnsi="Times New Roman" w:eastAsia="楷体_GB2312"/>
          <w:b/>
          <w:sz w:val="28"/>
          <w:szCs w:val="28"/>
        </w:rPr>
        <w:t>教育</w:t>
      </w:r>
      <w:r>
        <w:rPr>
          <w:rStyle w:val="14"/>
          <w:rFonts w:hint="eastAsia" w:ascii="Times New Roman" w:hAnsi="Times New Roman" w:eastAsia="楷体_GB2312" w:cs="Times New Roman"/>
          <w:b/>
          <w:sz w:val="28"/>
          <w:szCs w:val="28"/>
        </w:rPr>
        <w:t>社会动员能力建设工程</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_Toc73434524 \h </w:instrText>
      </w:r>
      <w:r>
        <w:rPr>
          <w:rFonts w:ascii="Times New Roman" w:hAnsi="Times New Roman"/>
          <w:sz w:val="28"/>
          <w:szCs w:val="28"/>
        </w:rPr>
        <w:fldChar w:fldCharType="separate"/>
      </w:r>
      <w:r>
        <w:rPr>
          <w:rFonts w:ascii="Times New Roman" w:hAnsi="Times New Roman"/>
          <w:sz w:val="28"/>
          <w:szCs w:val="28"/>
        </w:rPr>
        <w:t>- 29 -</w:t>
      </w:r>
      <w:r>
        <w:rPr>
          <w:rFonts w:ascii="Times New Roman" w:hAnsi="Times New Roman"/>
          <w:sz w:val="28"/>
          <w:szCs w:val="28"/>
        </w:rPr>
        <w:fldChar w:fldCharType="end"/>
      </w:r>
      <w:r>
        <w:rPr>
          <w:rFonts w:ascii="Times New Roman" w:hAnsi="Times New Roman"/>
        </w:rPr>
        <w:fldChar w:fldCharType="end"/>
      </w:r>
    </w:p>
    <w:p w14:paraId="6917D764">
      <w:pPr>
        <w:pStyle w:val="7"/>
        <w:tabs>
          <w:tab w:val="right" w:leader="dot" w:pos="8296"/>
        </w:tabs>
        <w:rPr>
          <w:rFonts w:ascii="Times New Roman" w:hAnsi="Times New Roman"/>
          <w:sz w:val="28"/>
          <w:szCs w:val="28"/>
        </w:rPr>
      </w:pPr>
      <w:r>
        <w:rPr>
          <w:rFonts w:ascii="Times New Roman" w:hAnsi="Times New Roman"/>
        </w:rPr>
        <w:fldChar w:fldCharType="begin"/>
      </w:r>
      <w:r>
        <w:rPr>
          <w:rFonts w:ascii="Times New Roman" w:hAnsi="Times New Roman"/>
        </w:rPr>
        <w:instrText xml:space="preserve">HYPERLINK \l "_Toc73434525"</w:instrText>
      </w:r>
      <w:r>
        <w:rPr>
          <w:rFonts w:ascii="Times New Roman" w:hAnsi="Times New Roman"/>
        </w:rPr>
        <w:fldChar w:fldCharType="separate"/>
      </w:r>
      <w:r>
        <w:rPr>
          <w:rStyle w:val="14"/>
          <w:rFonts w:hint="eastAsia" w:ascii="Times New Roman" w:hAnsi="Times New Roman" w:eastAsia="黑体"/>
          <w:sz w:val="28"/>
          <w:szCs w:val="28"/>
        </w:rPr>
        <w:t>五、保障措施</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_Toc73434525 \h </w:instrText>
      </w:r>
      <w:r>
        <w:rPr>
          <w:rFonts w:ascii="Times New Roman" w:hAnsi="Times New Roman"/>
          <w:sz w:val="28"/>
          <w:szCs w:val="28"/>
        </w:rPr>
        <w:fldChar w:fldCharType="separate"/>
      </w:r>
      <w:r>
        <w:rPr>
          <w:rFonts w:ascii="Times New Roman" w:hAnsi="Times New Roman"/>
          <w:sz w:val="28"/>
          <w:szCs w:val="28"/>
        </w:rPr>
        <w:t>- 29-</w:t>
      </w:r>
      <w:r>
        <w:rPr>
          <w:rFonts w:ascii="Times New Roman" w:hAnsi="Times New Roman"/>
          <w:sz w:val="28"/>
          <w:szCs w:val="28"/>
        </w:rPr>
        <w:fldChar w:fldCharType="end"/>
      </w:r>
      <w:r>
        <w:rPr>
          <w:rFonts w:ascii="Times New Roman" w:hAnsi="Times New Roman"/>
        </w:rPr>
        <w:fldChar w:fldCharType="end"/>
      </w:r>
    </w:p>
    <w:p w14:paraId="4D3B4F0B">
      <w:pPr>
        <w:pStyle w:val="8"/>
        <w:tabs>
          <w:tab w:val="right" w:leader="dot" w:pos="8296"/>
        </w:tabs>
        <w:ind w:left="640"/>
        <w:rPr>
          <w:rFonts w:ascii="Times New Roman" w:hAnsi="Times New Roman"/>
          <w:sz w:val="28"/>
          <w:szCs w:val="28"/>
        </w:rPr>
      </w:pPr>
      <w:r>
        <w:rPr>
          <w:rFonts w:ascii="Times New Roman" w:hAnsi="Times New Roman"/>
        </w:rPr>
        <w:fldChar w:fldCharType="begin"/>
      </w:r>
      <w:r>
        <w:rPr>
          <w:rFonts w:ascii="Times New Roman" w:hAnsi="Times New Roman"/>
        </w:rPr>
        <w:instrText xml:space="preserve">HYPERLINK \l "_Toc73434526"</w:instrText>
      </w:r>
      <w:r>
        <w:rPr>
          <w:rFonts w:ascii="Times New Roman" w:hAnsi="Times New Roman"/>
        </w:rPr>
        <w:fldChar w:fldCharType="separate"/>
      </w:r>
      <w:r>
        <w:rPr>
          <w:rStyle w:val="14"/>
          <w:rFonts w:hint="eastAsia" w:ascii="Times New Roman" w:eastAsia="楷体_GB2312"/>
          <w:b/>
          <w:sz w:val="28"/>
          <w:szCs w:val="28"/>
        </w:rPr>
        <w:t>（一）</w:t>
      </w:r>
      <w:r>
        <w:rPr>
          <w:rStyle w:val="14"/>
          <w:rFonts w:hint="eastAsia" w:ascii="Times New Roman" w:hAnsi="Times New Roman" w:eastAsia="楷体_GB2312"/>
          <w:b/>
          <w:sz w:val="28"/>
          <w:szCs w:val="28"/>
        </w:rPr>
        <w:t>加强</w:t>
      </w:r>
      <w:r>
        <w:rPr>
          <w:rStyle w:val="14"/>
          <w:rFonts w:hint="eastAsia" w:ascii="Times New Roman" w:eastAsia="楷体_GB2312"/>
          <w:b/>
          <w:sz w:val="28"/>
          <w:szCs w:val="28"/>
        </w:rPr>
        <w:t>组织领导</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_Toc73434526 \h </w:instrText>
      </w:r>
      <w:r>
        <w:rPr>
          <w:rFonts w:ascii="Times New Roman" w:hAnsi="Times New Roman"/>
          <w:sz w:val="28"/>
          <w:szCs w:val="28"/>
        </w:rPr>
        <w:fldChar w:fldCharType="separate"/>
      </w:r>
      <w:r>
        <w:rPr>
          <w:rFonts w:ascii="Times New Roman" w:hAnsi="Times New Roman"/>
          <w:sz w:val="28"/>
          <w:szCs w:val="28"/>
        </w:rPr>
        <w:t>- 29 -</w:t>
      </w:r>
      <w:r>
        <w:rPr>
          <w:rFonts w:ascii="Times New Roman" w:hAnsi="Times New Roman"/>
          <w:sz w:val="28"/>
          <w:szCs w:val="28"/>
        </w:rPr>
        <w:fldChar w:fldCharType="end"/>
      </w:r>
      <w:r>
        <w:rPr>
          <w:rFonts w:ascii="Times New Roman" w:hAnsi="Times New Roman"/>
        </w:rPr>
        <w:fldChar w:fldCharType="end"/>
      </w:r>
    </w:p>
    <w:p w14:paraId="44D6460F">
      <w:pPr>
        <w:pStyle w:val="8"/>
        <w:tabs>
          <w:tab w:val="right" w:leader="dot" w:pos="8296"/>
        </w:tabs>
        <w:ind w:left="640"/>
        <w:rPr>
          <w:rFonts w:ascii="Times New Roman" w:hAnsi="Times New Roman"/>
          <w:sz w:val="28"/>
          <w:szCs w:val="28"/>
        </w:rPr>
      </w:pPr>
      <w:r>
        <w:rPr>
          <w:rFonts w:ascii="Times New Roman" w:hAnsi="Times New Roman"/>
        </w:rPr>
        <w:fldChar w:fldCharType="begin"/>
      </w:r>
      <w:r>
        <w:rPr>
          <w:rFonts w:ascii="Times New Roman" w:hAnsi="Times New Roman"/>
        </w:rPr>
        <w:instrText xml:space="preserve">HYPERLINK \l "_Toc73434527"</w:instrText>
      </w:r>
      <w:r>
        <w:rPr>
          <w:rFonts w:ascii="Times New Roman" w:hAnsi="Times New Roman"/>
        </w:rPr>
        <w:fldChar w:fldCharType="separate"/>
      </w:r>
      <w:r>
        <w:rPr>
          <w:rStyle w:val="14"/>
          <w:rFonts w:hint="eastAsia" w:ascii="Times New Roman" w:eastAsia="楷体_GB2312"/>
          <w:b/>
          <w:sz w:val="28"/>
          <w:szCs w:val="28"/>
        </w:rPr>
        <w:t>（二）</w:t>
      </w:r>
      <w:r>
        <w:rPr>
          <w:rStyle w:val="14"/>
          <w:rFonts w:hint="eastAsia" w:ascii="Times New Roman" w:hAnsi="Times New Roman" w:eastAsia="楷体_GB2312"/>
          <w:b/>
          <w:sz w:val="28"/>
          <w:szCs w:val="28"/>
        </w:rPr>
        <w:t>加强协调配合</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_Toc73434527 \h </w:instrText>
      </w:r>
      <w:r>
        <w:rPr>
          <w:rFonts w:ascii="Times New Roman" w:hAnsi="Times New Roman"/>
          <w:sz w:val="28"/>
          <w:szCs w:val="28"/>
        </w:rPr>
        <w:fldChar w:fldCharType="separate"/>
      </w:r>
      <w:r>
        <w:rPr>
          <w:rFonts w:ascii="Times New Roman" w:hAnsi="Times New Roman"/>
          <w:sz w:val="28"/>
          <w:szCs w:val="28"/>
        </w:rPr>
        <w:t>- 30 -</w:t>
      </w:r>
      <w:r>
        <w:rPr>
          <w:rFonts w:ascii="Times New Roman" w:hAnsi="Times New Roman"/>
          <w:sz w:val="28"/>
          <w:szCs w:val="28"/>
        </w:rPr>
        <w:fldChar w:fldCharType="end"/>
      </w:r>
      <w:r>
        <w:rPr>
          <w:rFonts w:ascii="Times New Roman" w:hAnsi="Times New Roman"/>
        </w:rPr>
        <w:fldChar w:fldCharType="end"/>
      </w:r>
    </w:p>
    <w:p w14:paraId="4ACA1B42">
      <w:pPr>
        <w:pStyle w:val="8"/>
        <w:tabs>
          <w:tab w:val="right" w:leader="dot" w:pos="8296"/>
        </w:tabs>
        <w:ind w:left="640"/>
        <w:rPr>
          <w:rFonts w:ascii="Times New Roman" w:hAnsi="Times New Roman"/>
          <w:sz w:val="28"/>
          <w:szCs w:val="28"/>
        </w:rPr>
      </w:pPr>
      <w:r>
        <w:rPr>
          <w:rFonts w:ascii="Times New Roman" w:hAnsi="Times New Roman"/>
        </w:rPr>
        <w:fldChar w:fldCharType="begin"/>
      </w:r>
      <w:r>
        <w:rPr>
          <w:rFonts w:ascii="Times New Roman" w:hAnsi="Times New Roman"/>
        </w:rPr>
        <w:instrText xml:space="preserve">HYPERLINK \l "_Toc73434528"</w:instrText>
      </w:r>
      <w:r>
        <w:rPr>
          <w:rFonts w:ascii="Times New Roman" w:hAnsi="Times New Roman"/>
        </w:rPr>
        <w:fldChar w:fldCharType="separate"/>
      </w:r>
      <w:r>
        <w:rPr>
          <w:rStyle w:val="14"/>
          <w:rFonts w:hint="eastAsia" w:ascii="Times New Roman" w:eastAsia="楷体_GB2312"/>
          <w:b/>
          <w:sz w:val="28"/>
          <w:szCs w:val="28"/>
        </w:rPr>
        <w:t>（三）</w:t>
      </w:r>
      <w:r>
        <w:rPr>
          <w:rStyle w:val="14"/>
          <w:rFonts w:hint="eastAsia" w:ascii="Times New Roman" w:hAnsi="Times New Roman" w:eastAsia="楷体_GB2312"/>
          <w:b/>
          <w:sz w:val="28"/>
          <w:szCs w:val="28"/>
        </w:rPr>
        <w:t>健全激励保障机制</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_Toc73434528 \h </w:instrText>
      </w:r>
      <w:r>
        <w:rPr>
          <w:rFonts w:ascii="Times New Roman" w:hAnsi="Times New Roman"/>
          <w:sz w:val="28"/>
          <w:szCs w:val="28"/>
        </w:rPr>
        <w:fldChar w:fldCharType="separate"/>
      </w:r>
      <w:r>
        <w:rPr>
          <w:rFonts w:ascii="Times New Roman" w:hAnsi="Times New Roman"/>
          <w:sz w:val="28"/>
          <w:szCs w:val="28"/>
        </w:rPr>
        <w:t>- 30 -</w:t>
      </w:r>
      <w:r>
        <w:rPr>
          <w:rFonts w:ascii="Times New Roman" w:hAnsi="Times New Roman"/>
          <w:sz w:val="28"/>
          <w:szCs w:val="28"/>
        </w:rPr>
        <w:fldChar w:fldCharType="end"/>
      </w:r>
      <w:r>
        <w:rPr>
          <w:rFonts w:ascii="Times New Roman" w:hAnsi="Times New Roman"/>
        </w:rPr>
        <w:fldChar w:fldCharType="end"/>
      </w:r>
    </w:p>
    <w:p w14:paraId="71B84496">
      <w:pPr>
        <w:pStyle w:val="8"/>
        <w:tabs>
          <w:tab w:val="right" w:leader="dot" w:pos="8296"/>
        </w:tabs>
        <w:ind w:left="640"/>
        <w:rPr>
          <w:rFonts w:ascii="Times New Roman" w:hAnsi="Times New Roman"/>
        </w:rPr>
      </w:pPr>
      <w:r>
        <w:rPr>
          <w:rFonts w:ascii="Times New Roman" w:hAnsi="Times New Roman"/>
        </w:rPr>
        <w:fldChar w:fldCharType="begin"/>
      </w:r>
      <w:r>
        <w:rPr>
          <w:rFonts w:ascii="Times New Roman" w:hAnsi="Times New Roman"/>
        </w:rPr>
        <w:instrText xml:space="preserve">HYPERLINK \l "_Toc73434530"</w:instrText>
      </w:r>
      <w:r>
        <w:rPr>
          <w:rFonts w:ascii="Times New Roman" w:hAnsi="Times New Roman"/>
        </w:rPr>
        <w:fldChar w:fldCharType="separate"/>
      </w:r>
      <w:r>
        <w:rPr>
          <w:rStyle w:val="14"/>
          <w:rFonts w:hint="eastAsia" w:ascii="Times New Roman" w:eastAsia="楷体_GB2312"/>
          <w:b/>
          <w:sz w:val="28"/>
          <w:szCs w:val="28"/>
        </w:rPr>
        <w:t>（四）</w:t>
      </w:r>
      <w:r>
        <w:rPr>
          <w:rStyle w:val="14"/>
          <w:rFonts w:hint="eastAsia" w:ascii="Times New Roman" w:hAnsi="Times New Roman" w:eastAsia="楷体_GB2312"/>
          <w:b/>
          <w:sz w:val="28"/>
          <w:szCs w:val="28"/>
        </w:rPr>
        <w:t>强化规划评估考核</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_Toc73434530 \h </w:instrText>
      </w:r>
      <w:r>
        <w:rPr>
          <w:rFonts w:ascii="Times New Roman" w:hAnsi="Times New Roman"/>
          <w:sz w:val="28"/>
          <w:szCs w:val="28"/>
        </w:rPr>
        <w:fldChar w:fldCharType="separate"/>
      </w:r>
      <w:r>
        <w:rPr>
          <w:rFonts w:ascii="Times New Roman" w:hAnsi="Times New Roman"/>
          <w:sz w:val="28"/>
          <w:szCs w:val="28"/>
        </w:rPr>
        <w:t>- 30 -</w:t>
      </w:r>
      <w:r>
        <w:rPr>
          <w:rFonts w:ascii="Times New Roman" w:hAnsi="Times New Roman"/>
          <w:sz w:val="28"/>
          <w:szCs w:val="28"/>
        </w:rPr>
        <w:fldChar w:fldCharType="end"/>
      </w:r>
      <w:r>
        <w:rPr>
          <w:rFonts w:ascii="Times New Roman" w:hAnsi="Times New Roman"/>
        </w:rPr>
        <w:fldChar w:fldCharType="end"/>
      </w:r>
    </w:p>
    <w:p w14:paraId="3C6ADA16">
      <w:pPr>
        <w:ind w:firstLine="643"/>
        <w:jc w:val="center"/>
        <w:rPr>
          <w:rFonts w:ascii="Times New Roman" w:hAnsi="Times New Roman"/>
          <w:color w:val="000000"/>
        </w:rPr>
      </w:pPr>
      <w:r>
        <w:rPr>
          <w:rFonts w:ascii="Times New Roman" w:hAnsi="Times New Roman"/>
          <w:color w:val="000000"/>
        </w:rPr>
        <w:fldChar w:fldCharType="end"/>
      </w:r>
    </w:p>
    <w:p w14:paraId="293B6E9E">
      <w:pPr>
        <w:ind w:firstLine="643"/>
        <w:jc w:val="center"/>
        <w:rPr>
          <w:rFonts w:ascii="Times New Roman" w:hAnsi="Times New Roman"/>
          <w:color w:val="000000"/>
        </w:rPr>
        <w:sectPr>
          <w:footerReference r:id="rId3" w:type="default"/>
          <w:pgSz w:w="11906" w:h="16838"/>
          <w:pgMar w:top="2098" w:right="1474" w:bottom="1984" w:left="1587" w:header="0" w:footer="1587" w:gutter="0"/>
          <w:paperSrc w:first="262" w:other="262"/>
          <w:pgNumType w:fmt="numberInDash"/>
          <w:cols w:space="720" w:num="1"/>
          <w:docGrid w:type="linesAndChars" w:linePitch="579" w:charSpace="0"/>
        </w:sectPr>
      </w:pPr>
    </w:p>
    <w:p w14:paraId="6231127C">
      <w:pPr>
        <w:spacing w:line="600" w:lineRule="exact"/>
        <w:ind w:firstLine="640" w:firstLineChars="200"/>
        <w:rPr>
          <w:rFonts w:ascii="Times New Roman" w:hAnsi="Times New Roman"/>
          <w:color w:val="000000"/>
        </w:rPr>
      </w:pPr>
      <w:r>
        <w:rPr>
          <w:rFonts w:hint="eastAsia" w:ascii="Times New Roman" w:hAnsi="Times New Roman"/>
          <w:color w:val="000000"/>
        </w:rPr>
        <w:t>“十四五”时期是新余市由全面建成小康社会向基本实现社会主义现代化迈进的重要阶段，是推进新余市转型发展、创新发展、跨越发展的关键节点。科学精准地编制和实施“十四五”应急体系规划，既是一项紧迫任务，又是一项长期任务，对促进全市社会经济持续稳定发展，实现应急管理体系和能力现代化建设，维护社会和谐稳定具有重要意义。为进一步贯彻落实党中央、国务院、省委省政府关于应急管理工作决策部署，根据《江西省“十四五”应急体系规划》《新余市国民经济和社会发展第十四个五年规划和二</w:t>
      </w:r>
      <w:r>
        <w:rPr>
          <w:rFonts w:hint="eastAsia" w:ascii="Times New Roman" w:hAnsi="Times New Roman" w:cs="Times New Roman"/>
          <w:color w:val="000000"/>
        </w:rPr>
        <w:t>〇三五年远景目标纲要》等文件精神，</w:t>
      </w:r>
      <w:r>
        <w:rPr>
          <w:rFonts w:hint="eastAsia" w:ascii="Times New Roman" w:hAnsi="Times New Roman"/>
          <w:color w:val="000000"/>
        </w:rPr>
        <w:t>制定本规划。</w:t>
      </w:r>
    </w:p>
    <w:p w14:paraId="50BB78ED">
      <w:pPr>
        <w:pStyle w:val="18"/>
        <w:spacing w:line="600" w:lineRule="exact"/>
        <w:ind w:firstLine="640"/>
        <w:outlineLvl w:val="0"/>
        <w:rPr>
          <w:rFonts w:ascii="Times New Roman" w:hAnsi="Times New Roman" w:eastAsia="黑体"/>
          <w:color w:val="000000"/>
          <w:sz w:val="32"/>
          <w:szCs w:val="32"/>
        </w:rPr>
      </w:pPr>
      <w:bookmarkStart w:id="0" w:name="_Toc73434503"/>
      <w:r>
        <w:rPr>
          <w:rFonts w:hint="eastAsia" w:ascii="Times New Roman" w:hAnsi="Times New Roman" w:eastAsia="黑体"/>
          <w:color w:val="000000"/>
          <w:sz w:val="32"/>
          <w:szCs w:val="32"/>
        </w:rPr>
        <w:t>一、现状与形势</w:t>
      </w:r>
      <w:bookmarkEnd w:id="0"/>
    </w:p>
    <w:p w14:paraId="3F6D5779">
      <w:pPr>
        <w:spacing w:line="600" w:lineRule="exact"/>
        <w:ind w:firstLine="640" w:firstLineChars="200"/>
        <w:outlineLvl w:val="1"/>
        <w:rPr>
          <w:rFonts w:ascii="Times New Roman" w:hAnsi="Times New Roman" w:eastAsia="楷体_GB2312"/>
          <w:b/>
          <w:color w:val="000000"/>
        </w:rPr>
      </w:pPr>
      <w:bookmarkStart w:id="1" w:name="_Toc73434504"/>
      <w:r>
        <w:rPr>
          <w:rFonts w:hint="eastAsia" w:ascii="Times New Roman" w:hAnsi="Times New Roman" w:eastAsia="楷体_GB2312"/>
          <w:b/>
          <w:color w:val="000000"/>
        </w:rPr>
        <w:t>（一）“十三五”期间应急管理工作取得的进展和成效</w:t>
      </w:r>
      <w:bookmarkEnd w:id="1"/>
    </w:p>
    <w:p w14:paraId="1ABE64B4">
      <w:pPr>
        <w:spacing w:line="600" w:lineRule="exact"/>
        <w:ind w:firstLine="640" w:firstLineChars="200"/>
        <w:rPr>
          <w:rFonts w:ascii="Times New Roman" w:hAnsi="Times New Roman"/>
          <w:b/>
          <w:color w:val="000000"/>
        </w:rPr>
      </w:pPr>
      <w:r>
        <w:rPr>
          <w:rFonts w:ascii="Times New Roman" w:hAnsi="Times New Roman"/>
          <w:b/>
          <w:color w:val="000000"/>
        </w:rPr>
        <w:t>1.应急体制机制初步形成。</w:t>
      </w:r>
      <w:r>
        <w:rPr>
          <w:rFonts w:hint="eastAsia" w:ascii="Times New Roman" w:hAnsi="Times New Roman"/>
          <w:color w:val="000000"/>
        </w:rPr>
        <w:t>新余市委、市政府高度重视应急管理工作，始终把保障人民群众生命财产安全作为依法行政的重要内容，作为人民幸福的基本要求，作为改革发展稳定的基本前提。全市认真贯彻国家应急管理方针政策，积极探索，主动作为，取得显著成绩。机构改革后，应急管理机构顺利完成组建，调整整合防汛抗旱、森林防灭火、应急管理、减灾救灾、地震灾害等职能，初步建立防灾、减灾、救灾、指挥、救援、监管、执法、保障等分工明晰、运转高效的机构职能体系，抗灾救灾资源得到有效整合，防灾减灾能力得到有效提升。安全生产、综合防灾减灾等各项工作平稳有序，生产安全事故总量进一步下降，有效遏制较大事故，杜绝重大以上事故。全市</w:t>
      </w:r>
      <w:r>
        <w:rPr>
          <w:rFonts w:ascii="Times New Roman" w:hAnsi="Times New Roman"/>
          <w:color w:val="000000"/>
        </w:rPr>
        <w:t>33个专项预案、100余个部门预案完成编制修订，各县（区）、企事业单位等对本地区（单位）应急预案进行修订，形成横向到边、纵向到底的应急预案体系。建章立制，完善</w:t>
      </w:r>
      <w:r>
        <w:rPr>
          <w:rFonts w:hint="eastAsia" w:ascii="Times New Roman" w:hAnsi="Times New Roman"/>
          <w:color w:val="000000"/>
        </w:rPr>
        <w:t>应急管理考核、</w:t>
      </w:r>
      <w:r>
        <w:rPr>
          <w:rFonts w:ascii="Times New Roman" w:hAnsi="Times New Roman"/>
          <w:color w:val="000000"/>
        </w:rPr>
        <w:t>24小时值班、领导带班、突发事件信息报告</w:t>
      </w:r>
      <w:r>
        <w:rPr>
          <w:rFonts w:hint="eastAsia" w:ascii="Times New Roman" w:hAnsi="Times New Roman"/>
          <w:color w:val="000000"/>
        </w:rPr>
        <w:t>等相关制度</w:t>
      </w:r>
      <w:r>
        <w:rPr>
          <w:rFonts w:ascii="Times New Roman" w:hAnsi="Times New Roman"/>
          <w:color w:val="000000"/>
        </w:rPr>
        <w:t>。</w:t>
      </w:r>
    </w:p>
    <w:p w14:paraId="15AEFCE6">
      <w:pPr>
        <w:spacing w:line="600" w:lineRule="exact"/>
        <w:ind w:firstLine="640" w:firstLineChars="200"/>
        <w:rPr>
          <w:rFonts w:ascii="Times New Roman" w:hAnsi="Times New Roman"/>
          <w:color w:val="000000"/>
        </w:rPr>
      </w:pPr>
      <w:r>
        <w:rPr>
          <w:rFonts w:ascii="Times New Roman" w:hAnsi="Times New Roman"/>
          <w:b/>
          <w:color w:val="000000"/>
        </w:rPr>
        <w:t>2.安全监管形势持续向好。</w:t>
      </w:r>
      <w:r>
        <w:rPr>
          <w:rFonts w:ascii="Times New Roman" w:hAnsi="Times New Roman"/>
          <w:color w:val="000000"/>
        </w:rPr>
        <w:t>充分发挥市安委会统筹协调作用</w:t>
      </w:r>
      <w:r>
        <w:rPr>
          <w:rFonts w:hint="eastAsia" w:ascii="Times New Roman" w:hAnsi="Times New Roman"/>
          <w:color w:val="000000"/>
        </w:rPr>
        <w:t>，</w:t>
      </w:r>
      <w:r>
        <w:rPr>
          <w:rFonts w:ascii="Times New Roman" w:hAnsi="Times New Roman"/>
          <w:color w:val="000000"/>
        </w:rPr>
        <w:t>牢牢把握安全生产“基本盘”，建立常抓严管长效机制，压实县（区）级地方党委政府属地管理责任，落实行业、部门安全生产监管职责，严格事故调查和责任追究，依法依规推动落后产能退出。2020年全市发生各类生产安全事故30起，死亡28人，较前三年（2017-2019年）平均事故起数44起减少14起，下降31.8%；平均死亡人数37.33人，</w:t>
      </w:r>
      <w:r>
        <w:rPr>
          <w:rFonts w:hint="eastAsia" w:ascii="Times New Roman" w:hAnsi="Times New Roman"/>
        </w:rPr>
        <w:t>减少</w:t>
      </w:r>
      <w:r>
        <w:rPr>
          <w:rFonts w:ascii="Times New Roman" w:hAnsi="Times New Roman"/>
        </w:rPr>
        <w:t>9.33人，下降25%。</w:t>
      </w:r>
      <w:r>
        <w:rPr>
          <w:rFonts w:hint="eastAsia" w:ascii="Times New Roman" w:hAnsi="Times New Roman"/>
          <w:color w:val="000000"/>
        </w:rPr>
        <w:t>安全生产“一张网”信息化管理平台和矿山、危化品等重点行业领域在线监测、预警防控管理系统建设顺利推进，实现对</w:t>
      </w:r>
      <w:r>
        <w:rPr>
          <w:rFonts w:ascii="Times New Roman" w:hAnsi="Times New Roman"/>
          <w:color w:val="000000"/>
        </w:rPr>
        <w:t>15家矿山、危化品生产经营单位重大危险源在线图像监控；建设高新区化工企业远程数字化预警平台，实现对16家企业重点化学品、重点生产工艺、重大危险源在线监控分析预警、风险防控等；积极推进交通视频监控预警系统建设，完成全市高速公路进出口卡口建设，全部数据并入交通视频监控预警系统，实现对高速进出口的全面监管。</w:t>
      </w:r>
    </w:p>
    <w:p w14:paraId="1B7CF0A6">
      <w:pPr>
        <w:adjustRightInd w:val="0"/>
        <w:snapToGrid w:val="0"/>
        <w:spacing w:line="600" w:lineRule="exact"/>
        <w:ind w:firstLine="640" w:firstLineChars="200"/>
        <w:rPr>
          <w:rFonts w:ascii="Times New Roman" w:hAnsi="Times New Roman" w:cs="Times New Roman"/>
          <w:color w:val="000000"/>
          <w:kern w:val="0"/>
        </w:rPr>
      </w:pPr>
      <w:r>
        <w:rPr>
          <w:rFonts w:ascii="Times New Roman" w:hAnsi="Times New Roman"/>
          <w:b/>
          <w:color w:val="000000"/>
        </w:rPr>
        <w:t>3.灾害防治能力不断加强。</w:t>
      </w:r>
      <w:r>
        <w:rPr>
          <w:rFonts w:ascii="Times New Roman" w:hAnsi="Times New Roman"/>
          <w:color w:val="000000"/>
        </w:rPr>
        <w:t>建立由重点涉灾部门参加的灾情会商和信息共享机制。积极推进自然灾害防治能力“九项重点工程”建设，地震</w:t>
      </w:r>
      <w:r>
        <w:rPr>
          <w:rFonts w:hint="eastAsia" w:ascii="Times New Roman" w:hAnsi="Times New Roman"/>
          <w:color w:val="000000"/>
        </w:rPr>
        <w:t>、森林防火</w:t>
      </w:r>
      <w:r>
        <w:rPr>
          <w:rFonts w:ascii="Times New Roman" w:hAnsi="Times New Roman"/>
          <w:color w:val="000000"/>
        </w:rPr>
        <w:t>、水旱灾害、气象灾害等综合监测预警能力显著增强。</w:t>
      </w:r>
      <w:r>
        <w:rPr>
          <w:rFonts w:hint="eastAsia" w:ascii="Times New Roman" w:hAnsi="Times New Roman"/>
          <w:color w:val="000000"/>
        </w:rPr>
        <w:t>建成新余市突发事件预警信息发布平台，建立预警信息插播机制，确保气象灾害预警信号能第一时间传达到市、县（区）、乡镇（街道）、村（社区）各级领导干部以及防汛责任人，实现边远山区、湖区全覆盖；推进市森林防火指挥中心视频监控指挥平台建设，构建</w:t>
      </w:r>
      <w:r>
        <w:rPr>
          <w:rFonts w:ascii="Times New Roman" w:hAnsi="Times New Roman"/>
          <w:color w:val="000000"/>
        </w:rPr>
        <w:t>5个视频监控指挥平台和24个防火远程监控前端，实现市、县（区）和重点山场林区视频监控信息互联互通。创建11个全国综合减灾示范社区、3个全省综合减灾示范街道（乡镇）、20个全省综合减灾示范社区。实现政府购买森林防火护林联防服务全覆盖，全市每个林区村至少安排1名护林员开展日常巡查。</w:t>
      </w:r>
    </w:p>
    <w:p w14:paraId="4EF2D591">
      <w:pPr>
        <w:spacing w:line="600" w:lineRule="exact"/>
        <w:ind w:firstLine="640" w:firstLineChars="200"/>
        <w:rPr>
          <w:rFonts w:ascii="Times New Roman" w:hAnsi="Times New Roman"/>
          <w:b/>
          <w:color w:val="000000"/>
        </w:rPr>
      </w:pPr>
      <w:r>
        <w:rPr>
          <w:rFonts w:ascii="Times New Roman" w:hAnsi="Times New Roman"/>
          <w:b/>
          <w:color w:val="000000"/>
        </w:rPr>
        <w:t>4.应急救援能力持续提升。</w:t>
      </w:r>
      <w:r>
        <w:rPr>
          <w:rFonts w:hint="eastAsia" w:ascii="Times New Roman" w:hAnsi="Times New Roman"/>
        </w:rPr>
        <w:t>出台</w:t>
      </w:r>
      <w:r>
        <w:rPr>
          <w:rFonts w:ascii="Times New Roman" w:hAnsi="Times New Roman"/>
        </w:rPr>
        <w:t>《</w:t>
      </w:r>
      <w:r>
        <w:rPr>
          <w:rFonts w:ascii="Times New Roman" w:hAnsi="Times New Roman"/>
          <w:color w:val="000000"/>
        </w:rPr>
        <w:t>新余市“十三五”期间综合性应急救援队伍建设意见》</w:t>
      </w:r>
      <w:r>
        <w:rPr>
          <w:rFonts w:hint="eastAsia" w:ascii="Times New Roman" w:hAnsi="Times New Roman"/>
        </w:rPr>
        <w:t>《市政消火栓管理办法》《全市政府专职消防员绩效考核实施办法》，全市新建</w:t>
      </w:r>
      <w:r>
        <w:rPr>
          <w:rFonts w:ascii="Times New Roman" w:hAnsi="Times New Roman"/>
        </w:rPr>
        <w:t>5</w:t>
      </w:r>
      <w:r>
        <w:rPr>
          <w:rFonts w:hint="eastAsia" w:ascii="Times New Roman" w:hAnsi="Times New Roman"/>
        </w:rPr>
        <w:t>个政府专职消防队，</w:t>
      </w:r>
      <w:r>
        <w:rPr>
          <w:rFonts w:ascii="Times New Roman" w:hAnsi="Times New Roman"/>
        </w:rPr>
        <w:t>13个政府专职队（城市专职队6个，乡镇专职队7个），4个企业专职队，</w:t>
      </w:r>
      <w:r>
        <w:rPr>
          <w:rFonts w:hint="eastAsia" w:ascii="Times New Roman" w:hAnsi="Times New Roman"/>
        </w:rPr>
        <w:t>初步形成了“现役为主、专职为辅、微站补充”的消防力量格局。全市现有县级专业森林消防专业队</w:t>
      </w:r>
      <w:r>
        <w:rPr>
          <w:rFonts w:ascii="Times New Roman" w:hAnsi="Times New Roman"/>
        </w:rPr>
        <w:t>5支，总人数达116人；乡镇半专业队森林消防队45支，总人数达1025人；</w:t>
      </w:r>
      <w:r>
        <w:rPr>
          <w:rFonts w:hint="eastAsia" w:ascii="Times New Roman" w:hAnsi="Times New Roman"/>
        </w:rPr>
        <w:t>村应急扑火队伍</w:t>
      </w:r>
      <w:r>
        <w:rPr>
          <w:rFonts w:ascii="Times New Roman" w:hAnsi="Times New Roman"/>
        </w:rPr>
        <w:t>261支，总人数达3600余人，初步建成以专业森林消防队为骨干、乡镇半专业森林消防队和村级应急扑火队为补充的扑火力量体系。强化</w:t>
      </w:r>
      <w:r>
        <w:rPr>
          <w:rFonts w:hint="eastAsia" w:ascii="Times New Roman" w:hAnsi="Times New Roman"/>
        </w:rPr>
        <w:t>监测侦检、通信指挥和个人防护等应急救援装备配备，提升应急救援装备建设水平。组建应急管理专家库，制定专家管理办法</w:t>
      </w:r>
      <w:r>
        <w:rPr>
          <w:rFonts w:ascii="Times New Roman" w:hAnsi="Times New Roman"/>
        </w:rPr>
        <w:t>。</w:t>
      </w:r>
      <w:r>
        <w:rPr>
          <w:rFonts w:hint="eastAsia" w:ascii="Times New Roman" w:hAnsi="Times New Roman"/>
        </w:rPr>
        <w:t>将应急演练工作纳入应急管理考核内容，积极开展各级各类各种形式的应急演练。</w:t>
      </w:r>
    </w:p>
    <w:p w14:paraId="59C6C14D">
      <w:pPr>
        <w:spacing w:line="600" w:lineRule="exact"/>
        <w:ind w:firstLine="640" w:firstLineChars="200"/>
        <w:outlineLvl w:val="1"/>
        <w:rPr>
          <w:rFonts w:ascii="Times New Roman" w:hAnsi="Times New Roman" w:eastAsia="楷体_GB2312"/>
          <w:b/>
        </w:rPr>
      </w:pPr>
      <w:bookmarkStart w:id="2" w:name="_Toc73434505"/>
      <w:r>
        <w:rPr>
          <w:rFonts w:hint="eastAsia" w:ascii="Times New Roman" w:hAnsi="Times New Roman" w:eastAsia="楷体_GB2312"/>
          <w:b/>
        </w:rPr>
        <w:t>（二）“十四五”期间应急管理工作面临的挑战</w:t>
      </w:r>
      <w:bookmarkEnd w:id="2"/>
    </w:p>
    <w:p w14:paraId="0D47E01F">
      <w:pPr>
        <w:spacing w:line="600" w:lineRule="exact"/>
        <w:ind w:firstLine="640" w:firstLineChars="200"/>
        <w:rPr>
          <w:rFonts w:ascii="Times New Roman" w:hAnsi="Times New Roman"/>
        </w:rPr>
      </w:pPr>
      <w:r>
        <w:rPr>
          <w:rFonts w:hint="eastAsia" w:ascii="Times New Roman" w:hAnsi="Times New Roman"/>
        </w:rPr>
        <w:t>当前，应急管理工作已进入必须直面各类自然风险和人因风险，尤其是新兴风险的时代。从</w:t>
      </w:r>
      <w:r>
        <w:rPr>
          <w:rFonts w:ascii="Times New Roman" w:hAnsi="Times New Roman"/>
        </w:rPr>
        <w:t>全</w:t>
      </w:r>
      <w:r>
        <w:rPr>
          <w:rFonts w:hint="eastAsia" w:ascii="Times New Roman" w:hAnsi="Times New Roman"/>
        </w:rPr>
        <w:t>市当前的实际情况上看，各类安全风险复杂多变，事故隐患点多面广，影响公共安全的因素日益增多；自然灾害种类多，发生频率高；应急管理的基层基础依然薄弱，防范和应对各类安全风险的能力不强，应急体系建设存在短板和弱项，应急管理工作面临严峻挑战。</w:t>
      </w:r>
    </w:p>
    <w:p w14:paraId="17B99C2B">
      <w:pPr>
        <w:widowControl/>
        <w:spacing w:line="600" w:lineRule="exact"/>
        <w:ind w:firstLine="640" w:firstLineChars="200"/>
        <w:jc w:val="both"/>
        <w:rPr>
          <w:rFonts w:ascii="Times New Roman" w:hAnsi="Times New Roman"/>
        </w:rPr>
      </w:pPr>
      <w:r>
        <w:rPr>
          <w:rFonts w:ascii="Times New Roman" w:hAnsi="Times New Roman"/>
          <w:b/>
        </w:rPr>
        <w:t>1.风险防控形势依然严峻。</w:t>
      </w:r>
      <w:r>
        <w:rPr>
          <w:rFonts w:hint="eastAsia" w:ascii="Times New Roman" w:hAnsi="Times New Roman"/>
        </w:rPr>
        <w:t>在生产安全方面，全市当前安全风险种类繁多，工业化、城镇化、信息化快速发展所积累的安全风险日益显现，企业安全生产主体责任不落实问题依然严峻，安全生产仍处于脆弱期、爬坡期、过坎期；在防灾减灾方面，自然灾害方面损失仍然偏重，洪涝、干旱、森林火灾、低温雨雪、滑坡等时有发生，且呈现发生类型复杂化、波及范围扩大化、影响时间持久化等特点，给人民群众获得感、幸福感、安全感带来较大冲击。</w:t>
      </w:r>
    </w:p>
    <w:p w14:paraId="10922897">
      <w:pPr>
        <w:widowControl/>
        <w:spacing w:line="600" w:lineRule="exact"/>
        <w:ind w:firstLine="640" w:firstLineChars="200"/>
        <w:rPr>
          <w:rFonts w:ascii="Times New Roman" w:hAnsi="Times New Roman"/>
        </w:rPr>
      </w:pPr>
      <w:r>
        <w:rPr>
          <w:rFonts w:ascii="Times New Roman" w:hAnsi="Times New Roman"/>
          <w:b/>
        </w:rPr>
        <w:t>2.应急管理体制仍需健全。</w:t>
      </w:r>
      <w:r>
        <w:rPr>
          <w:rFonts w:hint="eastAsia" w:ascii="Times New Roman" w:hAnsi="Times New Roman"/>
        </w:rPr>
        <w:t>存在重领导机构建设，轻办事机构建设的问题。基层应急管理体系仍未健全，编制数量不够、干部兼职等情况比较普遍，未能有效发挥相关职能作用。全市四个县（区）应急管理部门均未单独设置应急指挥机构，应急指挥职能由监察大队或灾害防治与救助股兼任。部分县（区）由于应急部门人员偏少，难以真正履行</w:t>
      </w:r>
      <w:r>
        <w:rPr>
          <w:rFonts w:ascii="Times New Roman" w:hAnsi="Times New Roman"/>
        </w:rPr>
        <w:t>24小时值班值守工作制</w:t>
      </w:r>
      <w:r>
        <w:rPr>
          <w:rFonts w:hint="eastAsia" w:ascii="Times New Roman" w:hAnsi="Times New Roman"/>
        </w:rPr>
        <w:t>，没有形成“纵向到底、横向到边”的工作格局，特别是在节假日、夜间等时段，容易出现信息流转不畅、应急处置不及时等情况。</w:t>
      </w:r>
    </w:p>
    <w:p w14:paraId="35DBF3F9">
      <w:pPr>
        <w:spacing w:line="600" w:lineRule="exact"/>
        <w:ind w:firstLine="640" w:firstLineChars="200"/>
        <w:rPr>
          <w:rFonts w:ascii="Times New Roman" w:hAnsi="Times New Roman"/>
        </w:rPr>
      </w:pPr>
      <w:r>
        <w:rPr>
          <w:rFonts w:ascii="Times New Roman" w:hAnsi="Times New Roman"/>
          <w:b/>
        </w:rPr>
        <w:t>3.应急平台体系建设有待提升。</w:t>
      </w:r>
      <w:r>
        <w:rPr>
          <w:rFonts w:hint="eastAsia" w:ascii="Times New Roman" w:hAnsi="Times New Roman"/>
        </w:rPr>
        <w:t>市政府应急指挥平台虽与大部分部门平台互联互通，但与防汛抗旱指挥决策系统、应急资源数据库互联互通建设尚未有实质性进展，部门之间应急信息资源共建共享平台建设滞后，存在信息孤岛的现象。市突发事件预警信息发布中心未实现资源共享，其他部门的预警信息未能在平台上发布。部分县级应急指挥中心平台尚未建立，导致部门、上下级之间信息不对称，联动不到位。</w:t>
      </w:r>
    </w:p>
    <w:p w14:paraId="601809C9">
      <w:pPr>
        <w:widowControl/>
        <w:spacing w:line="600" w:lineRule="exact"/>
        <w:ind w:firstLine="640" w:firstLineChars="200"/>
        <w:rPr>
          <w:rFonts w:ascii="Times New Roman" w:hAnsi="Times New Roman"/>
        </w:rPr>
      </w:pPr>
      <w:r>
        <w:rPr>
          <w:rFonts w:ascii="Times New Roman" w:hAnsi="Times New Roman"/>
          <w:b/>
        </w:rPr>
        <w:t>4.应急保障水平亟需改进。</w:t>
      </w:r>
      <w:r>
        <w:rPr>
          <w:rFonts w:hint="eastAsia" w:ascii="Times New Roman" w:hAnsi="Times New Roman"/>
        </w:rPr>
        <w:t>基层相关部门自然灾害救助权责尚未理清，应急物资和装备配置不均衡、不充分。市本级无配套救灾物资储备库，不利于灾情救助。部分县（区）应急物资储备库因土地问题建设进度缓慢，暂以租用的仓库作为应急物资储备库，存在储备空间有限、缺乏配套设施、应急物资种类不齐全等问题，难以满足应急物资多样化需求。</w:t>
      </w:r>
    </w:p>
    <w:p w14:paraId="0394F3E1">
      <w:pPr>
        <w:adjustRightInd w:val="0"/>
        <w:snapToGrid w:val="0"/>
        <w:spacing w:line="600" w:lineRule="exact"/>
        <w:ind w:firstLine="640" w:firstLineChars="200"/>
        <w:jc w:val="both"/>
        <w:rPr>
          <w:rFonts w:ascii="Times New Roman" w:hAnsi="Times New Roman"/>
        </w:rPr>
      </w:pPr>
      <w:r>
        <w:rPr>
          <w:rFonts w:ascii="Times New Roman" w:hAnsi="Times New Roman"/>
          <w:b/>
        </w:rPr>
        <w:t>5.应急救援队伍建设亟待加强。</w:t>
      </w:r>
      <w:r>
        <w:rPr>
          <w:rFonts w:hint="eastAsia" w:ascii="Times New Roman" w:hAnsi="Times New Roman"/>
        </w:rPr>
        <w:t>应急部门缺乏直属应急救援队伍，在实际救援工作中更多依赖公安、消防、军分区、县（区）级森林消防、矿山救护等队伍。</w:t>
      </w:r>
      <w:r>
        <w:rPr>
          <w:rFonts w:ascii="Times New Roman" w:hAnsi="Times New Roman"/>
        </w:rPr>
        <w:t>按照</w:t>
      </w:r>
      <w:r>
        <w:rPr>
          <w:rFonts w:hint="eastAsia" w:ascii="Times New Roman" w:hAnsi="Times New Roman"/>
        </w:rPr>
        <w:t>相关文件</w:t>
      </w:r>
      <w:r>
        <w:rPr>
          <w:rFonts w:ascii="Times New Roman" w:hAnsi="Times New Roman"/>
        </w:rPr>
        <w:t>要求，各专业森林消防队都</w:t>
      </w:r>
      <w:r>
        <w:rPr>
          <w:rFonts w:hint="eastAsia" w:ascii="Times New Roman" w:hAnsi="Times New Roman"/>
        </w:rPr>
        <w:t>需</w:t>
      </w:r>
      <w:r>
        <w:rPr>
          <w:rFonts w:ascii="Times New Roman" w:hAnsi="Times New Roman"/>
        </w:rPr>
        <w:t>完成</w:t>
      </w:r>
      <w:r>
        <w:rPr>
          <w:rFonts w:hint="eastAsia" w:ascii="Times New Roman" w:hAnsi="Times New Roman"/>
        </w:rPr>
        <w:t>正规化建设达标和</w:t>
      </w:r>
      <w:r>
        <w:rPr>
          <w:rFonts w:ascii="Times New Roman" w:hAnsi="Times New Roman"/>
        </w:rPr>
        <w:t>转隶任务，统一归</w:t>
      </w:r>
      <w:r>
        <w:rPr>
          <w:rFonts w:hint="eastAsia" w:ascii="Times New Roman" w:hAnsi="Times New Roman"/>
        </w:rPr>
        <w:t>口</w:t>
      </w:r>
      <w:r>
        <w:rPr>
          <w:rFonts w:ascii="Times New Roman" w:hAnsi="Times New Roman"/>
        </w:rPr>
        <w:t>当地应急管理部门管理</w:t>
      </w:r>
      <w:r>
        <w:rPr>
          <w:rFonts w:hint="eastAsia" w:ascii="Times New Roman" w:hAnsi="Times New Roman"/>
        </w:rPr>
        <w:t>，</w:t>
      </w:r>
      <w:r>
        <w:rPr>
          <w:rFonts w:ascii="Times New Roman" w:hAnsi="Times New Roman"/>
        </w:rPr>
        <w:t>但</w:t>
      </w:r>
      <w:r>
        <w:rPr>
          <w:rFonts w:hint="eastAsia" w:ascii="Times New Roman" w:hAnsi="Times New Roman"/>
        </w:rPr>
        <w:t>目前</w:t>
      </w:r>
      <w:r>
        <w:rPr>
          <w:rFonts w:ascii="Times New Roman" w:hAnsi="Times New Roman"/>
        </w:rPr>
        <w:t>全市5支专业森林消防队伍</w:t>
      </w:r>
      <w:r>
        <w:rPr>
          <w:rFonts w:hint="eastAsia" w:ascii="Times New Roman" w:hAnsi="Times New Roman"/>
        </w:rPr>
        <w:t>仍未完成转隶工作。</w:t>
      </w:r>
    </w:p>
    <w:p w14:paraId="7AB7BD51">
      <w:pPr>
        <w:spacing w:line="600" w:lineRule="exact"/>
        <w:ind w:firstLine="640" w:firstLineChars="200"/>
        <w:outlineLvl w:val="1"/>
        <w:rPr>
          <w:rFonts w:ascii="Times New Roman" w:hAnsi="Times New Roman" w:eastAsia="楷体_GB2312"/>
          <w:b/>
        </w:rPr>
      </w:pPr>
      <w:bookmarkStart w:id="3" w:name="_Toc73434506"/>
      <w:r>
        <w:rPr>
          <w:rFonts w:hint="eastAsia" w:ascii="Times New Roman" w:hAnsi="Times New Roman" w:eastAsia="楷体_GB2312"/>
          <w:b/>
        </w:rPr>
        <w:t>（三）“十四五”期间应急管理工作发展的机遇</w:t>
      </w:r>
      <w:bookmarkEnd w:id="3"/>
    </w:p>
    <w:p w14:paraId="0D0C01D2">
      <w:pPr>
        <w:autoSpaceDE w:val="0"/>
        <w:autoSpaceDN w:val="0"/>
        <w:adjustRightInd w:val="0"/>
        <w:spacing w:line="600" w:lineRule="exact"/>
        <w:ind w:firstLine="640" w:firstLineChars="200"/>
        <w:rPr>
          <w:rFonts w:ascii="Times New Roman" w:hAnsi="Times New Roman"/>
        </w:rPr>
      </w:pPr>
      <w:r>
        <w:rPr>
          <w:rFonts w:ascii="Times New Roman" w:hAnsi="Times New Roman"/>
          <w:b/>
        </w:rPr>
        <w:t>1.党中央、国务院和省委、省政府的高度重视及社会各界的积极参与进一步推动应急管理事业发展突飞猛进。</w:t>
      </w:r>
      <w:r>
        <w:rPr>
          <w:rFonts w:hint="eastAsia" w:ascii="Times New Roman" w:hAnsi="Times New Roman"/>
        </w:rPr>
        <w:t>以习近平同志为核心的党中央坚持以人民为中心的发展思想，通过国家新一轮机构改革组建应急管理部门，开辟了安全生产、防灾减灾救灾等应急管理理论与实践新路径。省委、省政府坚持对标对表，出台一系列重大政策，推出一系列重大举措，推进一系列重大工作，深化应急管理重点领域改革，为解决深层次、区域性、结构性问题创造了有利条件。同时，经济社会新发展格局的加速形成，将推动新型城镇化、区域协同化、城乡一体化的更高质量发展，社会各界积极主动参与应急管理工作的热情日益高涨，为推动应急管理体系和能力建设凝聚更强共识、汇聚更大合力。</w:t>
      </w:r>
    </w:p>
    <w:p w14:paraId="1AE072FF">
      <w:pPr>
        <w:autoSpaceDE w:val="0"/>
        <w:autoSpaceDN w:val="0"/>
        <w:adjustRightInd w:val="0"/>
        <w:spacing w:line="600" w:lineRule="exact"/>
        <w:ind w:firstLine="640" w:firstLineChars="200"/>
        <w:rPr>
          <w:rFonts w:ascii="Times New Roman" w:hAnsi="Times New Roman"/>
        </w:rPr>
      </w:pPr>
      <w:r>
        <w:rPr>
          <w:rFonts w:ascii="Times New Roman" w:hAnsi="Times New Roman"/>
          <w:b/>
        </w:rPr>
        <w:t>2.</w:t>
      </w:r>
      <w:r>
        <w:rPr>
          <w:rFonts w:hint="eastAsia" w:ascii="Times New Roman" w:hAnsi="Times New Roman"/>
          <w:b/>
        </w:rPr>
        <w:t>城市发展过程中应急管理工作承担越来越重要的地位。</w:t>
      </w:r>
      <w:r>
        <w:rPr>
          <w:rFonts w:hint="eastAsia" w:ascii="Times New Roman" w:hAnsi="Times New Roman"/>
        </w:rPr>
        <w:t>随着我国经济高速发展，人民生活水平不断提高，安全和健康已经成为民众日益增长的对美好生活向往的核心组成。公众安全意识的普遍提高，对应急管理有了客观的现实需求。当前，新余市提出争当全省“三区两典范”的城市发展战略，其中不仅要争当美丽中国“江西样板”特色区，还要争当全省产业转型升级典范和“精美特新”中小城市典范，推出以“工小美”为主题的城市发展战略</w:t>
      </w:r>
      <w:r>
        <w:rPr>
          <w:rFonts w:ascii="Times New Roman" w:hAnsi="Times New Roman"/>
        </w:rPr>
        <w:t>；</w:t>
      </w:r>
      <w:r>
        <w:rPr>
          <w:rFonts w:hint="eastAsia" w:ascii="Times New Roman" w:hAnsi="Times New Roman"/>
        </w:rPr>
        <w:t>作为城市发展环节中的一项重要内容，在发展的过程中面对种类繁多的突发事件，需要有一套更加完善的应急管理体制和应急文化环境，以减少灾害事故发生及其对社会的影响，保障全市社会发展安全有序运行。</w:t>
      </w:r>
    </w:p>
    <w:p w14:paraId="3C943235">
      <w:pPr>
        <w:spacing w:line="600" w:lineRule="exact"/>
        <w:ind w:firstLine="640" w:firstLineChars="200"/>
        <w:rPr>
          <w:rFonts w:ascii="Times New Roman" w:hAnsi="Times New Roman"/>
        </w:rPr>
      </w:pPr>
      <w:r>
        <w:rPr>
          <w:rFonts w:ascii="Times New Roman" w:hAnsi="Times New Roman"/>
          <w:b/>
        </w:rPr>
        <w:t>3.日渐雄厚的科技能力为应急管理事业发展提供稳定可靠的技术支撑。</w:t>
      </w:r>
      <w:r>
        <w:rPr>
          <w:rFonts w:hint="eastAsia" w:ascii="Times New Roman" w:hAnsi="Times New Roman"/>
        </w:rPr>
        <w:t>移动互联网、云计算、大数据、物联网、人工智能等科技信息技术普遍和深度的应用，能有效实现各部门信息融合和数据共享，突破部门间应急管理的“信息孤岛”，形成基于“同一画面”的应急管理，有利于提升风险防范与管控、监测预警、监管执法、科学研判、辅助指挥决策、抢险救援和应急培训等能力，提高应急管理的科学化、专业化、智能化、精细化水平。</w:t>
      </w:r>
    </w:p>
    <w:p w14:paraId="774CE226">
      <w:pPr>
        <w:spacing w:line="600" w:lineRule="exact"/>
        <w:ind w:firstLine="640" w:firstLineChars="200"/>
        <w:rPr>
          <w:rFonts w:ascii="Times New Roman" w:hAnsi="Times New Roman" w:eastAsia="黑体"/>
          <w:b/>
        </w:rPr>
      </w:pPr>
      <w:bookmarkStart w:id="4" w:name="_Toc73434507"/>
      <w:r>
        <w:rPr>
          <w:rFonts w:hint="eastAsia" w:ascii="Times New Roman" w:hAnsi="Times New Roman" w:eastAsia="黑体"/>
          <w:b/>
        </w:rPr>
        <w:t>二、总体要求</w:t>
      </w:r>
      <w:bookmarkEnd w:id="4"/>
    </w:p>
    <w:p w14:paraId="4294DDCD">
      <w:pPr>
        <w:spacing w:line="600" w:lineRule="exact"/>
        <w:ind w:firstLine="640" w:firstLineChars="200"/>
        <w:outlineLvl w:val="1"/>
        <w:rPr>
          <w:rFonts w:ascii="Times New Roman" w:hAnsi="Times New Roman" w:eastAsia="楷体_GB2312"/>
          <w:b/>
        </w:rPr>
      </w:pPr>
      <w:bookmarkStart w:id="5" w:name="_Toc73434508"/>
      <w:r>
        <w:rPr>
          <w:rFonts w:hint="eastAsia" w:ascii="Times New Roman" w:hAnsi="Times New Roman" w:eastAsia="楷体_GB2312"/>
          <w:b/>
        </w:rPr>
        <w:t>（一）</w:t>
      </w:r>
      <w:r>
        <w:rPr>
          <w:rFonts w:hint="eastAsia" w:ascii="Times New Roman" w:hAnsi="Times New Roman" w:eastAsia="楷体_GB2312"/>
          <w:b/>
          <w:color w:val="000000"/>
        </w:rPr>
        <w:t>指导思想</w:t>
      </w:r>
      <w:bookmarkEnd w:id="5"/>
    </w:p>
    <w:p w14:paraId="79A27AF3">
      <w:pPr>
        <w:spacing w:line="600" w:lineRule="exact"/>
        <w:ind w:firstLine="640" w:firstLineChars="200"/>
        <w:rPr>
          <w:rFonts w:ascii="Times New Roman" w:hAnsi="Times New Roman"/>
        </w:rPr>
      </w:pPr>
      <w:r>
        <w:rPr>
          <w:rFonts w:hint="eastAsia" w:ascii="Times New Roman" w:hAnsi="Times New Roman"/>
        </w:rPr>
        <w:t>坚持以习近平新时代中国特色社会主义思想为指导，深入学习贯彻党的十九大、十九届二中、三中、四中、五中、六中全会、中央政治局第十九次集体学习精神以及习近平总书记关于应急管理、安全生产和防灾减灾救灾重要论述，从更高层次贯彻落实习近平总书记对江西应急管理工作的重要要求，按照省委省政府决策部署，牢固树立以人民为中心的发展思想和安全发展理念，坚持生命至上、安全第一，坚持预防为主、应急为重、管理为要，聚焦自然灾害和事故灾难，不断强化安全生产、防灾减灾、应急救援能力建设，推动形成统一指挥、专常兼备、反应灵敏、上下联动的应急管理体制，着力防范化解重大安全风险，全力维护安全生产形势持续稳定，全力推进自然灾害应对有序有效，推进应急管理体系和能力现代化，为全市经济社会发展新跨越提供安全保障。</w:t>
      </w:r>
    </w:p>
    <w:p w14:paraId="73F4073A">
      <w:pPr>
        <w:spacing w:line="600" w:lineRule="exact"/>
        <w:ind w:firstLine="640" w:firstLineChars="200"/>
        <w:outlineLvl w:val="1"/>
        <w:rPr>
          <w:rFonts w:ascii="Times New Roman" w:hAnsi="Times New Roman" w:eastAsia="楷体_GB2312"/>
          <w:b/>
        </w:rPr>
      </w:pPr>
      <w:bookmarkStart w:id="6" w:name="_Toc73434509"/>
      <w:r>
        <w:rPr>
          <w:rFonts w:hint="eastAsia" w:ascii="Times New Roman" w:hAnsi="Times New Roman" w:eastAsia="楷体_GB2312"/>
          <w:b/>
        </w:rPr>
        <w:t>（二）</w:t>
      </w:r>
      <w:r>
        <w:rPr>
          <w:rFonts w:hint="eastAsia" w:ascii="Times New Roman" w:hAnsi="Times New Roman" w:eastAsia="楷体_GB2312"/>
          <w:b/>
          <w:color w:val="000000"/>
        </w:rPr>
        <w:t>基本原则</w:t>
      </w:r>
      <w:bookmarkEnd w:id="6"/>
    </w:p>
    <w:p w14:paraId="2D3B9EC2">
      <w:pPr>
        <w:spacing w:line="600" w:lineRule="exact"/>
        <w:ind w:firstLine="640" w:firstLineChars="200"/>
        <w:rPr>
          <w:rFonts w:ascii="Times New Roman" w:hAnsi="Times New Roman"/>
        </w:rPr>
      </w:pPr>
      <w:r>
        <w:rPr>
          <w:rFonts w:hint="eastAsia" w:ascii="Times New Roman" w:hAnsi="Times New Roman" w:cs="Times New Roman"/>
          <w:b/>
          <w:bCs/>
        </w:rPr>
        <w:t>——坚持以人为本，安全发展。</w:t>
      </w:r>
      <w:r>
        <w:rPr>
          <w:rFonts w:hint="eastAsia" w:ascii="Times New Roman" w:hAnsi="Times New Roman"/>
        </w:rPr>
        <w:t>牢固树立以人民为中心的发展思想，把保护人民群众生命安全作为首要目标，正确处理好发展与安全的关系，最大限度降低各类灾害事故的危害和后果。</w:t>
      </w:r>
    </w:p>
    <w:p w14:paraId="17D568D7">
      <w:pPr>
        <w:spacing w:line="600" w:lineRule="exact"/>
        <w:ind w:firstLine="640" w:firstLineChars="200"/>
        <w:jc w:val="both"/>
        <w:rPr>
          <w:rFonts w:ascii="Times New Roman" w:hAnsi="Times New Roman"/>
        </w:rPr>
      </w:pPr>
      <w:r>
        <w:rPr>
          <w:rFonts w:hint="eastAsia" w:ascii="Times New Roman" w:hAnsi="Times New Roman" w:cs="Times New Roman"/>
          <w:b/>
          <w:bCs/>
        </w:rPr>
        <w:t>——坚持统筹规划，突出重点。</w:t>
      </w:r>
      <w:r>
        <w:rPr>
          <w:rFonts w:hint="eastAsia" w:ascii="Times New Roman" w:hAnsi="Times New Roman" w:cs="Times New Roman"/>
          <w:bCs/>
        </w:rPr>
        <w:t>上下衔接</w:t>
      </w:r>
      <w:r>
        <w:rPr>
          <w:rFonts w:hint="eastAsia" w:ascii="Times New Roman" w:hAnsi="Times New Roman"/>
        </w:rPr>
        <w:t>统筹规划全市应急管理体系，全面推进体制机制、基础能力、应急力量、救援能力和应急保障等方面建设。以问题为导向，以需求为引领，突出重点，强化薄弱环节，优先解决监测预警、事故预防、应急响应等突出问题。</w:t>
      </w:r>
    </w:p>
    <w:p w14:paraId="468A1DC7">
      <w:pPr>
        <w:spacing w:line="600" w:lineRule="exact"/>
        <w:ind w:firstLine="640" w:firstLineChars="200"/>
        <w:jc w:val="both"/>
        <w:rPr>
          <w:rFonts w:ascii="Times New Roman" w:hAnsi="Times New Roman"/>
        </w:rPr>
      </w:pPr>
      <w:r>
        <w:rPr>
          <w:rFonts w:hint="eastAsia" w:ascii="Times New Roman" w:hAnsi="Times New Roman"/>
          <w:b/>
        </w:rPr>
        <w:t>——坚持以防为主，防救并举。</w:t>
      </w:r>
      <w:r>
        <w:rPr>
          <w:rFonts w:hint="eastAsia" w:ascii="Times New Roman" w:hAnsi="Times New Roman"/>
        </w:rPr>
        <w:t>坚持以防为主、防抗救相结合，坚持常态减灾和非常态救灾相统一，努力实现从注重灾后救助向注重灾前预防转变，从应对单一灾种向综合减灾转变，从减少灾害损失向减轻灾害风险转变，全面提升全社会抵御自然灾害的综合防范能力。</w:t>
      </w:r>
    </w:p>
    <w:p w14:paraId="2BB089E6">
      <w:pPr>
        <w:spacing w:line="600" w:lineRule="exact"/>
        <w:ind w:firstLine="640" w:firstLineChars="200"/>
        <w:jc w:val="both"/>
        <w:rPr>
          <w:rFonts w:ascii="Times New Roman" w:hAnsi="Times New Roman"/>
        </w:rPr>
      </w:pPr>
      <w:r>
        <w:rPr>
          <w:rFonts w:hint="eastAsia" w:ascii="Times New Roman" w:hAnsi="Times New Roman"/>
          <w:b/>
        </w:rPr>
        <w:t>——坚持政府主导，社会参与。</w:t>
      </w:r>
      <w:r>
        <w:rPr>
          <w:rFonts w:hint="eastAsia" w:ascii="Times New Roman" w:hAnsi="Times New Roman"/>
        </w:rPr>
        <w:t>全面履行政府公共服务和社会管理职能，充分发挥政策导向作用，调动各方面参与应急体系建设积极性。把政府管理与社会参与有机结合起来，实现应急工作由政府单一主体向政府主导、社会参与的多元主体转变，形成强大合力。</w:t>
      </w:r>
    </w:p>
    <w:p w14:paraId="71EACBE7">
      <w:pPr>
        <w:spacing w:line="600" w:lineRule="exact"/>
        <w:ind w:firstLine="640" w:firstLineChars="200"/>
        <w:rPr>
          <w:rFonts w:ascii="Times New Roman" w:hAnsi="Times New Roman"/>
        </w:rPr>
      </w:pPr>
      <w:r>
        <w:rPr>
          <w:rFonts w:hint="eastAsia" w:ascii="Times New Roman" w:hAnsi="Times New Roman"/>
          <w:b/>
        </w:rPr>
        <w:t>——坚持科技转型，精准升级。</w:t>
      </w:r>
      <w:r>
        <w:rPr>
          <w:rFonts w:hint="eastAsia" w:ascii="Times New Roman" w:hAnsi="Times New Roman"/>
        </w:rPr>
        <w:t>大力推进新一代信息技术在应急领域的应用，以科技力量提升安全生产水平和应急管理、防灾减灾能力，促进应急管理体系转型升级。</w:t>
      </w:r>
    </w:p>
    <w:p w14:paraId="3AA794D7">
      <w:pPr>
        <w:adjustRightInd w:val="0"/>
        <w:snapToGrid w:val="0"/>
        <w:spacing w:line="600" w:lineRule="exact"/>
        <w:ind w:firstLine="640" w:firstLineChars="200"/>
        <w:rPr>
          <w:rFonts w:ascii="Times New Roman" w:hAnsi="Times New Roman"/>
          <w:b/>
        </w:rPr>
      </w:pPr>
      <w:bookmarkStart w:id="7" w:name="_Toc73434510"/>
      <w:r>
        <w:rPr>
          <w:rFonts w:hint="eastAsia" w:ascii="Times New Roman" w:hAnsi="Times New Roman" w:eastAsia="楷体_GB2312"/>
          <w:b/>
        </w:rPr>
        <w:t>（三）主要</w:t>
      </w:r>
      <w:r>
        <w:rPr>
          <w:rFonts w:hint="eastAsia" w:ascii="Times New Roman" w:hAnsi="Times New Roman" w:eastAsia="楷体_GB2312"/>
          <w:b/>
          <w:color w:val="000000"/>
        </w:rPr>
        <w:t>目标</w:t>
      </w:r>
      <w:bookmarkEnd w:id="7"/>
    </w:p>
    <w:p w14:paraId="3A0CD152">
      <w:pPr>
        <w:spacing w:line="600" w:lineRule="exact"/>
        <w:ind w:firstLine="640" w:firstLineChars="200"/>
        <w:rPr>
          <w:rFonts w:ascii="Times New Roman" w:hAnsi="Times New Roman"/>
        </w:rPr>
      </w:pPr>
      <w:r>
        <w:rPr>
          <w:rFonts w:ascii="Times New Roman" w:hAnsi="Times New Roman"/>
          <w:b/>
        </w:rPr>
        <w:t>1.总体目标。</w:t>
      </w:r>
      <w:r>
        <w:rPr>
          <w:rFonts w:hint="eastAsia" w:ascii="Times New Roman" w:hAnsi="Times New Roman"/>
        </w:rPr>
        <w:t>到</w:t>
      </w:r>
      <w:r>
        <w:rPr>
          <w:rFonts w:ascii="Times New Roman" w:hAnsi="Times New Roman"/>
        </w:rPr>
        <w:t>2025</w:t>
      </w:r>
      <w:r>
        <w:rPr>
          <w:rFonts w:hint="eastAsia" w:ascii="Times New Roman" w:hAnsi="Times New Roman"/>
        </w:rPr>
        <w:t>年，形成统一指挥、专常兼备、反应灵敏、上下联动的应急管理体制，不断健全防范化解重大安全风险体制机制，安全生产、综合防灾减灾形势趋稳向好。全市</w:t>
      </w:r>
      <w:r>
        <w:rPr>
          <w:rFonts w:hint="eastAsia" w:ascii="Times New Roman" w:hAnsi="Times New Roman"/>
          <w:color w:val="000000"/>
        </w:rPr>
        <w:t>应急管理基础得到全面加强，应急管理科技信息化水平迈上新台阶；安全风险分级管控和隐患排查治理双重预防机制进一步完善，生产安全事故起数和死亡人数持续下降，杜绝重特大事故发生；</w:t>
      </w:r>
      <w:r>
        <w:rPr>
          <w:rFonts w:hint="eastAsia" w:ascii="Times New Roman" w:hAnsi="Times New Roman"/>
        </w:rPr>
        <w:t>自然灾害防御水平明显提升，人民群众因灾损失大幅度减少，巨灾应对能力有所提升，人民群众的获得感、幸福感、安全感显著增强，共商共建共治共享的应急管理新格局初步形成。</w:t>
      </w:r>
      <w:r>
        <w:rPr>
          <w:rFonts w:ascii="Times New Roman" w:hAnsi="Times New Roman"/>
        </w:rPr>
        <w:t>到2035年，基本实现应急管理体系和能力现代化，安全生产、综合防灾减灾形势更加稳定可控。</w:t>
      </w:r>
    </w:p>
    <w:p w14:paraId="690C700F">
      <w:pPr>
        <w:spacing w:line="600" w:lineRule="exact"/>
        <w:ind w:firstLine="640" w:firstLineChars="200"/>
        <w:rPr>
          <w:rFonts w:ascii="Times New Roman" w:hAnsi="Times New Roman"/>
          <w:b/>
        </w:rPr>
      </w:pPr>
      <w:r>
        <w:rPr>
          <w:rFonts w:ascii="Times New Roman" w:hAnsi="Times New Roman"/>
          <w:b/>
        </w:rPr>
        <w:t>表1：“十四五”时期核心指标</w:t>
      </w:r>
    </w:p>
    <w:tbl>
      <w:tblPr>
        <w:tblStyle w:val="10"/>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5103"/>
        <w:gridCol w:w="1341"/>
        <w:gridCol w:w="1352"/>
      </w:tblGrid>
      <w:tr w14:paraId="7FC05B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14:paraId="059BF4F2">
            <w:pPr>
              <w:adjustRightInd w:val="0"/>
              <w:snapToGrid w:val="0"/>
              <w:spacing w:line="600" w:lineRule="exact"/>
              <w:jc w:val="left"/>
              <w:rPr>
                <w:rFonts w:ascii="Times New Roman" w:hAnsi="Times New Roman"/>
                <w:kern w:val="0"/>
                <w:sz w:val="28"/>
                <w:szCs w:val="28"/>
              </w:rPr>
            </w:pPr>
            <w:r>
              <w:rPr>
                <w:rFonts w:ascii="Times New Roman" w:hAnsi="Times New Roman"/>
                <w:kern w:val="0"/>
                <w:sz w:val="28"/>
                <w:szCs w:val="28"/>
              </w:rPr>
              <w:t>序号</w:t>
            </w:r>
          </w:p>
        </w:tc>
        <w:tc>
          <w:tcPr>
            <w:tcW w:w="5103" w:type="dxa"/>
            <w:vAlign w:val="center"/>
          </w:tcPr>
          <w:p w14:paraId="4AC72B63">
            <w:pPr>
              <w:adjustRightInd w:val="0"/>
              <w:snapToGrid w:val="0"/>
              <w:spacing w:line="600" w:lineRule="exact"/>
              <w:jc w:val="center"/>
              <w:rPr>
                <w:rFonts w:ascii="Times New Roman" w:hAnsi="Times New Roman"/>
                <w:kern w:val="0"/>
                <w:sz w:val="28"/>
                <w:szCs w:val="28"/>
              </w:rPr>
            </w:pPr>
            <w:r>
              <w:rPr>
                <w:rFonts w:ascii="Times New Roman" w:hAnsi="Times New Roman"/>
                <w:kern w:val="0"/>
                <w:sz w:val="28"/>
                <w:szCs w:val="28"/>
              </w:rPr>
              <w:t>指标内容</w:t>
            </w:r>
          </w:p>
        </w:tc>
        <w:tc>
          <w:tcPr>
            <w:tcW w:w="1341" w:type="dxa"/>
            <w:vAlign w:val="center"/>
          </w:tcPr>
          <w:p w14:paraId="5D0F2B7E">
            <w:pPr>
              <w:adjustRightInd w:val="0"/>
              <w:snapToGrid w:val="0"/>
              <w:spacing w:line="600" w:lineRule="exact"/>
              <w:jc w:val="center"/>
              <w:rPr>
                <w:rFonts w:ascii="Times New Roman" w:hAnsi="Times New Roman"/>
                <w:kern w:val="0"/>
                <w:sz w:val="28"/>
                <w:szCs w:val="28"/>
              </w:rPr>
            </w:pPr>
            <w:r>
              <w:rPr>
                <w:rFonts w:ascii="Times New Roman" w:hAnsi="Times New Roman"/>
                <w:kern w:val="0"/>
                <w:sz w:val="28"/>
                <w:szCs w:val="28"/>
              </w:rPr>
              <w:t>预期值</w:t>
            </w:r>
          </w:p>
        </w:tc>
        <w:tc>
          <w:tcPr>
            <w:tcW w:w="1352" w:type="dxa"/>
            <w:vAlign w:val="center"/>
          </w:tcPr>
          <w:p w14:paraId="1B40CB11">
            <w:pPr>
              <w:adjustRightInd w:val="0"/>
              <w:snapToGrid w:val="0"/>
              <w:spacing w:line="600" w:lineRule="exact"/>
              <w:jc w:val="center"/>
              <w:rPr>
                <w:rFonts w:ascii="Times New Roman" w:hAnsi="Times New Roman"/>
                <w:kern w:val="0"/>
                <w:sz w:val="28"/>
                <w:szCs w:val="28"/>
              </w:rPr>
            </w:pPr>
            <w:r>
              <w:rPr>
                <w:rFonts w:ascii="Times New Roman" w:hAnsi="Times New Roman"/>
                <w:kern w:val="0"/>
                <w:sz w:val="28"/>
                <w:szCs w:val="28"/>
              </w:rPr>
              <w:t>属性</w:t>
            </w:r>
          </w:p>
        </w:tc>
      </w:tr>
      <w:tr w14:paraId="2ED18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14:paraId="00559E23">
            <w:pPr>
              <w:adjustRightInd w:val="0"/>
              <w:snapToGrid w:val="0"/>
              <w:spacing w:line="240" w:lineRule="auto"/>
              <w:jc w:val="center"/>
              <w:rPr>
                <w:rFonts w:ascii="Times New Roman" w:hAnsi="Times New Roman"/>
                <w:kern w:val="0"/>
                <w:sz w:val="28"/>
                <w:szCs w:val="28"/>
              </w:rPr>
            </w:pPr>
            <w:r>
              <w:rPr>
                <w:rFonts w:ascii="Times New Roman" w:hAnsi="Times New Roman"/>
                <w:kern w:val="0"/>
                <w:sz w:val="28"/>
                <w:szCs w:val="28"/>
              </w:rPr>
              <w:t>1</w:t>
            </w:r>
          </w:p>
        </w:tc>
        <w:tc>
          <w:tcPr>
            <w:tcW w:w="5103" w:type="dxa"/>
            <w:vAlign w:val="center"/>
          </w:tcPr>
          <w:p w14:paraId="486DA6BD">
            <w:pPr>
              <w:adjustRightInd w:val="0"/>
              <w:snapToGrid w:val="0"/>
              <w:spacing w:line="240" w:lineRule="auto"/>
              <w:jc w:val="center"/>
              <w:rPr>
                <w:rFonts w:ascii="Times New Roman" w:hAnsi="Times New Roman"/>
                <w:kern w:val="0"/>
                <w:sz w:val="28"/>
                <w:szCs w:val="28"/>
              </w:rPr>
            </w:pPr>
            <w:r>
              <w:rPr>
                <w:rFonts w:ascii="Times New Roman" w:hAnsi="Times New Roman"/>
                <w:kern w:val="0"/>
                <w:sz w:val="28"/>
                <w:szCs w:val="28"/>
              </w:rPr>
              <w:t>生产安全事故死亡人数</w:t>
            </w:r>
          </w:p>
        </w:tc>
        <w:tc>
          <w:tcPr>
            <w:tcW w:w="1341" w:type="dxa"/>
            <w:vAlign w:val="center"/>
          </w:tcPr>
          <w:p w14:paraId="2B1499C5">
            <w:pPr>
              <w:adjustRightInd w:val="0"/>
              <w:snapToGrid w:val="0"/>
              <w:spacing w:line="240" w:lineRule="auto"/>
              <w:jc w:val="center"/>
              <w:rPr>
                <w:rFonts w:ascii="Times New Roman" w:hAnsi="Times New Roman"/>
                <w:kern w:val="0"/>
                <w:sz w:val="28"/>
                <w:szCs w:val="28"/>
              </w:rPr>
            </w:pPr>
            <w:r>
              <w:rPr>
                <w:rFonts w:ascii="Times New Roman" w:hAnsi="Times New Roman"/>
                <w:kern w:val="0"/>
                <w:sz w:val="28"/>
                <w:szCs w:val="28"/>
              </w:rPr>
              <w:t>下降10%</w:t>
            </w:r>
          </w:p>
        </w:tc>
        <w:tc>
          <w:tcPr>
            <w:tcW w:w="1352" w:type="dxa"/>
            <w:vAlign w:val="center"/>
          </w:tcPr>
          <w:p w14:paraId="57EC9F3C">
            <w:pPr>
              <w:adjustRightInd w:val="0"/>
              <w:snapToGrid w:val="0"/>
              <w:spacing w:line="240" w:lineRule="auto"/>
              <w:jc w:val="center"/>
              <w:rPr>
                <w:rFonts w:ascii="Times New Roman" w:hAnsi="Times New Roman"/>
                <w:kern w:val="0"/>
                <w:sz w:val="28"/>
                <w:szCs w:val="28"/>
              </w:rPr>
            </w:pPr>
            <w:r>
              <w:rPr>
                <w:rFonts w:ascii="Times New Roman" w:hAnsi="Times New Roman"/>
                <w:kern w:val="0"/>
                <w:sz w:val="28"/>
                <w:szCs w:val="28"/>
              </w:rPr>
              <w:t>约束性</w:t>
            </w:r>
          </w:p>
        </w:tc>
      </w:tr>
      <w:tr w14:paraId="0598A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14:paraId="0BFCF699">
            <w:pPr>
              <w:adjustRightInd w:val="0"/>
              <w:snapToGrid w:val="0"/>
              <w:spacing w:line="240" w:lineRule="auto"/>
              <w:jc w:val="center"/>
              <w:rPr>
                <w:rFonts w:ascii="Times New Roman" w:hAnsi="Times New Roman"/>
                <w:kern w:val="0"/>
                <w:sz w:val="28"/>
                <w:szCs w:val="28"/>
              </w:rPr>
            </w:pPr>
            <w:r>
              <w:rPr>
                <w:rFonts w:ascii="Times New Roman" w:hAnsi="Times New Roman"/>
                <w:kern w:val="0"/>
                <w:sz w:val="28"/>
                <w:szCs w:val="28"/>
              </w:rPr>
              <w:t>2</w:t>
            </w:r>
          </w:p>
        </w:tc>
        <w:tc>
          <w:tcPr>
            <w:tcW w:w="5103" w:type="dxa"/>
            <w:vAlign w:val="center"/>
          </w:tcPr>
          <w:p w14:paraId="048757FC">
            <w:pPr>
              <w:adjustRightInd w:val="0"/>
              <w:snapToGrid w:val="0"/>
              <w:spacing w:line="240" w:lineRule="auto"/>
              <w:jc w:val="center"/>
              <w:rPr>
                <w:rFonts w:ascii="Times New Roman" w:hAnsi="Times New Roman"/>
                <w:kern w:val="0"/>
                <w:sz w:val="28"/>
                <w:szCs w:val="28"/>
              </w:rPr>
            </w:pPr>
            <w:r>
              <w:rPr>
                <w:rFonts w:ascii="Times New Roman" w:hAnsi="Times New Roman"/>
                <w:kern w:val="0"/>
                <w:sz w:val="28"/>
                <w:szCs w:val="28"/>
              </w:rPr>
              <w:t>单位地区生产总值生产安全事故死亡率</w:t>
            </w:r>
          </w:p>
        </w:tc>
        <w:tc>
          <w:tcPr>
            <w:tcW w:w="1341" w:type="dxa"/>
            <w:vAlign w:val="center"/>
          </w:tcPr>
          <w:p w14:paraId="43C648A3">
            <w:pPr>
              <w:adjustRightInd w:val="0"/>
              <w:snapToGrid w:val="0"/>
              <w:spacing w:line="240" w:lineRule="auto"/>
              <w:jc w:val="center"/>
              <w:rPr>
                <w:rFonts w:ascii="Times New Roman" w:hAnsi="Times New Roman"/>
                <w:kern w:val="0"/>
                <w:sz w:val="28"/>
                <w:szCs w:val="28"/>
              </w:rPr>
            </w:pPr>
            <w:r>
              <w:rPr>
                <w:rFonts w:ascii="Times New Roman" w:hAnsi="Times New Roman"/>
                <w:kern w:val="0"/>
                <w:sz w:val="28"/>
                <w:szCs w:val="28"/>
              </w:rPr>
              <w:t>下降15%</w:t>
            </w:r>
          </w:p>
        </w:tc>
        <w:tc>
          <w:tcPr>
            <w:tcW w:w="1352" w:type="dxa"/>
            <w:vAlign w:val="center"/>
          </w:tcPr>
          <w:p w14:paraId="4DE62E24">
            <w:pPr>
              <w:adjustRightInd w:val="0"/>
              <w:snapToGrid w:val="0"/>
              <w:spacing w:line="240" w:lineRule="auto"/>
              <w:jc w:val="center"/>
              <w:rPr>
                <w:rFonts w:ascii="Times New Roman" w:hAnsi="Times New Roman"/>
                <w:kern w:val="0"/>
                <w:sz w:val="28"/>
                <w:szCs w:val="28"/>
              </w:rPr>
            </w:pPr>
            <w:r>
              <w:rPr>
                <w:rFonts w:ascii="Times New Roman" w:hAnsi="Times New Roman"/>
                <w:kern w:val="0"/>
                <w:sz w:val="28"/>
                <w:szCs w:val="28"/>
              </w:rPr>
              <w:t>约束性</w:t>
            </w:r>
          </w:p>
        </w:tc>
      </w:tr>
      <w:tr w14:paraId="716A25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14:paraId="2C3BFEFF">
            <w:pPr>
              <w:adjustRightInd w:val="0"/>
              <w:snapToGrid w:val="0"/>
              <w:spacing w:line="240" w:lineRule="auto"/>
              <w:jc w:val="center"/>
              <w:rPr>
                <w:rFonts w:ascii="Times New Roman" w:hAnsi="Times New Roman"/>
                <w:kern w:val="0"/>
                <w:sz w:val="28"/>
                <w:szCs w:val="28"/>
              </w:rPr>
            </w:pPr>
            <w:r>
              <w:rPr>
                <w:rFonts w:ascii="Times New Roman" w:hAnsi="Times New Roman"/>
                <w:kern w:val="0"/>
                <w:sz w:val="28"/>
                <w:szCs w:val="28"/>
              </w:rPr>
              <w:t>3</w:t>
            </w:r>
          </w:p>
        </w:tc>
        <w:tc>
          <w:tcPr>
            <w:tcW w:w="5103" w:type="dxa"/>
            <w:vAlign w:val="center"/>
          </w:tcPr>
          <w:p w14:paraId="731E9177">
            <w:pPr>
              <w:adjustRightInd w:val="0"/>
              <w:snapToGrid w:val="0"/>
              <w:spacing w:line="240" w:lineRule="auto"/>
              <w:jc w:val="center"/>
              <w:rPr>
                <w:rFonts w:ascii="Times New Roman" w:hAnsi="Times New Roman"/>
                <w:kern w:val="0"/>
                <w:sz w:val="28"/>
                <w:szCs w:val="28"/>
              </w:rPr>
            </w:pPr>
            <w:r>
              <w:rPr>
                <w:rFonts w:ascii="Times New Roman" w:hAnsi="Times New Roman"/>
                <w:kern w:val="0"/>
                <w:sz w:val="28"/>
                <w:szCs w:val="28"/>
              </w:rPr>
              <w:t>工矿商贸就业人员十万人生产安全事故死亡率</w:t>
            </w:r>
          </w:p>
        </w:tc>
        <w:tc>
          <w:tcPr>
            <w:tcW w:w="1341" w:type="dxa"/>
            <w:vAlign w:val="center"/>
          </w:tcPr>
          <w:p w14:paraId="3EBA77FA">
            <w:pPr>
              <w:adjustRightInd w:val="0"/>
              <w:snapToGrid w:val="0"/>
              <w:spacing w:line="240" w:lineRule="auto"/>
              <w:jc w:val="center"/>
              <w:rPr>
                <w:rFonts w:ascii="Times New Roman" w:hAnsi="Times New Roman"/>
                <w:kern w:val="0"/>
                <w:sz w:val="28"/>
                <w:szCs w:val="28"/>
              </w:rPr>
            </w:pPr>
            <w:r>
              <w:rPr>
                <w:rFonts w:ascii="Times New Roman" w:hAnsi="Times New Roman"/>
                <w:kern w:val="0"/>
                <w:sz w:val="28"/>
                <w:szCs w:val="28"/>
              </w:rPr>
              <w:t>下降10%</w:t>
            </w:r>
          </w:p>
        </w:tc>
        <w:tc>
          <w:tcPr>
            <w:tcW w:w="1352" w:type="dxa"/>
            <w:vAlign w:val="center"/>
          </w:tcPr>
          <w:p w14:paraId="2EF84C0F">
            <w:pPr>
              <w:adjustRightInd w:val="0"/>
              <w:snapToGrid w:val="0"/>
              <w:spacing w:line="240" w:lineRule="auto"/>
              <w:jc w:val="center"/>
              <w:rPr>
                <w:rFonts w:ascii="Times New Roman" w:hAnsi="Times New Roman"/>
                <w:kern w:val="0"/>
                <w:sz w:val="28"/>
                <w:szCs w:val="28"/>
              </w:rPr>
            </w:pPr>
            <w:r>
              <w:rPr>
                <w:rFonts w:ascii="Times New Roman" w:hAnsi="Times New Roman"/>
                <w:kern w:val="0"/>
                <w:sz w:val="28"/>
                <w:szCs w:val="28"/>
              </w:rPr>
              <w:t>约束性</w:t>
            </w:r>
          </w:p>
        </w:tc>
      </w:tr>
      <w:tr w14:paraId="566472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14:paraId="45373F96">
            <w:pPr>
              <w:adjustRightInd w:val="0"/>
              <w:snapToGrid w:val="0"/>
              <w:spacing w:line="240" w:lineRule="auto"/>
              <w:jc w:val="center"/>
              <w:rPr>
                <w:rFonts w:ascii="Times New Roman" w:hAnsi="Times New Roman"/>
                <w:kern w:val="0"/>
                <w:sz w:val="28"/>
                <w:szCs w:val="28"/>
              </w:rPr>
            </w:pPr>
            <w:r>
              <w:rPr>
                <w:rFonts w:ascii="Times New Roman" w:hAnsi="Times New Roman"/>
                <w:kern w:val="0"/>
                <w:sz w:val="28"/>
                <w:szCs w:val="28"/>
              </w:rPr>
              <w:t>4</w:t>
            </w:r>
          </w:p>
        </w:tc>
        <w:tc>
          <w:tcPr>
            <w:tcW w:w="5103" w:type="dxa"/>
            <w:vAlign w:val="center"/>
          </w:tcPr>
          <w:p w14:paraId="5D586ACA">
            <w:pPr>
              <w:adjustRightInd w:val="0"/>
              <w:snapToGrid w:val="0"/>
              <w:spacing w:line="240" w:lineRule="auto"/>
              <w:jc w:val="center"/>
              <w:rPr>
                <w:rFonts w:ascii="Times New Roman" w:hAnsi="Times New Roman"/>
                <w:kern w:val="0"/>
                <w:sz w:val="28"/>
                <w:szCs w:val="28"/>
              </w:rPr>
            </w:pPr>
            <w:r>
              <w:rPr>
                <w:rFonts w:ascii="Times New Roman" w:hAnsi="Times New Roman"/>
                <w:kern w:val="0"/>
                <w:sz w:val="28"/>
                <w:szCs w:val="28"/>
              </w:rPr>
              <w:t>运营车辆万车死亡率</w:t>
            </w:r>
          </w:p>
        </w:tc>
        <w:tc>
          <w:tcPr>
            <w:tcW w:w="1341" w:type="dxa"/>
            <w:vAlign w:val="center"/>
          </w:tcPr>
          <w:p w14:paraId="2A2C8EAA">
            <w:pPr>
              <w:adjustRightInd w:val="0"/>
              <w:snapToGrid w:val="0"/>
              <w:spacing w:line="240" w:lineRule="auto"/>
              <w:jc w:val="center"/>
              <w:rPr>
                <w:rFonts w:ascii="Times New Roman" w:hAnsi="Times New Roman"/>
                <w:kern w:val="0"/>
                <w:sz w:val="28"/>
                <w:szCs w:val="28"/>
              </w:rPr>
            </w:pPr>
            <w:r>
              <w:rPr>
                <w:rFonts w:ascii="Times New Roman" w:hAnsi="Times New Roman"/>
                <w:kern w:val="0"/>
                <w:sz w:val="28"/>
                <w:szCs w:val="28"/>
              </w:rPr>
              <w:t>下降10%</w:t>
            </w:r>
          </w:p>
        </w:tc>
        <w:tc>
          <w:tcPr>
            <w:tcW w:w="1352" w:type="dxa"/>
            <w:vAlign w:val="center"/>
          </w:tcPr>
          <w:p w14:paraId="5F6B899B">
            <w:pPr>
              <w:adjustRightInd w:val="0"/>
              <w:snapToGrid w:val="0"/>
              <w:spacing w:line="240" w:lineRule="auto"/>
              <w:jc w:val="center"/>
              <w:rPr>
                <w:rFonts w:ascii="Times New Roman" w:hAnsi="Times New Roman"/>
                <w:kern w:val="0"/>
                <w:sz w:val="28"/>
                <w:szCs w:val="28"/>
              </w:rPr>
            </w:pPr>
            <w:r>
              <w:rPr>
                <w:rFonts w:ascii="Times New Roman" w:hAnsi="Times New Roman"/>
                <w:kern w:val="0"/>
                <w:sz w:val="28"/>
                <w:szCs w:val="28"/>
              </w:rPr>
              <w:t>预期性</w:t>
            </w:r>
          </w:p>
        </w:tc>
      </w:tr>
      <w:tr w14:paraId="4DBF2C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14:paraId="6791C7AA">
            <w:pPr>
              <w:adjustRightInd w:val="0"/>
              <w:snapToGrid w:val="0"/>
              <w:spacing w:line="240" w:lineRule="auto"/>
              <w:jc w:val="center"/>
              <w:rPr>
                <w:rFonts w:ascii="Times New Roman" w:hAnsi="Times New Roman"/>
                <w:kern w:val="0"/>
                <w:sz w:val="28"/>
                <w:szCs w:val="28"/>
              </w:rPr>
            </w:pPr>
            <w:r>
              <w:rPr>
                <w:rFonts w:ascii="Times New Roman" w:hAnsi="Times New Roman"/>
                <w:kern w:val="0"/>
                <w:sz w:val="28"/>
                <w:szCs w:val="28"/>
              </w:rPr>
              <w:t>5</w:t>
            </w:r>
          </w:p>
        </w:tc>
        <w:tc>
          <w:tcPr>
            <w:tcW w:w="5103" w:type="dxa"/>
            <w:vAlign w:val="center"/>
          </w:tcPr>
          <w:p w14:paraId="681CFA40">
            <w:pPr>
              <w:adjustRightInd w:val="0"/>
              <w:snapToGrid w:val="0"/>
              <w:spacing w:line="240" w:lineRule="auto"/>
              <w:jc w:val="center"/>
              <w:rPr>
                <w:rFonts w:ascii="Times New Roman" w:hAnsi="Times New Roman"/>
                <w:kern w:val="0"/>
                <w:sz w:val="28"/>
                <w:szCs w:val="28"/>
              </w:rPr>
            </w:pPr>
            <w:r>
              <w:rPr>
                <w:rFonts w:ascii="Times New Roman" w:hAnsi="Times New Roman"/>
                <w:kern w:val="0"/>
                <w:sz w:val="28"/>
                <w:szCs w:val="28"/>
              </w:rPr>
              <w:t>年均因自然灾害直接经济损失占地区生产总值</w:t>
            </w:r>
          </w:p>
        </w:tc>
        <w:tc>
          <w:tcPr>
            <w:tcW w:w="1341" w:type="dxa"/>
            <w:vAlign w:val="center"/>
          </w:tcPr>
          <w:p w14:paraId="3AF80F6C">
            <w:pPr>
              <w:adjustRightInd w:val="0"/>
              <w:snapToGrid w:val="0"/>
              <w:spacing w:line="240" w:lineRule="auto"/>
              <w:jc w:val="center"/>
              <w:rPr>
                <w:rFonts w:ascii="Times New Roman" w:hAnsi="Times New Roman"/>
                <w:kern w:val="0"/>
                <w:sz w:val="28"/>
                <w:szCs w:val="28"/>
              </w:rPr>
            </w:pPr>
            <w:r>
              <w:rPr>
                <w:rFonts w:ascii="Times New Roman" w:hAnsi="Times New Roman"/>
                <w:kern w:val="0"/>
                <w:sz w:val="28"/>
                <w:szCs w:val="28"/>
              </w:rPr>
              <w:t>&lt;1%</w:t>
            </w:r>
          </w:p>
        </w:tc>
        <w:tc>
          <w:tcPr>
            <w:tcW w:w="1352" w:type="dxa"/>
            <w:vAlign w:val="center"/>
          </w:tcPr>
          <w:p w14:paraId="4FF4338A">
            <w:pPr>
              <w:adjustRightInd w:val="0"/>
              <w:snapToGrid w:val="0"/>
              <w:spacing w:line="240" w:lineRule="auto"/>
              <w:jc w:val="center"/>
              <w:rPr>
                <w:rFonts w:ascii="Times New Roman" w:hAnsi="Times New Roman"/>
                <w:kern w:val="0"/>
                <w:sz w:val="28"/>
                <w:szCs w:val="28"/>
              </w:rPr>
            </w:pPr>
            <w:r>
              <w:rPr>
                <w:rFonts w:ascii="Times New Roman" w:hAnsi="Times New Roman"/>
                <w:kern w:val="0"/>
                <w:sz w:val="28"/>
                <w:szCs w:val="28"/>
              </w:rPr>
              <w:t>预期性</w:t>
            </w:r>
          </w:p>
        </w:tc>
      </w:tr>
      <w:tr w14:paraId="0EDACA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14:paraId="18C98EEB">
            <w:pPr>
              <w:adjustRightInd w:val="0"/>
              <w:snapToGrid w:val="0"/>
              <w:spacing w:line="240" w:lineRule="auto"/>
              <w:jc w:val="center"/>
              <w:rPr>
                <w:rFonts w:ascii="Times New Roman" w:hAnsi="Times New Roman"/>
                <w:kern w:val="0"/>
                <w:sz w:val="28"/>
                <w:szCs w:val="28"/>
              </w:rPr>
            </w:pPr>
            <w:r>
              <w:rPr>
                <w:rFonts w:ascii="Times New Roman" w:hAnsi="Times New Roman"/>
                <w:kern w:val="0"/>
                <w:sz w:val="28"/>
                <w:szCs w:val="28"/>
              </w:rPr>
              <w:t>6</w:t>
            </w:r>
          </w:p>
        </w:tc>
        <w:tc>
          <w:tcPr>
            <w:tcW w:w="5103" w:type="dxa"/>
            <w:vAlign w:val="center"/>
          </w:tcPr>
          <w:p w14:paraId="6AE6CA7D">
            <w:pPr>
              <w:adjustRightInd w:val="0"/>
              <w:snapToGrid w:val="0"/>
              <w:spacing w:line="240" w:lineRule="auto"/>
              <w:jc w:val="center"/>
              <w:rPr>
                <w:rFonts w:ascii="Times New Roman" w:hAnsi="Times New Roman"/>
                <w:kern w:val="0"/>
                <w:sz w:val="28"/>
                <w:szCs w:val="28"/>
              </w:rPr>
            </w:pPr>
            <w:r>
              <w:rPr>
                <w:rFonts w:ascii="Times New Roman" w:hAnsi="Times New Roman"/>
                <w:kern w:val="0"/>
                <w:sz w:val="28"/>
                <w:szCs w:val="28"/>
              </w:rPr>
              <w:t>年均每百万人口因自然灾害死亡率</w:t>
            </w:r>
          </w:p>
        </w:tc>
        <w:tc>
          <w:tcPr>
            <w:tcW w:w="1341" w:type="dxa"/>
            <w:vAlign w:val="center"/>
          </w:tcPr>
          <w:p w14:paraId="310703A9">
            <w:pPr>
              <w:adjustRightInd w:val="0"/>
              <w:snapToGrid w:val="0"/>
              <w:spacing w:line="240" w:lineRule="auto"/>
              <w:jc w:val="center"/>
              <w:rPr>
                <w:rFonts w:ascii="Times New Roman" w:hAnsi="Times New Roman"/>
                <w:kern w:val="0"/>
                <w:sz w:val="28"/>
                <w:szCs w:val="28"/>
              </w:rPr>
            </w:pPr>
            <w:r>
              <w:rPr>
                <w:rFonts w:ascii="Times New Roman" w:hAnsi="Times New Roman"/>
                <w:kern w:val="0"/>
                <w:sz w:val="28"/>
                <w:szCs w:val="28"/>
              </w:rPr>
              <w:t>&lt;1</w:t>
            </w:r>
          </w:p>
        </w:tc>
        <w:tc>
          <w:tcPr>
            <w:tcW w:w="1352" w:type="dxa"/>
            <w:vAlign w:val="center"/>
          </w:tcPr>
          <w:p w14:paraId="74AFB033">
            <w:pPr>
              <w:adjustRightInd w:val="0"/>
              <w:snapToGrid w:val="0"/>
              <w:spacing w:line="240" w:lineRule="auto"/>
              <w:jc w:val="center"/>
              <w:rPr>
                <w:rFonts w:ascii="Times New Roman" w:hAnsi="Times New Roman"/>
                <w:kern w:val="0"/>
                <w:sz w:val="28"/>
                <w:szCs w:val="28"/>
              </w:rPr>
            </w:pPr>
            <w:r>
              <w:rPr>
                <w:rFonts w:ascii="Times New Roman" w:hAnsi="Times New Roman"/>
                <w:kern w:val="0"/>
                <w:sz w:val="28"/>
                <w:szCs w:val="28"/>
              </w:rPr>
              <w:t>预期性</w:t>
            </w:r>
          </w:p>
        </w:tc>
      </w:tr>
      <w:tr w14:paraId="594E8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14:paraId="1BFBDCA1">
            <w:pPr>
              <w:adjustRightInd w:val="0"/>
              <w:snapToGrid w:val="0"/>
              <w:spacing w:line="240" w:lineRule="auto"/>
              <w:jc w:val="center"/>
              <w:rPr>
                <w:rFonts w:ascii="Times New Roman" w:hAnsi="Times New Roman"/>
                <w:kern w:val="0"/>
                <w:sz w:val="28"/>
                <w:szCs w:val="28"/>
              </w:rPr>
            </w:pPr>
            <w:r>
              <w:rPr>
                <w:rFonts w:ascii="Times New Roman" w:hAnsi="Times New Roman"/>
                <w:kern w:val="0"/>
                <w:sz w:val="28"/>
                <w:szCs w:val="28"/>
              </w:rPr>
              <w:t>7</w:t>
            </w:r>
          </w:p>
        </w:tc>
        <w:tc>
          <w:tcPr>
            <w:tcW w:w="5103" w:type="dxa"/>
            <w:vAlign w:val="center"/>
          </w:tcPr>
          <w:p w14:paraId="67F1F89A">
            <w:pPr>
              <w:adjustRightInd w:val="0"/>
              <w:snapToGrid w:val="0"/>
              <w:spacing w:line="240" w:lineRule="auto"/>
              <w:jc w:val="center"/>
              <w:rPr>
                <w:rFonts w:ascii="Times New Roman" w:hAnsi="Times New Roman"/>
                <w:kern w:val="0"/>
                <w:sz w:val="28"/>
                <w:szCs w:val="28"/>
              </w:rPr>
            </w:pPr>
            <w:r>
              <w:rPr>
                <w:rFonts w:ascii="Times New Roman" w:hAnsi="Times New Roman"/>
                <w:kern w:val="0"/>
                <w:sz w:val="28"/>
                <w:szCs w:val="28"/>
              </w:rPr>
              <w:t>受灾人员基本生活得到有效救助的时间</w:t>
            </w:r>
          </w:p>
        </w:tc>
        <w:tc>
          <w:tcPr>
            <w:tcW w:w="1341" w:type="dxa"/>
            <w:vAlign w:val="center"/>
          </w:tcPr>
          <w:p w14:paraId="34831906">
            <w:pPr>
              <w:adjustRightInd w:val="0"/>
              <w:snapToGrid w:val="0"/>
              <w:spacing w:line="240" w:lineRule="auto"/>
              <w:jc w:val="center"/>
              <w:rPr>
                <w:rFonts w:ascii="Times New Roman" w:hAnsi="Times New Roman"/>
                <w:kern w:val="0"/>
                <w:sz w:val="28"/>
                <w:szCs w:val="28"/>
              </w:rPr>
            </w:pPr>
            <w:r>
              <w:rPr>
                <w:rFonts w:ascii="Times New Roman" w:hAnsi="Times New Roman"/>
                <w:kern w:val="0"/>
                <w:sz w:val="28"/>
                <w:szCs w:val="28"/>
              </w:rPr>
              <w:t>&lt;10小时</w:t>
            </w:r>
          </w:p>
        </w:tc>
        <w:tc>
          <w:tcPr>
            <w:tcW w:w="1352" w:type="dxa"/>
            <w:vAlign w:val="center"/>
          </w:tcPr>
          <w:p w14:paraId="685FD0EF">
            <w:pPr>
              <w:adjustRightInd w:val="0"/>
              <w:snapToGrid w:val="0"/>
              <w:spacing w:line="240" w:lineRule="auto"/>
              <w:jc w:val="center"/>
              <w:rPr>
                <w:rFonts w:ascii="Times New Roman" w:hAnsi="Times New Roman"/>
                <w:kern w:val="0"/>
                <w:sz w:val="28"/>
                <w:szCs w:val="28"/>
              </w:rPr>
            </w:pPr>
            <w:r>
              <w:rPr>
                <w:rFonts w:ascii="Times New Roman" w:hAnsi="Times New Roman"/>
                <w:kern w:val="0"/>
                <w:sz w:val="28"/>
                <w:szCs w:val="28"/>
              </w:rPr>
              <w:t>预期性</w:t>
            </w:r>
          </w:p>
        </w:tc>
      </w:tr>
      <w:tr w14:paraId="489C4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14:paraId="6FBD07D6">
            <w:pPr>
              <w:adjustRightInd w:val="0"/>
              <w:snapToGrid w:val="0"/>
              <w:spacing w:line="240" w:lineRule="auto"/>
              <w:jc w:val="center"/>
              <w:rPr>
                <w:rFonts w:ascii="Times New Roman" w:hAnsi="Times New Roman"/>
                <w:kern w:val="0"/>
                <w:sz w:val="28"/>
                <w:szCs w:val="28"/>
              </w:rPr>
            </w:pPr>
            <w:r>
              <w:rPr>
                <w:rFonts w:ascii="Times New Roman" w:hAnsi="Times New Roman"/>
                <w:kern w:val="0"/>
                <w:sz w:val="28"/>
                <w:szCs w:val="28"/>
              </w:rPr>
              <w:t>8</w:t>
            </w:r>
          </w:p>
        </w:tc>
        <w:tc>
          <w:tcPr>
            <w:tcW w:w="5103" w:type="dxa"/>
            <w:vAlign w:val="center"/>
          </w:tcPr>
          <w:p w14:paraId="76E0DB7A">
            <w:pPr>
              <w:adjustRightInd w:val="0"/>
              <w:snapToGrid w:val="0"/>
              <w:spacing w:line="240" w:lineRule="auto"/>
              <w:jc w:val="center"/>
              <w:rPr>
                <w:rFonts w:ascii="Times New Roman" w:hAnsi="Times New Roman"/>
                <w:kern w:val="0"/>
                <w:sz w:val="28"/>
                <w:szCs w:val="28"/>
              </w:rPr>
            </w:pPr>
            <w:r>
              <w:rPr>
                <w:rFonts w:ascii="Times New Roman" w:hAnsi="Times New Roman"/>
                <w:kern w:val="0"/>
                <w:sz w:val="28"/>
                <w:szCs w:val="28"/>
              </w:rPr>
              <w:t>森林火灾受害率</w:t>
            </w:r>
          </w:p>
        </w:tc>
        <w:tc>
          <w:tcPr>
            <w:tcW w:w="1341" w:type="dxa"/>
            <w:vAlign w:val="center"/>
          </w:tcPr>
          <w:p w14:paraId="0C105D28">
            <w:pPr>
              <w:adjustRightInd w:val="0"/>
              <w:snapToGrid w:val="0"/>
              <w:spacing w:line="240" w:lineRule="auto"/>
              <w:jc w:val="center"/>
              <w:rPr>
                <w:rFonts w:ascii="Times New Roman" w:hAnsi="Times New Roman"/>
                <w:kern w:val="0"/>
                <w:sz w:val="28"/>
                <w:szCs w:val="28"/>
              </w:rPr>
            </w:pPr>
            <w:r>
              <w:rPr>
                <w:rFonts w:ascii="Times New Roman" w:hAnsi="Times New Roman"/>
                <w:kern w:val="0"/>
                <w:sz w:val="28"/>
                <w:szCs w:val="28"/>
              </w:rPr>
              <w:t>&lt;0.5‰</w:t>
            </w:r>
          </w:p>
        </w:tc>
        <w:tc>
          <w:tcPr>
            <w:tcW w:w="1352" w:type="dxa"/>
            <w:vAlign w:val="center"/>
          </w:tcPr>
          <w:p w14:paraId="09A2F871">
            <w:pPr>
              <w:adjustRightInd w:val="0"/>
              <w:snapToGrid w:val="0"/>
              <w:spacing w:line="240" w:lineRule="auto"/>
              <w:jc w:val="center"/>
              <w:rPr>
                <w:rFonts w:ascii="Times New Roman" w:hAnsi="Times New Roman"/>
                <w:kern w:val="0"/>
                <w:sz w:val="28"/>
                <w:szCs w:val="28"/>
              </w:rPr>
            </w:pPr>
            <w:r>
              <w:rPr>
                <w:rFonts w:ascii="Times New Roman" w:hAnsi="Times New Roman"/>
                <w:kern w:val="0"/>
                <w:sz w:val="28"/>
                <w:szCs w:val="28"/>
              </w:rPr>
              <w:t>预期性</w:t>
            </w:r>
          </w:p>
        </w:tc>
      </w:tr>
    </w:tbl>
    <w:p w14:paraId="14B1D8B7">
      <w:pPr>
        <w:adjustRightInd w:val="0"/>
        <w:snapToGrid w:val="0"/>
        <w:spacing w:line="600" w:lineRule="exact"/>
        <w:ind w:firstLine="560" w:firstLineChars="200"/>
        <w:jc w:val="left"/>
        <w:rPr>
          <w:rFonts w:ascii="Times New Roman" w:hAnsi="Times New Roman"/>
          <w:sz w:val="28"/>
        </w:rPr>
      </w:pPr>
    </w:p>
    <w:p w14:paraId="221960F4">
      <w:pPr>
        <w:adjustRightInd w:val="0"/>
        <w:snapToGrid w:val="0"/>
        <w:spacing w:line="600" w:lineRule="exact"/>
        <w:ind w:firstLine="560" w:firstLineChars="200"/>
        <w:jc w:val="both"/>
        <w:rPr>
          <w:rFonts w:ascii="Times New Roman" w:hAnsi="Times New Roman"/>
          <w:sz w:val="28"/>
        </w:rPr>
      </w:pPr>
      <w:r>
        <w:rPr>
          <w:rFonts w:hint="eastAsia" w:ascii="Times New Roman" w:hAnsi="Times New Roman"/>
          <w:sz w:val="28"/>
        </w:rPr>
        <w:t>备注：约束性指标为必须完成的指标，纳入评价考核范围，预期性指标为期望发展的目标。</w:t>
      </w:r>
    </w:p>
    <w:p w14:paraId="15B41512">
      <w:pPr>
        <w:spacing w:line="600" w:lineRule="exact"/>
        <w:ind w:firstLine="640" w:firstLineChars="200"/>
        <w:rPr>
          <w:rFonts w:ascii="Times New Roman" w:hAnsi="Times New Roman"/>
          <w:b/>
        </w:rPr>
      </w:pPr>
      <w:r>
        <w:rPr>
          <w:rFonts w:ascii="Times New Roman" w:hAnsi="Times New Roman"/>
          <w:b/>
        </w:rPr>
        <w:t>2．分类目标：</w:t>
      </w:r>
    </w:p>
    <w:p w14:paraId="5AFE2E65">
      <w:pPr>
        <w:autoSpaceDE w:val="0"/>
        <w:autoSpaceDN w:val="0"/>
        <w:adjustRightInd w:val="0"/>
        <w:spacing w:line="600" w:lineRule="exact"/>
        <w:ind w:firstLine="640" w:firstLineChars="200"/>
        <w:rPr>
          <w:rFonts w:ascii="Times New Roman" w:hAnsi="Times New Roman"/>
        </w:rPr>
      </w:pPr>
      <w:r>
        <w:rPr>
          <w:rFonts w:hint="eastAsia" w:ascii="Times New Roman" w:hAnsi="Times New Roman"/>
          <w:b/>
        </w:rPr>
        <w:t>——应急管理体制机制更加完善。</w:t>
      </w:r>
      <w:r>
        <w:rPr>
          <w:rFonts w:hint="eastAsia" w:ascii="Times New Roman" w:hAnsi="Times New Roman"/>
        </w:rPr>
        <w:t>指挥体系、组织体系、协同联动机制、责任体系更加健全，法规规章体系逐步完善。基层应急管理机构基础设施、装备条件大幅改善，县级以上应急管理</w:t>
      </w:r>
      <w:r>
        <w:rPr>
          <w:rFonts w:ascii="Times New Roman" w:hAnsi="Times New Roman"/>
        </w:rPr>
        <w:t>部门装备</w:t>
      </w:r>
      <w:r>
        <w:rPr>
          <w:rFonts w:hint="eastAsia" w:ascii="Times New Roman" w:hAnsi="Times New Roman"/>
        </w:rPr>
        <w:t>达标率达到</w:t>
      </w:r>
      <w:r>
        <w:rPr>
          <w:rFonts w:ascii="Times New Roman" w:hAnsi="Times New Roman"/>
        </w:rPr>
        <w:t>80%</w:t>
      </w:r>
      <w:r>
        <w:rPr>
          <w:rFonts w:hint="eastAsia" w:ascii="Times New Roman" w:hAnsi="Times New Roman"/>
        </w:rPr>
        <w:t>，乡镇应急管理机构覆盖率达到</w:t>
      </w:r>
      <w:r>
        <w:rPr>
          <w:rFonts w:ascii="Times New Roman" w:hAnsi="Times New Roman"/>
        </w:rPr>
        <w:t>100%。</w:t>
      </w:r>
    </w:p>
    <w:p w14:paraId="475B7CE0">
      <w:pPr>
        <w:spacing w:line="600" w:lineRule="exact"/>
        <w:ind w:firstLine="640" w:firstLineChars="200"/>
        <w:rPr>
          <w:rFonts w:ascii="Times New Roman" w:hAnsi="Times New Roman"/>
          <w:color w:val="000000"/>
        </w:rPr>
      </w:pPr>
      <w:r>
        <w:rPr>
          <w:rFonts w:hint="eastAsia" w:ascii="Times New Roman" w:hAnsi="Times New Roman"/>
          <w:b/>
        </w:rPr>
        <w:t>——</w:t>
      </w:r>
      <w:r>
        <w:rPr>
          <w:rFonts w:hint="eastAsia" w:ascii="Times New Roman" w:hAnsi="Times New Roman"/>
          <w:b/>
          <w:color w:val="000000"/>
        </w:rPr>
        <w:t>安全风险防控体系更加健全。</w:t>
      </w:r>
      <w:r>
        <w:rPr>
          <w:rFonts w:hint="eastAsia" w:ascii="Times New Roman" w:hAnsi="Times New Roman"/>
          <w:color w:val="000000"/>
        </w:rPr>
        <w:t>安全风险分级管控与隐患排查治理机制进一步完善，监测预报预警能力显著增强，重点行业领域安全生产水平大幅提升。</w:t>
      </w:r>
    </w:p>
    <w:p w14:paraId="25AE0EBA">
      <w:pPr>
        <w:spacing w:line="600" w:lineRule="exact"/>
        <w:ind w:firstLine="640" w:firstLineChars="200"/>
        <w:rPr>
          <w:rFonts w:ascii="Times New Roman" w:hAnsi="Times New Roman"/>
        </w:rPr>
      </w:pPr>
      <w:r>
        <w:rPr>
          <w:rFonts w:hint="eastAsia" w:ascii="Times New Roman" w:hAnsi="Times New Roman"/>
          <w:b/>
        </w:rPr>
        <w:t>——灾害事故防范水平全面提高。</w:t>
      </w:r>
      <w:r>
        <w:rPr>
          <w:rFonts w:hint="eastAsia" w:ascii="Times New Roman" w:hAnsi="Times New Roman"/>
        </w:rPr>
        <w:t>风险底数全面摸清，风险治理更加精准，灾害预防和监测预警能力显著提高，风险隐患排查更加全面。灾害事故上报及时率达到</w:t>
      </w:r>
      <w:r>
        <w:rPr>
          <w:rFonts w:ascii="Times New Roman" w:hAnsi="Times New Roman"/>
        </w:rPr>
        <w:t>100%，灾害事故发布公众覆盖率达到92%。</w:t>
      </w:r>
    </w:p>
    <w:p w14:paraId="12BBF4E4">
      <w:pPr>
        <w:spacing w:line="600" w:lineRule="exact"/>
        <w:ind w:firstLine="640" w:firstLineChars="200"/>
        <w:rPr>
          <w:rFonts w:ascii="Times New Roman" w:hAnsi="Times New Roman"/>
        </w:rPr>
      </w:pPr>
      <w:r>
        <w:rPr>
          <w:rFonts w:hint="eastAsia" w:ascii="Times New Roman" w:hAnsi="Times New Roman"/>
          <w:b/>
        </w:rPr>
        <w:t>——应急处置能力显著提升。</w:t>
      </w:r>
      <w:r>
        <w:rPr>
          <w:rFonts w:hint="eastAsia" w:ascii="Times New Roman" w:hAnsi="Times New Roman"/>
        </w:rPr>
        <w:t>各类应急救援力量布局更加优化、配置更加合理，救援协同应对更加顺畅，预案管理更加科学，应急实训演练更加有力，应急救援效能明显提升。专职消防人员占全市总人口比例达</w:t>
      </w:r>
      <w:r>
        <w:rPr>
          <w:rFonts w:ascii="Times New Roman" w:hAnsi="Times New Roman"/>
        </w:rPr>
        <w:t>0.4‰，24小时森林火灾扑灭率达到95%以上。</w:t>
      </w:r>
    </w:p>
    <w:p w14:paraId="6E3823DF">
      <w:pPr>
        <w:spacing w:line="600" w:lineRule="exact"/>
        <w:ind w:firstLine="640" w:firstLineChars="200"/>
        <w:rPr>
          <w:rFonts w:ascii="Times New Roman" w:hAnsi="Times New Roman"/>
        </w:rPr>
      </w:pPr>
      <w:r>
        <w:rPr>
          <w:rFonts w:hint="eastAsia" w:ascii="Times New Roman" w:hAnsi="Times New Roman"/>
          <w:b/>
        </w:rPr>
        <w:t>——应急综合支撑能力全面增强。</w:t>
      </w:r>
      <w:r>
        <w:rPr>
          <w:rFonts w:hint="eastAsia" w:ascii="Times New Roman" w:hAnsi="Times New Roman"/>
        </w:rPr>
        <w:t>科技资源配置更加优化、成果转化更加高效，科技创新和信息化水平明显提高，应急产业日趋成熟，人才队伍更加庞大，领导干部应急管理能力显著提升，县级以上应急管理机构专业人才占比超过</w:t>
      </w:r>
      <w:r>
        <w:rPr>
          <w:rFonts w:ascii="Times New Roman" w:hAnsi="Times New Roman"/>
        </w:rPr>
        <w:t>60%，应急管理主要业务信息化覆盖率达到90%。</w:t>
      </w:r>
    </w:p>
    <w:p w14:paraId="015F4034">
      <w:pPr>
        <w:spacing w:line="600" w:lineRule="exact"/>
        <w:ind w:firstLine="640" w:firstLineChars="200"/>
        <w:rPr>
          <w:rFonts w:ascii="Times New Roman" w:hAnsi="Times New Roman"/>
        </w:rPr>
      </w:pPr>
      <w:r>
        <w:rPr>
          <w:rFonts w:hint="eastAsia" w:ascii="Times New Roman" w:hAnsi="Times New Roman"/>
          <w:b/>
        </w:rPr>
        <w:t>——应急基础保障体系更加健全。</w:t>
      </w:r>
      <w:r>
        <w:rPr>
          <w:rFonts w:hint="eastAsia" w:ascii="Times New Roman" w:hAnsi="Times New Roman"/>
        </w:rPr>
        <w:t>市场化应急产业服务体系基本建立，应急文化深入人心，公众安全防范意识和自救互救能力显著提高应急物资保障体系更加完善。乡镇和村（社区）应急管理机构工作条件达标率达到</w:t>
      </w:r>
      <w:r>
        <w:rPr>
          <w:rFonts w:ascii="Times New Roman" w:hAnsi="Times New Roman"/>
        </w:rPr>
        <w:t>60%，重点行业规模以上企业新增从业人员安全技能培训率达到100%。</w:t>
      </w:r>
    </w:p>
    <w:p w14:paraId="33D16030">
      <w:pPr>
        <w:pStyle w:val="18"/>
        <w:spacing w:line="600" w:lineRule="exact"/>
        <w:ind w:firstLine="640"/>
        <w:outlineLvl w:val="9"/>
        <w:rPr>
          <w:rFonts w:ascii="Times New Roman" w:hAnsi="Times New Roman" w:eastAsia="黑体" w:cs="Times New Roman"/>
          <w:bCs/>
          <w:color w:val="000000"/>
          <w:sz w:val="32"/>
          <w:szCs w:val="32"/>
        </w:rPr>
      </w:pPr>
      <w:bookmarkStart w:id="8" w:name="_Toc73434511"/>
      <w:r>
        <w:rPr>
          <w:rFonts w:hint="eastAsia" w:ascii="Times New Roman" w:hAnsi="Times New Roman" w:eastAsia="黑体" w:cs="Times New Roman"/>
          <w:bCs/>
          <w:color w:val="000000"/>
          <w:sz w:val="32"/>
          <w:szCs w:val="32"/>
        </w:rPr>
        <w:t>三、主要任务</w:t>
      </w:r>
      <w:bookmarkEnd w:id="8"/>
    </w:p>
    <w:p w14:paraId="6EBE64F3">
      <w:pPr>
        <w:spacing w:line="600" w:lineRule="exact"/>
        <w:ind w:firstLine="640" w:firstLineChars="200"/>
        <w:outlineLvl w:val="9"/>
        <w:rPr>
          <w:rFonts w:ascii="Times New Roman" w:hAnsi="Times New Roman" w:eastAsia="楷体_GB2312" w:cs="Times New Roman"/>
          <w:b/>
          <w:bCs/>
          <w:color w:val="000000"/>
        </w:rPr>
      </w:pPr>
      <w:bookmarkStart w:id="9" w:name="_Toc73434512"/>
      <w:r>
        <w:rPr>
          <w:rFonts w:hint="eastAsia" w:ascii="Times New Roman" w:hAnsi="Times New Roman" w:eastAsia="楷体_GB2312" w:cs="Times New Roman"/>
          <w:b/>
          <w:bCs/>
          <w:color w:val="000000"/>
        </w:rPr>
        <w:t>（一）完善应急管理体制机制</w:t>
      </w:r>
      <w:bookmarkEnd w:id="9"/>
    </w:p>
    <w:p w14:paraId="661E2628">
      <w:pPr>
        <w:adjustRightInd w:val="0"/>
        <w:snapToGrid w:val="0"/>
        <w:spacing w:line="600" w:lineRule="exact"/>
        <w:ind w:firstLine="640" w:firstLineChars="200"/>
        <w:rPr>
          <w:rFonts w:ascii="Times New Roman" w:hAnsi="Times New Roman"/>
        </w:rPr>
      </w:pPr>
      <w:r>
        <w:rPr>
          <w:rFonts w:ascii="Times New Roman" w:hAnsi="Times New Roman" w:cs="Times New Roman"/>
          <w:b/>
        </w:rPr>
        <w:t>1．</w:t>
      </w:r>
      <w:r>
        <w:rPr>
          <w:rFonts w:hint="eastAsia" w:ascii="Times New Roman" w:hAnsi="Times New Roman" w:cs="Times New Roman"/>
          <w:b/>
          <w:bCs/>
        </w:rPr>
        <w:t>深化应急管理机构改革。</w:t>
      </w:r>
      <w:r>
        <w:rPr>
          <w:rFonts w:hint="eastAsia" w:ascii="Times New Roman" w:hAnsi="Times New Roman" w:cs="Times New Roman"/>
        </w:rPr>
        <w:t>严格对标中央、省委，切实完成应急管理机构改革。加强地方各级党委、政府对应急管理工作的领导，把应急管理工作列入重要议事日程，建立健全应急管理研讨会商工作机制，定期开展风险研判及工作部署，健全执法力量配备以及工作经费和条件保障机制。推进应急管理综合行政执法改革，</w:t>
      </w:r>
      <w:r>
        <w:rPr>
          <w:rFonts w:hint="eastAsia" w:ascii="Times New Roman" w:hAnsi="Times New Roman" w:cs="Times New Roman"/>
          <w:kern w:val="0"/>
        </w:rPr>
        <w:t>加快构建权责一致、权威高效的应急管理行政执法体制</w:t>
      </w:r>
      <w:r>
        <w:rPr>
          <w:rFonts w:hint="eastAsia" w:ascii="Times New Roman" w:hAnsi="Times New Roman" w:cs="Times New Roman"/>
        </w:rPr>
        <w:t>。</w:t>
      </w:r>
    </w:p>
    <w:p w14:paraId="1C22A6CD">
      <w:pPr>
        <w:adjustRightInd w:val="0"/>
        <w:snapToGrid w:val="0"/>
        <w:spacing w:line="600" w:lineRule="exact"/>
        <w:ind w:firstLine="640" w:firstLineChars="200"/>
        <w:rPr>
          <w:rFonts w:ascii="Times New Roman" w:hAnsi="Times New Roman"/>
          <w:b/>
        </w:rPr>
      </w:pPr>
      <w:r>
        <w:rPr>
          <w:rFonts w:ascii="Times New Roman" w:hAnsi="Times New Roman"/>
          <w:b/>
          <w:bCs/>
        </w:rPr>
        <w:t>2.</w:t>
      </w:r>
      <w:r>
        <w:rPr>
          <w:rFonts w:hint="eastAsia" w:ascii="Times New Roman" w:hAnsi="Times New Roman"/>
          <w:b/>
          <w:bCs/>
        </w:rPr>
        <w:t>健全上下联动的应急组织体制。</w:t>
      </w:r>
      <w:r>
        <w:rPr>
          <w:rFonts w:hint="eastAsia" w:ascii="Times New Roman" w:hAnsi="Times New Roman"/>
        </w:rPr>
        <w:t>明确市、县（区）应急管理部门信息共享、应急指挥、会商研判、资源调拨、社会动员等运行规则。健全自然灾害防治会商制度、重大安全风险防范化解协同机制、应急救援军地协同机制、灾害事故处置跨区域应急调度机制。按照军民融合发展原则，整合军地应急资源，推动军地数据共享和资源共用。</w:t>
      </w:r>
    </w:p>
    <w:p w14:paraId="56205F73">
      <w:pPr>
        <w:adjustRightInd w:val="0"/>
        <w:snapToGrid w:val="0"/>
        <w:spacing w:line="600" w:lineRule="exact"/>
        <w:ind w:firstLine="640" w:firstLineChars="200"/>
        <w:jc w:val="both"/>
        <w:rPr>
          <w:rFonts w:ascii="Times New Roman" w:hAnsi="Times New Roman"/>
        </w:rPr>
      </w:pPr>
      <w:r>
        <w:rPr>
          <w:rFonts w:ascii="Times New Roman" w:hAnsi="Times New Roman"/>
          <w:b/>
        </w:rPr>
        <w:t>3.</w:t>
      </w:r>
      <w:r>
        <w:rPr>
          <w:rFonts w:hint="eastAsia" w:ascii="Times New Roman" w:hAnsi="Times New Roman"/>
          <w:b/>
        </w:rPr>
        <w:t>完善应急信息报送机制。</w:t>
      </w:r>
      <w:r>
        <w:rPr>
          <w:rFonts w:hint="eastAsia" w:ascii="Times New Roman" w:hAnsi="Times New Roman"/>
        </w:rPr>
        <w:t>加强值班值守力量和装备配备，促进值班值守制度化、规范化、专业化，严格执行领导干部带班、关键岗位</w:t>
      </w:r>
      <w:r>
        <w:rPr>
          <w:rFonts w:ascii="Times New Roman" w:hAnsi="Times New Roman"/>
        </w:rPr>
        <w:t>24</w:t>
      </w:r>
      <w:r>
        <w:rPr>
          <w:rFonts w:hint="eastAsia" w:ascii="Times New Roman" w:hAnsi="Times New Roman"/>
        </w:rPr>
        <w:t>小时值班和值守备勤等制度；建立事故灾害信息搜集报告制度，加强基层灾害信息员队伍建设。提升获取突发事件信息能力，明确信息报送标准，按照“市—县—乡—村”四级灾情报送体系建设要求，保障各种灾情信息及时收集与上报，提升灾情管理工作的科学性、时效性。建立健全自然灾害和安全事故调查评估制度。</w:t>
      </w:r>
    </w:p>
    <w:p w14:paraId="431AC53F">
      <w:pPr>
        <w:adjustRightInd w:val="0"/>
        <w:snapToGrid w:val="0"/>
        <w:spacing w:line="600" w:lineRule="exact"/>
        <w:ind w:firstLine="640" w:firstLineChars="200"/>
        <w:rPr>
          <w:rFonts w:ascii="Times New Roman" w:hAnsi="Times New Roman"/>
        </w:rPr>
      </w:pPr>
      <w:r>
        <w:rPr>
          <w:rFonts w:ascii="Times New Roman" w:hAnsi="Times New Roman"/>
          <w:b/>
        </w:rPr>
        <w:t>4.</w:t>
      </w:r>
      <w:r>
        <w:rPr>
          <w:rFonts w:hint="eastAsia" w:ascii="Times New Roman" w:hAnsi="Times New Roman"/>
          <w:b/>
        </w:rPr>
        <w:t>建立部门监管职责动态完善机制。</w:t>
      </w:r>
      <w:r>
        <w:rPr>
          <w:rFonts w:hint="eastAsia" w:ascii="Times New Roman" w:hAnsi="Times New Roman"/>
        </w:rPr>
        <w:t>加强新产业、新业态、新领域安全监管，消除监管盲区。统筹推进行业部门落实自然灾害防治责任，组织核定全市重要江河流域和重点工程的防汛抗旱行政责任人，推动落实林场、自然保护区等经营单位风险防控主体责任，加强监督考核，健全风险提示单、整改报告单等督导落实制度，提升灾害风险防范化解能力和救早救小处置能力。</w:t>
      </w:r>
    </w:p>
    <w:p w14:paraId="786D3922">
      <w:pPr>
        <w:adjustRightInd w:val="0"/>
        <w:snapToGrid w:val="0"/>
        <w:spacing w:line="600" w:lineRule="exact"/>
        <w:ind w:firstLine="640" w:firstLineChars="200"/>
        <w:jc w:val="both"/>
        <w:rPr>
          <w:rFonts w:ascii="Times New Roman" w:hAnsi="Times New Roman"/>
        </w:rPr>
      </w:pPr>
      <w:r>
        <w:rPr>
          <w:rFonts w:ascii="Times New Roman" w:hAnsi="Times New Roman"/>
          <w:b/>
        </w:rPr>
        <w:t>5.</w:t>
      </w:r>
      <w:r>
        <w:rPr>
          <w:rFonts w:hint="eastAsia" w:ascii="Times New Roman" w:hAnsi="Times New Roman"/>
          <w:b/>
        </w:rPr>
        <w:t>完善灾后救助重建机制。</w:t>
      </w:r>
      <w:r>
        <w:rPr>
          <w:rFonts w:hint="eastAsia" w:ascii="Times New Roman" w:hAnsi="Times New Roman"/>
        </w:rPr>
        <w:t>着力构建各级党委政府统一领导、专项指挥部统筹指导、相关部门各负其责、灾区群众广泛参与的灾后救助重建工作机制；制定灾区经济和社会发展总体规划编制办法，完善灾害损失评估、次生衍生灾害隐患排查及危险性评估等评价制度，明确各层级、部门在灾后恢复重建中的工作责任；推进救灾精细化管理、分类化救助，调整和优化灾后救助政策。加强救灾资金监督管理，完善救灾款物调拨发放工作规范和流程。在矿山和危化等高危行业全面推行安全生产责任险，推动政策性农房保险，实施应急救援伤亡人员抚恤机制。</w:t>
      </w:r>
    </w:p>
    <w:p w14:paraId="64D7DC3A">
      <w:pPr>
        <w:adjustRightInd w:val="0"/>
        <w:snapToGrid w:val="0"/>
        <w:spacing w:line="600" w:lineRule="exact"/>
        <w:ind w:firstLine="640" w:firstLineChars="200"/>
        <w:rPr>
          <w:rFonts w:ascii="Times New Roman" w:hAnsi="Times New Roman"/>
          <w:color w:val="FF0000"/>
        </w:rPr>
      </w:pPr>
      <w:r>
        <w:rPr>
          <w:rFonts w:ascii="Times New Roman" w:hAnsi="Times New Roman"/>
          <w:b/>
        </w:rPr>
        <w:t>6</w:t>
      </w:r>
      <w:r>
        <w:rPr>
          <w:rFonts w:hint="eastAsia" w:ascii="Times New Roman" w:hAnsi="Times New Roman"/>
          <w:b/>
        </w:rPr>
        <w:t>．压实应急管理责任制。</w:t>
      </w:r>
      <w:r>
        <w:rPr>
          <w:rFonts w:hint="eastAsia" w:ascii="Times New Roman" w:hAnsi="Times New Roman"/>
        </w:rPr>
        <w:t>坚持分级负责、属地管理的原则，推动地方党委和政府切实扛起自然灾害、安全生产事故防治责任。严格落实安全生产“三个必须”要求</w:t>
      </w:r>
      <w:r>
        <w:rPr>
          <w:rFonts w:ascii="Times New Roman" w:hAnsi="Times New Roman"/>
        </w:rPr>
        <w:t>,</w:t>
      </w:r>
      <w:r>
        <w:rPr>
          <w:rFonts w:hint="eastAsia" w:ascii="Times New Roman" w:hAnsi="Times New Roman"/>
        </w:rPr>
        <w:t>健全完善党政同责、一岗双责、齐抓共管、失职追责的责任体系，深化全员安全生产责任制。强化应急管理职责落实情况的考核，加大应急管理在政府绩效综合评价指标体系中的权重，把履职情况纳入述职考核、巡视巡察内容，确保责任上肩。</w:t>
      </w:r>
    </w:p>
    <w:p w14:paraId="2FD3F572">
      <w:pPr>
        <w:adjustRightInd w:val="0"/>
        <w:snapToGrid w:val="0"/>
        <w:spacing w:line="600" w:lineRule="exact"/>
        <w:ind w:firstLine="640" w:firstLineChars="200"/>
        <w:outlineLvl w:val="9"/>
        <w:rPr>
          <w:rFonts w:ascii="Times New Roman" w:hAnsi="Times New Roman" w:eastAsia="楷体_GB2312"/>
          <w:b/>
        </w:rPr>
      </w:pPr>
      <w:bookmarkStart w:id="10" w:name="_Toc73434513"/>
      <w:r>
        <w:rPr>
          <w:rFonts w:hint="eastAsia" w:ascii="Times New Roman" w:hAnsi="Times New Roman" w:eastAsia="楷体_GB2312"/>
          <w:b/>
        </w:rPr>
        <w:t>（二）提升灾害事故防范能力</w:t>
      </w:r>
      <w:bookmarkEnd w:id="10"/>
    </w:p>
    <w:p w14:paraId="3E266765">
      <w:pPr>
        <w:adjustRightInd w:val="0"/>
        <w:snapToGrid w:val="0"/>
        <w:spacing w:line="600" w:lineRule="exact"/>
        <w:ind w:firstLine="640" w:firstLineChars="200"/>
        <w:rPr>
          <w:rFonts w:ascii="Times New Roman" w:hAnsi="Times New Roman" w:cs="Times New Roman"/>
          <w:b/>
          <w:color w:val="000000"/>
          <w:kern w:val="0"/>
        </w:rPr>
      </w:pPr>
      <w:r>
        <w:rPr>
          <w:rFonts w:ascii="Times New Roman" w:hAnsi="Times New Roman" w:cs="Times New Roman"/>
          <w:b/>
          <w:color w:val="000000"/>
          <w:kern w:val="0"/>
        </w:rPr>
        <w:t>1.提升灾害事故监测预警预报能力</w:t>
      </w:r>
    </w:p>
    <w:p w14:paraId="5178418D">
      <w:pPr>
        <w:adjustRightInd w:val="0"/>
        <w:snapToGrid w:val="0"/>
        <w:spacing w:line="600" w:lineRule="exact"/>
        <w:ind w:firstLine="640" w:firstLineChars="200"/>
        <w:rPr>
          <w:rFonts w:ascii="Times New Roman" w:hAnsi="Times New Roman" w:cs="Times New Roman"/>
          <w:kern w:val="0"/>
        </w:rPr>
      </w:pPr>
      <w:r>
        <w:rPr>
          <w:rFonts w:hint="eastAsia" w:ascii="Times New Roman" w:hAnsi="Times New Roman" w:cs="Times New Roman"/>
          <w:b/>
          <w:kern w:val="0"/>
        </w:rPr>
        <w:t>摸清风险隐患底数。</w:t>
      </w:r>
      <w:r>
        <w:rPr>
          <w:rFonts w:hint="eastAsia" w:ascii="Times New Roman" w:hAnsi="Times New Roman" w:cs="Times New Roman"/>
          <w:kern w:val="0"/>
        </w:rPr>
        <w:t>推动完善安全风险辨识管控体系，</w:t>
      </w:r>
      <w:r>
        <w:rPr>
          <w:rFonts w:hint="eastAsia" w:ascii="Times New Roman" w:hAnsi="Times New Roman"/>
        </w:rPr>
        <w:t>鼓励企业引入第三方参与安全风险评估，针对高危工艺、设备、物品、场所和岗位等重点环节，适时开展动态评估，调整风险等级和管控措施。</w:t>
      </w:r>
      <w:r>
        <w:rPr>
          <w:rFonts w:hint="eastAsia" w:ascii="Times New Roman" w:hAnsi="Times New Roman" w:cs="Times New Roman"/>
          <w:kern w:val="0"/>
        </w:rPr>
        <w:t>深入开展自然灾害综合风险普查，查明全市自然灾害风险隐患底数，分析区域抗灾能力，全面提升自然灾害防治能力。</w:t>
      </w:r>
    </w:p>
    <w:p w14:paraId="678E4A2C">
      <w:pPr>
        <w:adjustRightInd w:val="0"/>
        <w:snapToGrid w:val="0"/>
        <w:spacing w:line="600" w:lineRule="exact"/>
        <w:ind w:firstLine="640" w:firstLineChars="200"/>
        <w:rPr>
          <w:rFonts w:ascii="Times New Roman" w:hAnsi="Times New Roman" w:cs="Times New Roman"/>
        </w:rPr>
      </w:pPr>
      <w:r>
        <w:rPr>
          <w:rFonts w:hint="eastAsia" w:ascii="Times New Roman" w:hAnsi="Times New Roman" w:cs="Times New Roman"/>
          <w:b/>
          <w:kern w:val="0"/>
        </w:rPr>
        <w:t>提高监测预报预警能力。</w:t>
      </w:r>
      <w:r>
        <w:rPr>
          <w:rFonts w:hint="eastAsia" w:ascii="Times New Roman" w:hAnsi="Times New Roman" w:cs="Times New Roman"/>
        </w:rPr>
        <w:t>制定部门联动高效、信息来源可靠、研判科学精准、动态监测跟踪、防范落实评估的“大应急”灾害事故预警机制。构建由应急管理部门牵头，自然资源、水利、林业、气象、消防救援等有关部门参与的灾害风险会商研判机制，精准科学分析自然灾害发展趋势。</w:t>
      </w:r>
      <w:r>
        <w:rPr>
          <w:rFonts w:hint="eastAsia" w:ascii="Times New Roman" w:hAnsi="Times New Roman"/>
        </w:rPr>
        <w:t>提高全灾种、全流程突发事件预防和应急处置的智能分析研判能力，推动城市防洪排涝、山洪灾害防御、气象灾害防范、森林火灾火点定位等智能化预报系统和信息平台建设，提高预报精准度，延长预报预见期。</w:t>
      </w:r>
      <w:r>
        <w:rPr>
          <w:rFonts w:hint="eastAsia" w:ascii="Times New Roman" w:hAnsi="Times New Roman" w:cs="Times New Roman"/>
        </w:rPr>
        <w:t>优化灾害监测站点布局，完善监测基础设施建设，切实加强暴雨、洪水、地震、森林火灾等灾害实时监测。</w:t>
      </w:r>
      <w:r>
        <w:rPr>
          <w:rFonts w:hint="eastAsia" w:ascii="Times New Roman" w:hAnsi="Times New Roman"/>
        </w:rPr>
        <w:t>强化</w:t>
      </w:r>
      <w:r>
        <w:rPr>
          <w:rFonts w:hint="eastAsia" w:ascii="Times New Roman" w:hAnsi="Times New Roman" w:cs="Times New Roman"/>
        </w:rPr>
        <w:t>针对特定区域、特定人群的精准发布能力和信息追踪能力，</w:t>
      </w:r>
      <w:r>
        <w:rPr>
          <w:rFonts w:hint="eastAsia" w:ascii="Times New Roman" w:hAnsi="Times New Roman"/>
          <w:color w:val="000000"/>
        </w:rPr>
        <w:t>提升预警信息发布时效性。</w:t>
      </w:r>
    </w:p>
    <w:p w14:paraId="0E4878CD">
      <w:pPr>
        <w:adjustRightInd w:val="0"/>
        <w:snapToGrid w:val="0"/>
        <w:spacing w:line="600" w:lineRule="exact"/>
        <w:ind w:firstLine="640" w:firstLineChars="200"/>
        <w:outlineLvl w:val="9"/>
        <w:rPr>
          <w:rFonts w:ascii="Times New Roman" w:hAnsi="Times New Roman" w:cs="Times New Roman"/>
          <w:b/>
          <w:bCs/>
          <w:color w:val="000000"/>
        </w:rPr>
      </w:pPr>
      <w:bookmarkStart w:id="11" w:name="_Toc73434514"/>
      <w:r>
        <w:rPr>
          <w:rFonts w:ascii="Times New Roman" w:hAnsi="Times New Roman" w:cs="Times New Roman"/>
          <w:b/>
          <w:bCs/>
          <w:color w:val="000000"/>
        </w:rPr>
        <w:t>2.</w:t>
      </w:r>
      <w:r>
        <w:rPr>
          <w:rFonts w:hint="eastAsia" w:ascii="Times New Roman" w:hAnsi="Times New Roman" w:cs="Times New Roman"/>
          <w:b/>
          <w:bCs/>
          <w:color w:val="000000"/>
        </w:rPr>
        <w:t>提升安全生产事故防范水平</w:t>
      </w:r>
      <w:bookmarkEnd w:id="11"/>
    </w:p>
    <w:p w14:paraId="60DB0716">
      <w:pPr>
        <w:adjustRightInd w:val="0"/>
        <w:snapToGrid w:val="0"/>
        <w:spacing w:line="600" w:lineRule="exact"/>
        <w:ind w:firstLine="640" w:firstLineChars="200"/>
        <w:rPr>
          <w:rFonts w:ascii="Times New Roman" w:hAnsi="Times New Roman" w:cs="Times New Roman"/>
          <w:b/>
          <w:bCs/>
          <w:color w:val="000000"/>
        </w:rPr>
      </w:pPr>
      <w:r>
        <w:rPr>
          <w:rFonts w:hint="eastAsia" w:ascii="Times New Roman" w:hAnsi="Times New Roman" w:cs="Times New Roman"/>
          <w:b/>
          <w:bCs/>
          <w:color w:val="000000"/>
        </w:rPr>
        <w:t>加强安全生产监管执法。</w:t>
      </w:r>
      <w:r>
        <w:rPr>
          <w:rFonts w:hint="eastAsia" w:ascii="Times New Roman" w:hAnsi="Times New Roman" w:cs="Times New Roman"/>
          <w:color w:val="000000"/>
          <w:kern w:val="0"/>
        </w:rPr>
        <w:t>开展经常性安全生产隐患排查治理，持续推进危险化学品、非煤矿山等重点行业领域安全隐患排查治理。严格落实重大隐患挂牌督办制度，对重大隐患实行闭环管理。持续改进安全生产监管执法方式，综合运用信息化、大数据等现代化手段和“四不两直”明查暗访等传统手段，推进全市安全生产分类分级监管执法，健全重点监管和一般监管相结合的安全监管体制机制；建立市重点和一般监督检查单位名录库，采取“双随机、一公开”方式、延时错时执法检查，形成对违法违规震慑高压态势，督促企业夯实安全生产主体责任。</w:t>
      </w:r>
    </w:p>
    <w:p w14:paraId="643BC9BB">
      <w:pPr>
        <w:adjustRightInd w:val="0"/>
        <w:snapToGrid w:val="0"/>
        <w:spacing w:line="600" w:lineRule="exact"/>
        <w:ind w:firstLine="640" w:firstLineChars="200"/>
        <w:rPr>
          <w:rFonts w:ascii="Times New Roman" w:hAnsi="Times New Roman" w:cs="Times New Roman"/>
          <w:color w:val="000000"/>
          <w:kern w:val="0"/>
        </w:rPr>
      </w:pPr>
      <w:r>
        <w:rPr>
          <w:rFonts w:hint="eastAsia" w:ascii="Times New Roman" w:hAnsi="Times New Roman" w:cs="Times New Roman"/>
          <w:b/>
          <w:bCs/>
          <w:color w:val="000000"/>
        </w:rPr>
        <w:t>推进企业安全生产标准化建设。</w:t>
      </w:r>
      <w:r>
        <w:rPr>
          <w:rFonts w:hint="eastAsia" w:ascii="Times New Roman" w:hAnsi="Times New Roman" w:cs="Times New Roman"/>
          <w:color w:val="000000"/>
          <w:kern w:val="0"/>
        </w:rPr>
        <w:t>完善安全生产标准化创建的经济杠杆、差异化监管等激励措施，提升扩大安全生产标准化示范企业质量和数量，坚持与企业管理创新相结合，推动企业安全管理标准化、作业行为标准化、安全设施标准化和现场环境标准化，提升企业安全生产水平。</w:t>
      </w:r>
    </w:p>
    <w:p w14:paraId="1828C656">
      <w:pPr>
        <w:pStyle w:val="20"/>
        <w:adjustRightInd w:val="0"/>
        <w:snapToGrid w:val="0"/>
        <w:spacing w:line="600" w:lineRule="exact"/>
        <w:ind w:firstLine="640"/>
        <w:rPr>
          <w:rFonts w:ascii="Times New Roman" w:hAnsi="Times New Roman" w:cs="Times New Roman"/>
          <w:b/>
          <w:bCs/>
          <w:color w:val="000000"/>
          <w:sz w:val="32"/>
          <w:szCs w:val="32"/>
        </w:rPr>
      </w:pPr>
      <w:r>
        <w:rPr>
          <w:rFonts w:hint="eastAsia" w:ascii="Times New Roman" w:hAnsi="Times New Roman" w:cs="Times New Roman"/>
          <w:b/>
          <w:bCs/>
          <w:color w:val="000000"/>
          <w:sz w:val="32"/>
          <w:szCs w:val="32"/>
        </w:rPr>
        <w:t>系统全面开展综合治理。</w:t>
      </w:r>
      <w:r>
        <w:rPr>
          <w:rFonts w:hint="eastAsia" w:ascii="Times New Roman" w:hAnsi="Times New Roman"/>
          <w:color w:val="000000"/>
          <w:sz w:val="32"/>
          <w:szCs w:val="32"/>
        </w:rPr>
        <w:t>持续推进“机械化换人、自动化减人、智能化管控”科技强安行动，开展绿色智能安全生产专项行动，督促企业严格安全管理、加大安全投入、落实风险管控措施，实现安全管理、操作行为、设备设施和作业环境规范化，进一步优化产业结构和布局。</w:t>
      </w:r>
      <w:r>
        <w:rPr>
          <w:rFonts w:hint="eastAsia" w:ascii="Times New Roman" w:hAnsi="Times New Roman" w:cs="Times New Roman"/>
          <w:color w:val="000000"/>
          <w:kern w:val="0"/>
          <w:sz w:val="32"/>
          <w:szCs w:val="32"/>
        </w:rPr>
        <w:t>着力抓好安全生产三年专项整治，加大非法违法建筑施工、交通运输、“小化工”、危废处理装置等事故多发行业领域专项整治攻坚力度，动态更新“两个清单”。进一步严格监管执法和事故调查，加大典型案例曝光力度，依法严惩安全生产违法犯罪行为。开展特种作业人员、企业负责人和安全生产管理人员培训</w:t>
      </w:r>
      <w:r>
        <w:rPr>
          <w:rFonts w:ascii="Times New Roman" w:hAnsi="Times New Roman" w:cs="Times New Roman"/>
          <w:color w:val="000000"/>
          <w:kern w:val="0"/>
          <w:sz w:val="32"/>
          <w:szCs w:val="32"/>
        </w:rPr>
        <w:t>，持续做好</w:t>
      </w:r>
      <w:r>
        <w:rPr>
          <w:rFonts w:hint="eastAsia" w:ascii="Times New Roman" w:hAnsi="Times New Roman" w:cs="Times New Roman"/>
          <w:color w:val="000000"/>
          <w:kern w:val="0"/>
          <w:sz w:val="32"/>
          <w:szCs w:val="32"/>
        </w:rPr>
        <w:t>“三项人员”持证和职工“三级”培训教育专项检查。加强对安全生产中介机构监管，持续开展第三方中介服务质量“回头看”。</w:t>
      </w:r>
      <w:r>
        <w:rPr>
          <w:rFonts w:ascii="Times New Roman" w:hAnsi="Times New Roman" w:cs="Times New Roman"/>
          <w:color w:val="000000"/>
          <w:kern w:val="0"/>
          <w:sz w:val="32"/>
          <w:szCs w:val="32"/>
        </w:rPr>
        <w:t>做好</w:t>
      </w:r>
      <w:r>
        <w:rPr>
          <w:rFonts w:hint="eastAsia" w:ascii="Times New Roman" w:hAnsi="Times New Roman" w:cs="Times New Roman"/>
          <w:color w:val="000000"/>
          <w:kern w:val="0"/>
          <w:sz w:val="32"/>
          <w:szCs w:val="32"/>
        </w:rPr>
        <w:t>政府购买服务绩效评价。</w:t>
      </w:r>
    </w:p>
    <w:tbl>
      <w:tblPr>
        <w:tblStyle w:val="10"/>
        <w:tblpPr w:leftFromText="180" w:rightFromText="180" w:vertAnchor="text" w:horzAnchor="page" w:tblpX="1612" w:tblpY="619"/>
        <w:tblW w:w="86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76"/>
      </w:tblGrid>
      <w:tr w14:paraId="0FEE59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76" w:type="dxa"/>
          </w:tcPr>
          <w:p w14:paraId="494162E1">
            <w:pPr>
              <w:adjustRightInd w:val="0"/>
              <w:spacing w:line="240" w:lineRule="auto"/>
              <w:jc w:val="center"/>
              <w:rPr>
                <w:rFonts w:ascii="Times New Roman" w:hAnsi="Times New Roman" w:cs="Times New Roman"/>
                <w:b/>
                <w:color w:val="000000"/>
                <w:sz w:val="30"/>
                <w:szCs w:val="30"/>
              </w:rPr>
            </w:pPr>
            <w:r>
              <w:rPr>
                <w:rFonts w:hint="eastAsia" w:ascii="Times New Roman" w:hAnsi="Times New Roman" w:cs="Times New Roman"/>
                <w:b/>
                <w:color w:val="000000"/>
                <w:sz w:val="30"/>
                <w:szCs w:val="30"/>
              </w:rPr>
              <w:t>专栏</w:t>
            </w:r>
            <w:r>
              <w:rPr>
                <w:rFonts w:ascii="Times New Roman" w:hAnsi="Times New Roman" w:cs="Times New Roman"/>
                <w:b/>
                <w:color w:val="000000"/>
                <w:sz w:val="30"/>
                <w:szCs w:val="30"/>
              </w:rPr>
              <w:t xml:space="preserve">1  </w:t>
            </w:r>
            <w:r>
              <w:rPr>
                <w:rFonts w:hint="eastAsia" w:ascii="Times New Roman" w:hAnsi="Times New Roman" w:cs="Times New Roman"/>
                <w:b/>
                <w:color w:val="000000"/>
                <w:sz w:val="30"/>
                <w:szCs w:val="30"/>
              </w:rPr>
              <w:t>生产安全领域重点整治内容</w:t>
            </w:r>
          </w:p>
        </w:tc>
      </w:tr>
      <w:tr w14:paraId="1F3F2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76" w:type="dxa"/>
          </w:tcPr>
          <w:p w14:paraId="78CFABC1">
            <w:pPr>
              <w:adjustRightInd w:val="0"/>
              <w:spacing w:line="240" w:lineRule="auto"/>
              <w:ind w:firstLine="600" w:firstLineChars="200"/>
              <w:rPr>
                <w:rFonts w:ascii="Times New Roman" w:hAnsi="Times New Roman" w:cs="Times New Roman"/>
                <w:color w:val="000000"/>
                <w:sz w:val="30"/>
                <w:szCs w:val="30"/>
              </w:rPr>
            </w:pPr>
            <w:r>
              <w:rPr>
                <w:rFonts w:ascii="Times New Roman" w:hAnsi="Times New Roman" w:cs="Times New Roman"/>
                <w:b/>
                <w:color w:val="000000"/>
                <w:sz w:val="30"/>
                <w:szCs w:val="30"/>
              </w:rPr>
              <w:t>1.危险化学品安全整治。</w:t>
            </w:r>
            <w:r>
              <w:rPr>
                <w:rFonts w:hint="eastAsia" w:ascii="Times New Roman" w:hAnsi="Times New Roman" w:cs="Times New Roman"/>
                <w:color w:val="000000"/>
                <w:sz w:val="30"/>
                <w:szCs w:val="30"/>
              </w:rPr>
              <w:t>督促企业分级分类排查治理安全风险和隐患，涉及重大危险源的危险化学品企业完成安全风险分级管控和隐患排查治理体系建设。制定出台市级新建化工项目准入条件。积极推广应用泄漏检测、化工过程安全管理等先进技术方法，所有涉及氯化工艺装置的上下游配套装置必须实现自动化控制。完善落实城区危险化学品生产企业关停并转、退城入园等支持政策措施，完成城镇人口密集区中小型企业和存在重大风险隐患的大型危险化学品生产企业搬迁工程，并持续推进其他有关企业搬迁改造。</w:t>
            </w:r>
          </w:p>
          <w:p w14:paraId="3F8649C4">
            <w:pPr>
              <w:adjustRightInd w:val="0"/>
              <w:spacing w:line="240" w:lineRule="auto"/>
              <w:ind w:firstLine="600" w:firstLineChars="200"/>
              <w:rPr>
                <w:rFonts w:ascii="Times New Roman" w:hAnsi="Times New Roman" w:cs="Times New Roman"/>
                <w:color w:val="000000"/>
                <w:sz w:val="30"/>
                <w:szCs w:val="30"/>
              </w:rPr>
            </w:pPr>
            <w:r>
              <w:rPr>
                <w:rFonts w:ascii="Times New Roman" w:hAnsi="Times New Roman" w:cs="Times New Roman"/>
                <w:b/>
                <w:color w:val="000000"/>
                <w:sz w:val="30"/>
                <w:szCs w:val="30"/>
              </w:rPr>
              <w:t>2.煤矿安全整治。</w:t>
            </w:r>
            <w:r>
              <w:rPr>
                <w:rFonts w:hint="eastAsia" w:ascii="Times New Roman" w:hAnsi="Times New Roman" w:cs="Times New Roman"/>
                <w:color w:val="000000"/>
                <w:sz w:val="30"/>
                <w:szCs w:val="30"/>
              </w:rPr>
              <w:t>加大水害等重大灾害精准治理，在“十四五”时期推进实施瓦斯综合治理和水害、火灾防治工程，加大重大灾害治理政策和资金支持。加大淘汰退出落后产能力度，积极推进</w:t>
            </w:r>
            <w:r>
              <w:rPr>
                <w:rFonts w:ascii="Times New Roman" w:hAnsi="Times New Roman" w:cs="Times New Roman"/>
                <w:color w:val="000000"/>
                <w:sz w:val="30"/>
                <w:szCs w:val="30"/>
              </w:rPr>
              <w:t>30万吨/年以下煤矿分类处置，坚决关闭不具备安全生产条件的煤矿。坚持“管理、装备、素质、系统”四并重原则，推进“一优三减”，规范用工管理，力争辖区内煤矿标准化达标二级。提高执法能力质量和信息化远程监管监察水平，生产建设矿井基本实现远程监管监察。</w:t>
            </w:r>
          </w:p>
          <w:p w14:paraId="5AB1FBBA">
            <w:pPr>
              <w:adjustRightInd w:val="0"/>
              <w:spacing w:line="240" w:lineRule="auto"/>
              <w:ind w:firstLine="600" w:firstLineChars="200"/>
              <w:rPr>
                <w:rFonts w:ascii="Times New Roman" w:hAnsi="Times New Roman" w:cs="Times New Roman"/>
                <w:color w:val="000000"/>
                <w:sz w:val="30"/>
                <w:szCs w:val="30"/>
              </w:rPr>
            </w:pPr>
            <w:r>
              <w:rPr>
                <w:rFonts w:ascii="Times New Roman" w:hAnsi="Times New Roman" w:cs="Times New Roman"/>
                <w:b/>
                <w:color w:val="000000"/>
                <w:sz w:val="30"/>
                <w:szCs w:val="30"/>
              </w:rPr>
              <w:t>3.非煤矿山安全整治。</w:t>
            </w:r>
            <w:r>
              <w:rPr>
                <w:rFonts w:hint="eastAsia" w:ascii="Times New Roman" w:hAnsi="Times New Roman" w:cs="Times New Roman"/>
                <w:color w:val="000000"/>
                <w:sz w:val="30"/>
                <w:szCs w:val="30"/>
              </w:rPr>
              <w:t>进一步淘汰落后、推广先进技术、装备，坚决打击违法违规行为，积极引导不具备安全生产条件的企业退出，深入推进整顿关闭。聘请专家及时宣贯非煤矿山安全风险分级管控工作指南，从严从实从细落实各项安全防范责任和措施。落实新余市防范化解尾矿库安全风险工作实施方案，落实地方领导干部尾矿库安全包保责任制。创建一批安全生产标准化和安全风险监测预警机制建设示范尾矿库；力争尾矿库在线监测系统安装达到</w:t>
            </w:r>
            <w:r>
              <w:rPr>
                <w:rFonts w:ascii="Times New Roman" w:hAnsi="Times New Roman" w:cs="Times New Roman"/>
                <w:color w:val="000000"/>
                <w:sz w:val="30"/>
                <w:szCs w:val="30"/>
              </w:rPr>
              <w:t>100%。</w:t>
            </w:r>
          </w:p>
          <w:p w14:paraId="32A32856">
            <w:pPr>
              <w:adjustRightInd w:val="0"/>
              <w:spacing w:line="240" w:lineRule="auto"/>
              <w:ind w:firstLine="600" w:firstLineChars="200"/>
              <w:rPr>
                <w:rFonts w:ascii="Times New Roman" w:hAnsi="Times New Roman" w:cs="Times New Roman"/>
                <w:color w:val="000000"/>
                <w:sz w:val="30"/>
                <w:szCs w:val="30"/>
              </w:rPr>
            </w:pPr>
            <w:r>
              <w:rPr>
                <w:rFonts w:ascii="Times New Roman" w:hAnsi="Times New Roman" w:cs="Times New Roman"/>
                <w:b/>
                <w:color w:val="000000"/>
                <w:sz w:val="30"/>
                <w:szCs w:val="30"/>
              </w:rPr>
              <w:t>4.消防安全整治。</w:t>
            </w:r>
            <w:r>
              <w:rPr>
                <w:rFonts w:hint="eastAsia" w:ascii="Times New Roman" w:hAnsi="Times New Roman" w:cs="Times New Roman"/>
                <w:color w:val="000000"/>
                <w:sz w:val="30"/>
                <w:szCs w:val="30"/>
              </w:rPr>
              <w:t>开展打通消防生命通道工程，优化停车资源管理使用。全面排查测试高层建筑室内消火栓系统和自动喷水灭火系统。开展大型商业综合体消防安全综合整治，组织升级改造老旧小区消防设施，推动落实基层消防安全管理措施。着力提升群众消防安全素质，持续针对一线重点人群，开展以“实操实训”为基本内容的消防技能培训，针对社会公众广泛宣传消防安全常识，增强群众消防安全意识。</w:t>
            </w:r>
          </w:p>
          <w:p w14:paraId="79E9C195">
            <w:pPr>
              <w:adjustRightInd w:val="0"/>
              <w:spacing w:line="240" w:lineRule="auto"/>
              <w:ind w:firstLine="600" w:firstLineChars="200"/>
              <w:rPr>
                <w:rFonts w:ascii="Times New Roman" w:hAnsi="Times New Roman" w:cs="Times New Roman"/>
                <w:color w:val="000000"/>
                <w:sz w:val="30"/>
                <w:szCs w:val="30"/>
              </w:rPr>
            </w:pPr>
            <w:r>
              <w:rPr>
                <w:rFonts w:ascii="Times New Roman" w:hAnsi="Times New Roman" w:cs="Times New Roman"/>
                <w:b/>
                <w:color w:val="000000"/>
                <w:sz w:val="30"/>
                <w:szCs w:val="30"/>
              </w:rPr>
              <w:t>5.道路运输安全整治。</w:t>
            </w:r>
            <w:r>
              <w:rPr>
                <w:rFonts w:hint="eastAsia" w:ascii="Times New Roman" w:hAnsi="Times New Roman" w:cs="Times New Roman"/>
                <w:color w:val="000000"/>
                <w:sz w:val="30"/>
                <w:szCs w:val="30"/>
              </w:rPr>
              <w:t>深入实施公路安全生命防护工程，巩固提升县乡公路安全隐患治理效果，深化农村公路平交路口“千灯万带”示范工程，推进实施干线公路灾害防治工程，全面清理整治农村“马路市场”。进一步提高大中型客车车身结构强度、座椅安装强度，提高重载货车动力性能和制动性能，消除货车非法改装、“大吨小标”等违法违规突出问题。加强部门协同配合和信息共享，坚决清查“黑服务区”“黑站点”“黑企业”“黑车”。</w:t>
            </w:r>
          </w:p>
          <w:p w14:paraId="7F5544DF">
            <w:pPr>
              <w:adjustRightInd w:val="0"/>
              <w:spacing w:line="240" w:lineRule="auto"/>
              <w:ind w:firstLine="600" w:firstLineChars="200"/>
              <w:rPr>
                <w:rFonts w:ascii="Times New Roman" w:hAnsi="Times New Roman" w:cs="Times New Roman"/>
                <w:color w:val="000000"/>
                <w:sz w:val="30"/>
                <w:szCs w:val="30"/>
              </w:rPr>
            </w:pPr>
            <w:r>
              <w:rPr>
                <w:rFonts w:ascii="Times New Roman" w:hAnsi="Times New Roman" w:cs="Times New Roman"/>
                <w:b/>
                <w:color w:val="000000"/>
                <w:sz w:val="30"/>
                <w:szCs w:val="30"/>
              </w:rPr>
              <w:t>6.交通运输（铁路、邮政、水上交通）和渔业船舶安全整治。</w:t>
            </w:r>
            <w:r>
              <w:rPr>
                <w:rFonts w:hint="eastAsia" w:ascii="Times New Roman" w:hAnsi="Times New Roman" w:cs="Times New Roman"/>
                <w:color w:val="000000"/>
                <w:sz w:val="30"/>
                <w:szCs w:val="30"/>
              </w:rPr>
              <w:t>健全完善长效工作机制，落实铁路沿线环境安全治理各方责任</w:t>
            </w:r>
            <w:r>
              <w:rPr>
                <w:rFonts w:ascii="Times New Roman" w:hAnsi="Times New Roman" w:cs="Times New Roman"/>
                <w:color w:val="000000"/>
                <w:sz w:val="30"/>
                <w:szCs w:val="30"/>
              </w:rPr>
              <w:t xml:space="preserve"> </w:t>
            </w:r>
            <w:r>
              <w:rPr>
                <w:rFonts w:hint="eastAsia" w:ascii="Times New Roman" w:hAnsi="Times New Roman" w:cs="Times New Roman"/>
                <w:color w:val="000000"/>
                <w:sz w:val="30"/>
                <w:szCs w:val="30"/>
              </w:rPr>
              <w:t>，依法查处违规行为。强化寄递企业安全生产基础能力建设，健全联合监管机制和应急管理机制，严格落实部门监管、属地管理和企业主体“三个责任”。重点对渔船脱检脱管和船员不适任，以及渔港码头水域安全、消防等方面存在的违法违规行为进行专项执法检查，严厉打击“渔船载客”行为。</w:t>
            </w:r>
          </w:p>
          <w:p w14:paraId="3F68158C">
            <w:pPr>
              <w:adjustRightInd w:val="0"/>
              <w:spacing w:line="240" w:lineRule="auto"/>
              <w:ind w:firstLine="600" w:firstLineChars="200"/>
              <w:jc w:val="left"/>
              <w:rPr>
                <w:rFonts w:ascii="Times New Roman" w:hAnsi="Times New Roman" w:cs="Times New Roman"/>
                <w:color w:val="000000"/>
                <w:sz w:val="30"/>
                <w:szCs w:val="30"/>
              </w:rPr>
            </w:pPr>
            <w:r>
              <w:rPr>
                <w:rFonts w:ascii="Times New Roman" w:hAnsi="Times New Roman" w:cs="Times New Roman"/>
                <w:b/>
                <w:color w:val="000000"/>
                <w:sz w:val="30"/>
                <w:szCs w:val="30"/>
              </w:rPr>
              <w:t>7.城市建设安全整治。</w:t>
            </w:r>
            <w:r>
              <w:rPr>
                <w:rFonts w:hint="eastAsia" w:ascii="Times New Roman" w:hAnsi="Times New Roman" w:cs="Times New Roman"/>
                <w:color w:val="000000"/>
                <w:sz w:val="30"/>
                <w:szCs w:val="30"/>
              </w:rPr>
              <w:t>加强对各地城市规划建设管理工作的指导</w:t>
            </w:r>
            <w:r>
              <w:rPr>
                <w:rFonts w:ascii="Times New Roman" w:hAnsi="Times New Roman" w:cs="Times New Roman"/>
                <w:color w:val="000000"/>
                <w:sz w:val="30"/>
                <w:szCs w:val="30"/>
              </w:rPr>
              <w:t>,全面加强城市规划建设管理，提升城市安全韧性水平。按照《城市综合管理服务平台建设指南（试行）》标准要求，联通、整合利用市、县已建数字化城市管理信息系统和智慧新余时空信息云平台，实现与省级平台互联互通、数据同步、业务协同，共建共享。</w:t>
            </w:r>
          </w:p>
          <w:p w14:paraId="7542CD7C">
            <w:pPr>
              <w:adjustRightInd w:val="0"/>
              <w:spacing w:line="240" w:lineRule="auto"/>
              <w:ind w:firstLine="600" w:firstLineChars="200"/>
              <w:rPr>
                <w:rFonts w:ascii="Times New Roman" w:hAnsi="Times New Roman" w:cs="Times New Roman"/>
                <w:color w:val="000000"/>
                <w:sz w:val="30"/>
                <w:szCs w:val="30"/>
              </w:rPr>
            </w:pPr>
            <w:r>
              <w:rPr>
                <w:rFonts w:ascii="Times New Roman" w:hAnsi="Times New Roman" w:cs="Times New Roman"/>
                <w:b/>
                <w:color w:val="000000"/>
                <w:sz w:val="30"/>
                <w:szCs w:val="30"/>
              </w:rPr>
              <w:t>8.开发区等功能区安全整治。</w:t>
            </w:r>
            <w:r>
              <w:rPr>
                <w:rFonts w:hint="eastAsia" w:ascii="Times New Roman" w:hAnsi="Times New Roman" w:cs="Times New Roman"/>
                <w:color w:val="000000"/>
                <w:sz w:val="30"/>
                <w:szCs w:val="30"/>
              </w:rPr>
              <w:t>建立健全开发区等功能区（以下简称“园区”）安全生产管理体制机制，统筹抓好经济发展和安全生产工作。落实企业主体责任，严格落实“一报告双签字”要求，全面完成化工园区安全风险评估分级，落实整改、退出机制。建立完善园区应急救援预案，建立应急救援队伍，强化应急处置演练，提高应急保障能力。</w:t>
            </w:r>
          </w:p>
          <w:p w14:paraId="70DA83D0">
            <w:pPr>
              <w:adjustRightInd w:val="0"/>
              <w:spacing w:line="240" w:lineRule="auto"/>
              <w:ind w:firstLine="600" w:firstLineChars="200"/>
              <w:rPr>
                <w:rFonts w:ascii="Times New Roman" w:hAnsi="Times New Roman" w:cs="Times New Roman"/>
                <w:color w:val="000000"/>
                <w:sz w:val="30"/>
                <w:szCs w:val="30"/>
              </w:rPr>
            </w:pPr>
            <w:r>
              <w:rPr>
                <w:rFonts w:ascii="Times New Roman" w:hAnsi="Times New Roman" w:cs="Times New Roman"/>
                <w:b/>
                <w:color w:val="000000"/>
                <w:sz w:val="30"/>
                <w:szCs w:val="30"/>
              </w:rPr>
              <w:t>9.危险废物等安全整治。</w:t>
            </w:r>
            <w:r>
              <w:rPr>
                <w:rFonts w:hint="eastAsia" w:ascii="Times New Roman" w:hAnsi="Times New Roman" w:cs="Times New Roman"/>
                <w:color w:val="000000"/>
                <w:sz w:val="30"/>
                <w:szCs w:val="30"/>
              </w:rPr>
              <w:t>全面开展危险废物排查</w:t>
            </w:r>
            <w:r>
              <w:rPr>
                <w:rFonts w:ascii="Times New Roman" w:hAnsi="Times New Roman" w:cs="Times New Roman"/>
                <w:color w:val="000000"/>
                <w:sz w:val="30"/>
                <w:szCs w:val="30"/>
              </w:rPr>
              <w:t>,重点整治化工园区、化工企业、危险化学品单位等可能存在的违规堆存、随意倾倒、私自填埋危险废物等问题。提升信息化监管能力和水平，严格执行危险废物转移联单制度。建立部门联动、区域协作、重大案件会商督办制度。摸清全市危险废物底数，合理规划布局危险废物处置能力,加快处置设施建设,消除处置能力瓶颈。督促企业对重点环保设施和项目组织安全风险评估论证和隐患排查治理。</w:t>
            </w:r>
          </w:p>
          <w:p w14:paraId="21CC85F5">
            <w:pPr>
              <w:adjustRightInd w:val="0"/>
              <w:spacing w:line="240" w:lineRule="auto"/>
              <w:ind w:firstLine="600" w:firstLineChars="200"/>
              <w:rPr>
                <w:rFonts w:ascii="Times New Roman" w:hAnsi="Times New Roman" w:cs="Times New Roman"/>
                <w:color w:val="000000"/>
                <w:sz w:val="30"/>
                <w:szCs w:val="30"/>
              </w:rPr>
            </w:pPr>
            <w:r>
              <w:rPr>
                <w:rFonts w:ascii="Times New Roman" w:hAnsi="Times New Roman" w:cs="Times New Roman"/>
                <w:b/>
                <w:color w:val="000000"/>
                <w:sz w:val="30"/>
                <w:szCs w:val="30"/>
              </w:rPr>
              <w:t>10.烟花爆竹安全整治。</w:t>
            </w:r>
            <w:r>
              <w:rPr>
                <w:rFonts w:hint="eastAsia" w:ascii="Times New Roman" w:hAnsi="Times New Roman" w:cs="Times New Roman"/>
                <w:color w:val="000000"/>
                <w:sz w:val="30"/>
                <w:szCs w:val="30"/>
              </w:rPr>
              <w:t>对照《烟花爆竹零售店（点）安全技术规范》，关闭一批不符合安全条件的零售店（点）。加强区域联动，联合执法，严厉查处烟花爆竹非法生产、经营、燃放、运输和储存行为。</w:t>
            </w:r>
          </w:p>
          <w:p w14:paraId="6E029D95">
            <w:pPr>
              <w:pStyle w:val="9"/>
              <w:shd w:val="clear" w:color="auto" w:fill="FFFFFF"/>
              <w:adjustRightInd w:val="0"/>
              <w:snapToGrid w:val="0"/>
              <w:spacing w:before="0" w:beforeAutospacing="0" w:after="0" w:afterAutospacing="0" w:line="240" w:lineRule="auto"/>
              <w:ind w:firstLine="600" w:firstLineChars="200"/>
              <w:rPr>
                <w:rFonts w:ascii="Times New Roman" w:hAnsi="Times New Roman" w:eastAsia="仿宋_GB2312" w:cs="Times New Roman"/>
                <w:color w:val="000000"/>
                <w:kern w:val="2"/>
                <w:sz w:val="30"/>
                <w:szCs w:val="30"/>
              </w:rPr>
            </w:pPr>
            <w:r>
              <w:rPr>
                <w:rFonts w:ascii="Times New Roman" w:hAnsi="Times New Roman" w:eastAsia="仿宋_GB2312" w:cs="Times New Roman"/>
                <w:b/>
                <w:color w:val="000000"/>
                <w:kern w:val="2"/>
                <w:sz w:val="30"/>
                <w:szCs w:val="30"/>
              </w:rPr>
              <w:t>11.建筑施工安全整治。</w:t>
            </w:r>
            <w:r>
              <w:rPr>
                <w:rFonts w:hint="eastAsia" w:ascii="Times New Roman" w:hAnsi="Times New Roman" w:eastAsia="仿宋_GB2312" w:cs="Times New Roman"/>
                <w:color w:val="000000"/>
                <w:kern w:val="2"/>
                <w:sz w:val="30"/>
                <w:szCs w:val="30"/>
              </w:rPr>
              <w:t>督促企业落实主体责任，强化建设、勘察、监理、施工单位安全生产主体责任意识，推进线上隐患排查和履职报告制度。严肃查处施工安全事故，落实事故查处督办和工作约谈制度，完善事故责任人员安全生产不良信用记录和安全生产诚信“黑名单”。严厉打击建筑市场违法违规行为，严格参建单位与从业人员资质资格管理。</w:t>
            </w:r>
          </w:p>
          <w:p w14:paraId="52F0DEDD">
            <w:pPr>
              <w:pStyle w:val="2"/>
              <w:adjustRightInd w:val="0"/>
              <w:spacing w:line="240" w:lineRule="auto"/>
              <w:ind w:firstLine="600"/>
              <w:rPr>
                <w:rFonts w:ascii="Times New Roman" w:hAnsi="Times New Roman" w:eastAsia="仿宋_GB2312" w:cs="Times New Roman"/>
                <w:snapToGrid/>
                <w:color w:val="000000"/>
                <w:kern w:val="2"/>
                <w:sz w:val="30"/>
                <w:szCs w:val="30"/>
              </w:rPr>
            </w:pPr>
            <w:r>
              <w:rPr>
                <w:rFonts w:ascii="Times New Roman" w:hAnsi="Times New Roman" w:eastAsia="仿宋_GB2312" w:cs="Times New Roman"/>
                <w:b/>
                <w:snapToGrid/>
                <w:color w:val="000000"/>
                <w:kern w:val="2"/>
                <w:sz w:val="30"/>
                <w:szCs w:val="30"/>
              </w:rPr>
              <w:t>12.金属冶炼安全整治。</w:t>
            </w:r>
            <w:r>
              <w:rPr>
                <w:rFonts w:hint="eastAsia" w:ascii="Times New Roman" w:hAnsi="Times New Roman" w:eastAsia="仿宋_GB2312" w:cs="Times New Roman"/>
                <w:snapToGrid/>
                <w:color w:val="000000"/>
                <w:kern w:val="2"/>
                <w:sz w:val="30"/>
                <w:szCs w:val="30"/>
              </w:rPr>
              <w:t>全面排查治理重大隐患，对照《工贸行业重大生产安全事故隐患判定标准（</w:t>
            </w:r>
            <w:r>
              <w:rPr>
                <w:rFonts w:ascii="Times New Roman" w:hAnsi="Times New Roman" w:eastAsia="仿宋_GB2312" w:cs="Times New Roman"/>
                <w:snapToGrid/>
                <w:color w:val="000000"/>
                <w:kern w:val="2"/>
                <w:sz w:val="30"/>
                <w:szCs w:val="30"/>
              </w:rPr>
              <w:t>2017版）》和《金属冶炼企业禁止使用的设备及工艺目录（第一批）》等标准规范，大力推进安全生产标准化建设。实施安全装备改造升级，提升企业本质安全水平，推动企业加大安全资金投入，提高安全设备设施自动化水平，促进企业重大风险在线监控工作走深走实。</w:t>
            </w:r>
          </w:p>
          <w:p w14:paraId="5B13EDDB">
            <w:pPr>
              <w:pStyle w:val="2"/>
              <w:adjustRightInd w:val="0"/>
              <w:spacing w:line="240" w:lineRule="auto"/>
              <w:ind w:firstLine="600"/>
              <w:rPr>
                <w:rFonts w:ascii="Times New Roman" w:hAnsi="Times New Roman" w:eastAsia="仿宋" w:cs="Times New Roman"/>
                <w:color w:val="000000"/>
                <w:sz w:val="28"/>
              </w:rPr>
            </w:pPr>
            <w:r>
              <w:rPr>
                <w:rFonts w:ascii="Times New Roman" w:hAnsi="Times New Roman" w:eastAsia="仿宋_GB2312" w:cs="Times New Roman"/>
                <w:b/>
                <w:snapToGrid/>
                <w:color w:val="000000"/>
                <w:kern w:val="2"/>
                <w:sz w:val="30"/>
                <w:szCs w:val="30"/>
              </w:rPr>
              <w:t>13.特种设备安全整治。</w:t>
            </w:r>
            <w:r>
              <w:rPr>
                <w:rFonts w:hint="eastAsia" w:ascii="Times New Roman" w:hAnsi="Times New Roman" w:eastAsia="仿宋_GB2312" w:cs="Times New Roman"/>
                <w:snapToGrid/>
                <w:color w:val="000000"/>
                <w:kern w:val="2"/>
                <w:sz w:val="30"/>
                <w:szCs w:val="30"/>
              </w:rPr>
              <w:t>完善各项安全管理制度和应急处置措施。进一步落实危化品企业特种设备安全主体责任，全面推进电梯应急处置服务平台建设，提高电梯应急处置能力</w:t>
            </w:r>
            <w:r>
              <w:rPr>
                <w:rFonts w:ascii="Times New Roman" w:hAnsi="Times New Roman" w:eastAsia="仿宋_GB2312" w:cs="Times New Roman"/>
                <w:snapToGrid/>
                <w:color w:val="000000"/>
                <w:kern w:val="2"/>
                <w:sz w:val="30"/>
                <w:szCs w:val="30"/>
              </w:rPr>
              <w:t>,通过政府监管、企业承诺、第三方评价等方式，逐步开展全市电梯维保单位信用等级评定工作。做好老旧电梯安全评估、申请更新经费等工作。</w:t>
            </w:r>
          </w:p>
        </w:tc>
      </w:tr>
    </w:tbl>
    <w:p w14:paraId="3A7CE9AD">
      <w:pPr>
        <w:adjustRightInd w:val="0"/>
        <w:snapToGrid w:val="0"/>
        <w:spacing w:line="600" w:lineRule="exact"/>
        <w:ind w:firstLine="640" w:firstLineChars="200"/>
        <w:rPr>
          <w:rFonts w:ascii="Times New Roman" w:hAnsi="Times New Roman" w:cs="Times New Roman"/>
          <w:color w:val="000000"/>
          <w:kern w:val="0"/>
        </w:rPr>
      </w:pPr>
      <w:bookmarkStart w:id="12" w:name="_Toc34149146"/>
      <w:bookmarkStart w:id="13" w:name="_Toc73434515"/>
      <w:bookmarkStart w:id="14" w:name="_Toc34204728"/>
      <w:bookmarkStart w:id="15" w:name="_Toc34149223"/>
      <w:r>
        <w:rPr>
          <w:rFonts w:hint="eastAsia" w:ascii="Times New Roman" w:hAnsi="Times New Roman" w:cs="Times New Roman"/>
          <w:b/>
          <w:bCs/>
          <w:color w:val="000000"/>
        </w:rPr>
        <w:t>提升企业安全管理水平。</w:t>
      </w:r>
      <w:r>
        <w:rPr>
          <w:rFonts w:hint="eastAsia" w:ascii="Times New Roman" w:hAnsi="Times New Roman" w:cs="Times New Roman"/>
          <w:color w:val="000000"/>
          <w:kern w:val="0"/>
        </w:rPr>
        <w:t>定期举办企业安全生产管理人员安全生产知识和管理能力培训，组织企业安全生产管理人员参观学习示范企业，督促和指导企业制定、修订和精炼提升“两张表”，推动企业安全生产管理水平提升。在安全管理基础薄弱的中小企业推行“安全生产顾问服务”试点，帮助企业培养一批懂安全、会管安全的管理人才，实现安全管理从“输血”到“造血”的转变，从根本上提升企业的安全管理水平。</w:t>
      </w:r>
    </w:p>
    <w:p w14:paraId="23793F60">
      <w:pPr>
        <w:tabs>
          <w:tab w:val="left" w:pos="1701"/>
          <w:tab w:val="left" w:pos="1980"/>
        </w:tabs>
        <w:adjustRightInd w:val="0"/>
        <w:snapToGrid w:val="0"/>
        <w:spacing w:line="600" w:lineRule="exact"/>
        <w:ind w:firstLine="640" w:firstLineChars="200"/>
        <w:rPr>
          <w:rFonts w:ascii="Times New Roman" w:hAnsi="Times New Roman" w:cs="Times New Roman"/>
          <w:color w:val="000000"/>
          <w:kern w:val="0"/>
        </w:rPr>
      </w:pPr>
      <w:r>
        <w:rPr>
          <w:rFonts w:hint="eastAsia" w:ascii="Times New Roman" w:hAnsi="Times New Roman" w:cs="Times New Roman"/>
          <w:b/>
          <w:bCs/>
          <w:color w:val="000000"/>
        </w:rPr>
        <w:t>完善安全生产诚信体系建设。</w:t>
      </w:r>
      <w:r>
        <w:rPr>
          <w:rFonts w:hint="eastAsia" w:ascii="Times New Roman" w:hAnsi="Times New Roman" w:cs="Times New Roman"/>
          <w:color w:val="000000"/>
          <w:kern w:val="0"/>
        </w:rPr>
        <w:t>完善安全生产失信行为联合惩戒制度，加强失信惩戒，从严监管；健全企业违法行为、表彰奖励记录和公示制度，提升信用信息化水平和信息共享渠道，强化各类不良信用信息监管应用，实施联合惩戒措施。</w:t>
      </w:r>
    </w:p>
    <w:p w14:paraId="2CE435E8">
      <w:pPr>
        <w:adjustRightInd w:val="0"/>
        <w:snapToGrid w:val="0"/>
        <w:spacing w:line="600" w:lineRule="exact"/>
        <w:ind w:firstLine="640" w:firstLineChars="200"/>
        <w:outlineLvl w:val="1"/>
        <w:rPr>
          <w:rFonts w:ascii="Times New Roman" w:hAnsi="Times New Roman" w:eastAsia="楷体_GB2312" w:cs="Times New Roman"/>
          <w:b/>
          <w:bCs/>
          <w:color w:val="000000"/>
        </w:rPr>
      </w:pPr>
      <w:r>
        <w:rPr>
          <w:rFonts w:ascii="Times New Roman" w:hAnsi="Times New Roman" w:eastAsia="楷体_GB2312" w:cs="Times New Roman"/>
          <w:b/>
          <w:bCs/>
          <w:color w:val="000000"/>
        </w:rPr>
        <w:t>3.</w:t>
      </w:r>
      <w:r>
        <w:rPr>
          <w:rFonts w:hint="eastAsia" w:ascii="Times New Roman" w:hAnsi="Times New Roman" w:eastAsia="楷体_GB2312" w:cs="Times New Roman"/>
          <w:b/>
          <w:bCs/>
          <w:color w:val="000000"/>
        </w:rPr>
        <w:t>提升</w:t>
      </w:r>
      <w:r>
        <w:rPr>
          <w:rFonts w:hint="eastAsia" w:ascii="Times New Roman" w:hAnsi="Times New Roman" w:eastAsia="楷体_GB2312"/>
          <w:b/>
          <w:color w:val="000000"/>
        </w:rPr>
        <w:t>防灾</w:t>
      </w:r>
      <w:r>
        <w:rPr>
          <w:rFonts w:hint="eastAsia" w:ascii="Times New Roman" w:hAnsi="Times New Roman" w:eastAsia="楷体_GB2312" w:cs="Times New Roman"/>
          <w:b/>
          <w:bCs/>
          <w:color w:val="000000"/>
        </w:rPr>
        <w:t>减灾能力</w:t>
      </w:r>
      <w:bookmarkEnd w:id="12"/>
      <w:bookmarkEnd w:id="13"/>
      <w:bookmarkEnd w:id="14"/>
      <w:bookmarkEnd w:id="15"/>
    </w:p>
    <w:p w14:paraId="0AE1681F">
      <w:pPr>
        <w:adjustRightInd w:val="0"/>
        <w:snapToGrid w:val="0"/>
        <w:spacing w:line="600" w:lineRule="exact"/>
        <w:ind w:firstLine="640" w:firstLineChars="200"/>
        <w:rPr>
          <w:rFonts w:ascii="Times New Roman" w:hAnsi="Times New Roman" w:cs="Times New Roman"/>
          <w:color w:val="000000"/>
        </w:rPr>
      </w:pPr>
      <w:bookmarkStart w:id="16" w:name="_Toc34204730"/>
      <w:bookmarkStart w:id="17" w:name="_Toc34149225"/>
      <w:bookmarkStart w:id="18" w:name="_Toc34149148"/>
      <w:bookmarkStart w:id="19" w:name="_Toc456342413"/>
      <w:r>
        <w:rPr>
          <w:rFonts w:hint="eastAsia" w:ascii="Times New Roman" w:hAnsi="Times New Roman" w:cs="Times New Roman"/>
          <w:b/>
          <w:bCs/>
          <w:color w:val="000000"/>
        </w:rPr>
        <w:t>加强防灾减灾基础能力</w:t>
      </w:r>
      <w:bookmarkEnd w:id="16"/>
      <w:bookmarkEnd w:id="17"/>
      <w:bookmarkEnd w:id="18"/>
      <w:bookmarkEnd w:id="19"/>
      <w:r>
        <w:rPr>
          <w:rFonts w:hint="eastAsia" w:ascii="Times New Roman" w:hAnsi="Times New Roman" w:cs="Times New Roman"/>
          <w:b/>
          <w:bCs/>
          <w:color w:val="000000"/>
        </w:rPr>
        <w:t>建设。</w:t>
      </w:r>
      <w:r>
        <w:rPr>
          <w:rFonts w:hint="eastAsia" w:ascii="Times New Roman" w:hAnsi="Times New Roman" w:cs="Times New Roman"/>
          <w:color w:val="000000"/>
        </w:rPr>
        <w:t>强化基层治理，推动设立社区、乡村应急服务站，支持街道、乡镇建设小型综合性应急队伍，加强微型消防站建设；引导乡村防灾减灾建设有序发展，</w:t>
      </w:r>
      <w:r>
        <w:rPr>
          <w:rFonts w:hint="eastAsia" w:ascii="Times New Roman" w:hAnsi="Times New Roman" w:cs="Times New Roman"/>
        </w:rPr>
        <w:t>全面推广防灾减灾网格化管理机制，建立效果评估</w:t>
      </w:r>
      <w:r>
        <w:rPr>
          <w:rFonts w:hint="eastAsia" w:ascii="Times New Roman" w:hAnsi="Times New Roman" w:cs="Times New Roman"/>
          <w:color w:val="000000"/>
        </w:rPr>
        <w:t>和责任倒查机制，切实做到灾情预警到户到人；逐步实现灾情管理“市县乡村组”五级体系全覆盖。逐步构建以综合减灾示范社区为基础、以综合减灾示范乡镇（街道）为重点的基层减灾能力建设体系。</w:t>
      </w:r>
    </w:p>
    <w:p w14:paraId="5EB23713">
      <w:pPr>
        <w:adjustRightInd w:val="0"/>
        <w:snapToGrid w:val="0"/>
        <w:spacing w:line="600" w:lineRule="exact"/>
        <w:ind w:firstLine="640" w:firstLineChars="200"/>
        <w:rPr>
          <w:rFonts w:ascii="Times New Roman" w:hAnsi="Times New Roman" w:cs="Times New Roman"/>
          <w:color w:val="000000"/>
        </w:rPr>
      </w:pPr>
      <w:r>
        <w:rPr>
          <w:rFonts w:hint="eastAsia" w:ascii="Times New Roman" w:hAnsi="Times New Roman" w:cs="Times New Roman"/>
          <w:b/>
          <w:color w:val="000000"/>
        </w:rPr>
        <w:t>完善防灾减灾骨干工程建设。</w:t>
      </w:r>
      <w:r>
        <w:rPr>
          <w:rFonts w:hint="eastAsia" w:ascii="Times New Roman" w:hAnsi="Times New Roman" w:cs="Times New Roman"/>
          <w:color w:val="000000"/>
        </w:rPr>
        <w:t>全面实施全省自然灾害防治“十大配套工程”，夯实自然灾害防治的基层基础。加强防汛抗旱、防震减灾、森林防灭火等防灾减灾骨干工程建设，督促相关单位加快实施森林火灾防控综合治理，加强林区防火道路、阻隔系统、蓄水系统、远程监控、重点林区避雷针、林区通信等防火基础设施建设，降低森林火险等级。加快重要支流和中小河流治理，推进</w:t>
      </w:r>
      <w:r>
        <w:rPr>
          <w:rFonts w:hint="eastAsia" w:ascii="Times New Roman" w:hAnsi="Times New Roman"/>
          <w:color w:val="000000"/>
        </w:rPr>
        <w:t>堤</w:t>
      </w:r>
      <w:r>
        <w:rPr>
          <w:rFonts w:hint="eastAsia" w:ascii="Times New Roman" w:hAnsi="Times New Roman" w:cs="Times New Roman"/>
          <w:color w:val="000000"/>
        </w:rPr>
        <w:t>防建设、山洪和地质灾害防治，加强农业防灾减灾基础设施建设，加强抗旱应急水源工程建设。推进市、县（区）综合性应急避难场所和示范性应急避难场所建设。</w:t>
      </w:r>
    </w:p>
    <w:p w14:paraId="2AA94B24">
      <w:pPr>
        <w:adjustRightInd w:val="0"/>
        <w:snapToGrid w:val="0"/>
        <w:spacing w:line="600" w:lineRule="exact"/>
        <w:ind w:firstLine="640" w:firstLineChars="200"/>
        <w:rPr>
          <w:rFonts w:ascii="Times New Roman" w:hAnsi="Times New Roman"/>
          <w:color w:val="000000"/>
        </w:rPr>
      </w:pPr>
      <w:r>
        <w:rPr>
          <w:rFonts w:hint="eastAsia" w:ascii="Times New Roman" w:hAnsi="Times New Roman" w:cs="Times New Roman"/>
          <w:b/>
          <w:color w:val="000000"/>
        </w:rPr>
        <w:t>深化自然灾害综合治理</w:t>
      </w:r>
      <w:r>
        <w:rPr>
          <w:rFonts w:hint="eastAsia" w:ascii="Times New Roman" w:hAnsi="Times New Roman" w:cs="Times New Roman"/>
          <w:color w:val="000000"/>
        </w:rPr>
        <w:t>。</w:t>
      </w:r>
      <w:r>
        <w:rPr>
          <w:rFonts w:hint="eastAsia" w:ascii="Times New Roman" w:hAnsi="Times New Roman"/>
          <w:color w:val="000000"/>
        </w:rPr>
        <w:t>强化部门之间、区域之间、军地之间、条块之间沟通协调，提升人员、物资、装备等应急资源快速集成能力，加快建立信息共享、资源共用以及应急救援联防联控、联合行动的工作机制，提升应急抢险救援效能。</w:t>
      </w:r>
      <w:r>
        <w:rPr>
          <w:rFonts w:hint="eastAsia" w:ascii="Times New Roman" w:hAnsi="Times New Roman" w:cs="Times New Roman"/>
          <w:color w:val="000000"/>
        </w:rPr>
        <w:t>定期开展自然灾害风险会商评估和隐患排查治理，并采取相应的防控措施。进一步加强林区输配电线路森林防灭火工作，确保林区超高压和特高压线路森林防灭火安全，加大电力设施、线路的巡查，从源头上防</w:t>
      </w:r>
      <w:r>
        <w:rPr>
          <w:rFonts w:hint="eastAsia" w:ascii="Times New Roman" w:hAnsi="Times New Roman"/>
          <w:color w:val="000000"/>
        </w:rPr>
        <w:t>患</w:t>
      </w:r>
      <w:r>
        <w:rPr>
          <w:rFonts w:hint="eastAsia" w:ascii="Times New Roman" w:hAnsi="Times New Roman" w:cs="Times New Roman"/>
          <w:color w:val="000000"/>
        </w:rPr>
        <w:t>于未然。</w:t>
      </w:r>
    </w:p>
    <w:p w14:paraId="03FCD794">
      <w:pPr>
        <w:adjustRightInd w:val="0"/>
        <w:snapToGrid w:val="0"/>
        <w:spacing w:line="600" w:lineRule="exact"/>
        <w:ind w:firstLine="640" w:firstLineChars="200"/>
        <w:outlineLvl w:val="1"/>
        <w:rPr>
          <w:rFonts w:ascii="Times New Roman" w:hAnsi="Times New Roman" w:cs="Times New Roman"/>
          <w:b/>
          <w:bCs/>
          <w:color w:val="000000"/>
        </w:rPr>
      </w:pPr>
      <w:bookmarkStart w:id="20" w:name="_Toc73434516"/>
      <w:r>
        <w:rPr>
          <w:rFonts w:hint="eastAsia" w:ascii="Times New Roman" w:hAnsi="Times New Roman" w:cs="Times New Roman"/>
          <w:b/>
          <w:bCs/>
          <w:color w:val="000000"/>
        </w:rPr>
        <w:t>（三）</w:t>
      </w:r>
      <w:r>
        <w:rPr>
          <w:rFonts w:hint="eastAsia" w:ascii="Times New Roman" w:hAnsi="Times New Roman" w:eastAsia="楷体_GB2312"/>
          <w:b/>
          <w:color w:val="000000"/>
        </w:rPr>
        <w:t>提升</w:t>
      </w:r>
      <w:r>
        <w:rPr>
          <w:rFonts w:hint="eastAsia" w:ascii="Times New Roman" w:hAnsi="Times New Roman" w:cs="Times New Roman"/>
          <w:b/>
          <w:bCs/>
          <w:color w:val="000000"/>
        </w:rPr>
        <w:t>灾害事故救援救助能力</w:t>
      </w:r>
      <w:bookmarkEnd w:id="20"/>
    </w:p>
    <w:p w14:paraId="0BFAB878">
      <w:pPr>
        <w:tabs>
          <w:tab w:val="left" w:pos="1701"/>
          <w:tab w:val="left" w:pos="1980"/>
        </w:tabs>
        <w:adjustRightInd w:val="0"/>
        <w:snapToGrid w:val="0"/>
        <w:spacing w:line="600" w:lineRule="exact"/>
        <w:ind w:firstLine="640" w:firstLineChars="200"/>
        <w:rPr>
          <w:rFonts w:ascii="Times New Roman" w:hAnsi="Times New Roman" w:cs="Times New Roman"/>
          <w:color w:val="000000"/>
        </w:rPr>
      </w:pPr>
      <w:r>
        <w:rPr>
          <w:rFonts w:ascii="Times New Roman" w:hAnsi="Times New Roman" w:cs="Times New Roman"/>
          <w:b/>
          <w:color w:val="000000"/>
        </w:rPr>
        <w:t>1．加强基层应急机构及能力建设。</w:t>
      </w:r>
      <w:r>
        <w:rPr>
          <w:rFonts w:hint="eastAsia" w:ascii="Times New Roman" w:hAnsi="Times New Roman" w:cs="Times New Roman"/>
          <w:color w:val="000000"/>
        </w:rPr>
        <w:t>强化县级政府、部门及高危行业企业安全生产应急管理机构建设，推动应急管理机构建设向基层和企业延伸；着力推进县、乡应急管理机构、队伍建设，配齐配强应急管理专业技术人才；提高村级灾害信息员的培训和扶持力度，力争所有行政村全部推行村级灾害信息员政府购买工作。</w:t>
      </w:r>
    </w:p>
    <w:p w14:paraId="5036D76F">
      <w:pPr>
        <w:adjustRightInd w:val="0"/>
        <w:snapToGrid w:val="0"/>
        <w:spacing w:line="600" w:lineRule="exact"/>
        <w:ind w:firstLine="640" w:firstLineChars="200"/>
        <w:rPr>
          <w:rFonts w:ascii="Times New Roman" w:hAnsi="Times New Roman"/>
          <w:color w:val="000000"/>
        </w:rPr>
      </w:pPr>
      <w:r>
        <w:rPr>
          <w:rFonts w:ascii="Times New Roman" w:hAnsi="Times New Roman" w:cs="Times New Roman"/>
          <w:b/>
          <w:color w:val="000000"/>
          <w:kern w:val="0"/>
        </w:rPr>
        <w:t>2.加强应急预案管理。</w:t>
      </w:r>
      <w:r>
        <w:rPr>
          <w:rFonts w:hint="eastAsia" w:ascii="Times New Roman" w:hAnsi="Times New Roman" w:cs="Times New Roman"/>
          <w:color w:val="000000"/>
          <w:kern w:val="0"/>
        </w:rPr>
        <w:t>修订完善《新余市突发事件总体应急预案》和各专项应急预案，</w:t>
      </w:r>
      <w:r>
        <w:rPr>
          <w:rFonts w:hint="eastAsia" w:ascii="Times New Roman" w:hAnsi="Times New Roman"/>
          <w:color w:val="000000"/>
        </w:rPr>
        <w:t>增强应急预案的针对性、实用性和系统性。</w:t>
      </w:r>
      <w:r>
        <w:rPr>
          <w:rFonts w:hint="eastAsia" w:ascii="Times New Roman" w:hAnsi="Times New Roman" w:cs="Times New Roman"/>
          <w:color w:val="000000"/>
          <w:kern w:val="0"/>
        </w:rPr>
        <w:t>提升分析研判、总结评估的实战能力，健全跨</w:t>
      </w:r>
      <w:r>
        <w:rPr>
          <w:rFonts w:hint="eastAsia" w:ascii="Times New Roman" w:hAnsi="Times New Roman" w:cs="Times New Roman"/>
          <w:kern w:val="0"/>
        </w:rPr>
        <w:t>区域</w:t>
      </w:r>
      <w:r>
        <w:rPr>
          <w:rFonts w:hint="eastAsia" w:ascii="Times New Roman" w:hAnsi="Times New Roman" w:cs="Times New Roman"/>
          <w:color w:val="000000"/>
          <w:kern w:val="0"/>
        </w:rPr>
        <w:t>重大突发事件应急救援信息互通、资源共享及联合处置机制。</w:t>
      </w:r>
      <w:r>
        <w:rPr>
          <w:rFonts w:hint="eastAsia" w:ascii="Times New Roman" w:hAnsi="Times New Roman"/>
          <w:color w:val="000000"/>
        </w:rPr>
        <w:t>指导推动各地各有关部门有组织、有计划开展操作演练、实战演练或桌面推演，注重应急演练分析研判和总结评估。</w:t>
      </w:r>
    </w:p>
    <w:p w14:paraId="3E733CE1">
      <w:pPr>
        <w:adjustRightInd w:val="0"/>
        <w:snapToGrid w:val="0"/>
        <w:spacing w:line="600" w:lineRule="exact"/>
        <w:ind w:firstLine="640" w:firstLineChars="200"/>
        <w:rPr>
          <w:rFonts w:ascii="Times New Roman" w:hAnsi="Times New Roman"/>
          <w:color w:val="000000"/>
        </w:rPr>
      </w:pPr>
      <w:r>
        <w:rPr>
          <w:rFonts w:ascii="Times New Roman" w:hAnsi="Times New Roman" w:cs="Times New Roman"/>
          <w:b/>
          <w:color w:val="000000"/>
        </w:rPr>
        <w:t>3.加强专业应急救援力量建设。</w:t>
      </w:r>
      <w:r>
        <w:rPr>
          <w:rFonts w:hint="eastAsia" w:ascii="Times New Roman" w:hAnsi="Times New Roman"/>
          <w:color w:val="000000"/>
        </w:rPr>
        <w:t>构建以森林灭火、抗洪抢险、地震和地质灾害、安全生产等专业应急救援队伍为突击力量，以基层救援救助队伍为主要力量，以社会应急救援队伍为补充力量的应急救援力量体系。</w:t>
      </w:r>
      <w:r>
        <w:rPr>
          <w:rFonts w:hint="eastAsia" w:ascii="Times New Roman" w:hAnsi="Times New Roman" w:cs="Times New Roman"/>
          <w:color w:val="000000"/>
        </w:rPr>
        <w:t>逐步建立健全市本级不少于</w:t>
      </w:r>
      <w:r>
        <w:rPr>
          <w:rFonts w:ascii="Times New Roman" w:hAnsi="Times New Roman" w:cs="Times New Roman"/>
          <w:color w:val="000000"/>
        </w:rPr>
        <w:t>50人、县（区）级不少于30人的专业森林消防队伍，参照部队的条令条例以及规章制度，应急救援队伍管理实行“五统一”准军事化管理，强化对各类灾害事故处置技术和新技术装备操作训练，建立与市消防救援支队及社会救援力量联勤联训制度。根据各灾种要求，组织进行经常性、针对性的实战训练和综合演练，逐步将市、县（区）两级专业森林消防队伍打造成一支以扑救森林火灾为主业，兼顾防汛抗旱、地质灾害防治、抗震救灾等多功能的综合性应急救援队伍，进一步提升应急处置能力。</w:t>
      </w:r>
    </w:p>
    <w:p w14:paraId="19CF283D">
      <w:pPr>
        <w:adjustRightInd w:val="0"/>
        <w:snapToGrid w:val="0"/>
        <w:spacing w:line="600" w:lineRule="exact"/>
        <w:ind w:firstLine="640" w:firstLineChars="200"/>
        <w:rPr>
          <w:rFonts w:ascii="Times New Roman" w:hAnsi="Times New Roman" w:cs="Times New Roman"/>
          <w:color w:val="000000"/>
        </w:rPr>
      </w:pPr>
      <w:r>
        <w:rPr>
          <w:rFonts w:ascii="Times New Roman" w:hAnsi="Times New Roman" w:cs="Times New Roman"/>
          <w:b/>
          <w:color w:val="000000"/>
        </w:rPr>
        <w:t>4．引导社会应急力量健康有序发展。</w:t>
      </w:r>
      <w:r>
        <w:rPr>
          <w:rFonts w:hint="eastAsia" w:ascii="Times New Roman" w:hAnsi="Times New Roman" w:cs="Times New Roman"/>
          <w:color w:val="000000"/>
        </w:rPr>
        <w:t>建立社会应急救援力量动态管理平台，健全社会应急救援力量日常管理、应急调用、培训选拔、激励评价等工作机制；持续加强同蓝天救援等社会应急救援队伍合作，建立社会力量与其他救援队伍共训共练、救援合作和信息共享机制。鼓励各类志愿者队伍加强应急能力建设，加强应急志愿者队伍分类培训，提升应急志愿者队伍的组织化、规范化和专业化程度。正确引导社会力量有序进入防灾减灾救灾体系，参与现场救援、款物捐赠、物资发放、应急防疫、心理安抚等工作。</w:t>
      </w:r>
    </w:p>
    <w:p w14:paraId="4470E16E">
      <w:pPr>
        <w:tabs>
          <w:tab w:val="left" w:pos="1701"/>
          <w:tab w:val="left" w:pos="1980"/>
        </w:tabs>
        <w:adjustRightInd w:val="0"/>
        <w:snapToGrid w:val="0"/>
        <w:spacing w:line="600" w:lineRule="exact"/>
        <w:ind w:firstLine="640" w:firstLineChars="200"/>
        <w:rPr>
          <w:rFonts w:ascii="Times New Roman" w:hAnsi="Times New Roman" w:cs="Times New Roman"/>
          <w:color w:val="000000"/>
        </w:rPr>
      </w:pPr>
      <w:r>
        <w:rPr>
          <w:rFonts w:ascii="Times New Roman" w:hAnsi="Times New Roman" w:cs="Times New Roman"/>
          <w:b/>
          <w:color w:val="000000"/>
        </w:rPr>
        <w:t>5．加强应急物资储备及救援装备设施建设。</w:t>
      </w:r>
      <w:r>
        <w:rPr>
          <w:rFonts w:hint="eastAsia" w:ascii="Times New Roman" w:hAnsi="Times New Roman" w:cs="Times New Roman"/>
          <w:color w:val="000000"/>
        </w:rPr>
        <w:t>立足安全生产、减灾救灾工作实际需要，</w:t>
      </w:r>
      <w:r>
        <w:rPr>
          <w:rFonts w:hint="eastAsia" w:ascii="Times New Roman" w:hAnsi="Times New Roman"/>
          <w:color w:val="000000"/>
        </w:rPr>
        <w:t>建设市、县（区）级救灾物资储备库。结合各地实际，把应急物资储备纳入各级政府财政预算，参照应急物资储备规划和标准，建立重要应急物资目录、丰富物资品种。</w:t>
      </w:r>
      <w:r>
        <w:rPr>
          <w:rFonts w:hint="eastAsia" w:ascii="Times New Roman" w:hAnsi="Times New Roman" w:cs="Times New Roman"/>
          <w:color w:val="000000"/>
        </w:rPr>
        <w:t>加强应急装备设施建设，提升应急救援装备水平；积极推广先进应急救援技术和装备，加强经费筹措、装备采购和配备应用，重点加强救援人员安全防护、特殊灾害事故攻坚、专业救援、通信指挥、工程抢险等装备的配备；不断推进应急救援装备的性能优化与结构优化，提升各级应急救援队伍特别是基层队伍的灾情信息采集与传输能力、搜救能力、后勤保障能力。</w:t>
      </w:r>
    </w:p>
    <w:p w14:paraId="527342D2">
      <w:pPr>
        <w:adjustRightInd w:val="0"/>
        <w:snapToGrid w:val="0"/>
        <w:spacing w:line="600" w:lineRule="exact"/>
        <w:ind w:firstLine="640" w:firstLineChars="200"/>
        <w:rPr>
          <w:rFonts w:ascii="Times New Roman" w:hAnsi="Times New Roman"/>
          <w:color w:val="000000"/>
        </w:rPr>
      </w:pPr>
      <w:bookmarkStart w:id="21" w:name="_Toc456342409"/>
      <w:bookmarkStart w:id="22" w:name="_Toc34204727"/>
      <w:bookmarkStart w:id="23" w:name="_Toc34149222"/>
      <w:bookmarkStart w:id="24" w:name="_Toc34149145"/>
      <w:r>
        <w:rPr>
          <w:rFonts w:ascii="Times New Roman" w:hAnsi="Times New Roman" w:cs="Times New Roman"/>
          <w:b/>
          <w:color w:val="000000"/>
        </w:rPr>
        <w:t>6．加强灾害事故救助和恢复重建能力建设</w:t>
      </w:r>
      <w:bookmarkEnd w:id="21"/>
      <w:bookmarkEnd w:id="22"/>
      <w:bookmarkEnd w:id="23"/>
      <w:bookmarkEnd w:id="24"/>
      <w:r>
        <w:rPr>
          <w:rFonts w:hint="eastAsia" w:ascii="Times New Roman" w:hAnsi="Times New Roman" w:cs="Times New Roman"/>
          <w:b/>
          <w:color w:val="000000"/>
        </w:rPr>
        <w:t>。</w:t>
      </w:r>
      <w:r>
        <w:rPr>
          <w:rFonts w:hint="eastAsia" w:ascii="Times New Roman" w:hAnsi="Times New Roman" w:cs="Times New Roman"/>
          <w:color w:val="000000"/>
        </w:rPr>
        <w:t>根据国务院、省委省政府灾害事故救助政策，建立与全市经济社会发展水平相适应的灾害事故救助资金补助标准。结合全市实际情况，健全与灾害事故救助需求相适应的资金、物资保障机制、快速下拨机制和应急救助阶段救灾物资紧急采购机制，提升事后、灾后恢复重建能力。</w:t>
      </w:r>
      <w:r>
        <w:rPr>
          <w:rFonts w:hint="eastAsia" w:ascii="Times New Roman" w:hAnsi="Times New Roman"/>
          <w:color w:val="000000"/>
        </w:rPr>
        <w:t>参照《江西省家庭应急物资储备建议清单》基础版和扩充版，因地制宜，认真做好宣传推广工作，引导城市家庭进行家庭急救箱等应急物资储备。加强临时住所、水、电、道路等基础设施建设，保障受灾群众基本生活，引导心理援助与社会工作服务参与应对突发事件。</w:t>
      </w:r>
    </w:p>
    <w:p w14:paraId="55D6E7D8">
      <w:pPr>
        <w:adjustRightInd w:val="0"/>
        <w:snapToGrid w:val="0"/>
        <w:spacing w:line="600" w:lineRule="exact"/>
        <w:ind w:firstLine="640" w:firstLineChars="200"/>
        <w:outlineLvl w:val="1"/>
        <w:rPr>
          <w:rFonts w:ascii="Times New Roman" w:hAnsi="Times New Roman" w:eastAsia="楷体_GB2312" w:cs="Times New Roman"/>
          <w:b/>
          <w:color w:val="000000"/>
        </w:rPr>
      </w:pPr>
      <w:bookmarkStart w:id="25" w:name="_Toc73434517"/>
      <w:r>
        <w:rPr>
          <w:rFonts w:hint="eastAsia" w:ascii="Times New Roman" w:hAnsi="Times New Roman" w:eastAsia="楷体_GB2312" w:cs="Times New Roman"/>
          <w:b/>
          <w:color w:val="000000"/>
        </w:rPr>
        <w:t>（四）提升</w:t>
      </w:r>
      <w:r>
        <w:rPr>
          <w:rFonts w:hint="eastAsia" w:ascii="Times New Roman" w:hAnsi="Times New Roman" w:eastAsia="楷体_GB2312"/>
          <w:b/>
          <w:color w:val="000000"/>
        </w:rPr>
        <w:t>科技与</w:t>
      </w:r>
      <w:r>
        <w:rPr>
          <w:rFonts w:hint="eastAsia" w:ascii="Times New Roman" w:hAnsi="Times New Roman" w:eastAsia="楷体_GB2312" w:cs="Times New Roman"/>
          <w:b/>
          <w:color w:val="000000"/>
        </w:rPr>
        <w:t>人才支撑能力</w:t>
      </w:r>
      <w:bookmarkEnd w:id="25"/>
    </w:p>
    <w:p w14:paraId="52381429">
      <w:pPr>
        <w:tabs>
          <w:tab w:val="left" w:pos="1701"/>
          <w:tab w:val="left" w:pos="1980"/>
        </w:tabs>
        <w:adjustRightInd w:val="0"/>
        <w:snapToGrid w:val="0"/>
        <w:spacing w:line="600" w:lineRule="exact"/>
        <w:ind w:firstLine="640" w:firstLineChars="200"/>
        <w:rPr>
          <w:rFonts w:ascii="Times New Roman" w:hAnsi="Times New Roman" w:eastAsia="仿宋" w:cs="Times New Roman"/>
        </w:rPr>
      </w:pPr>
      <w:r>
        <w:rPr>
          <w:rFonts w:ascii="Times New Roman" w:hAnsi="Times New Roman" w:cs="Times New Roman"/>
          <w:b/>
          <w:color w:val="000000"/>
        </w:rPr>
        <w:t>1．建立科研成果研发和转化机制。</w:t>
      </w:r>
      <w:r>
        <w:rPr>
          <w:rFonts w:hint="eastAsia" w:ascii="Times New Roman" w:hAnsi="Times New Roman" w:cs="Times New Roman"/>
          <w:color w:val="000000"/>
        </w:rPr>
        <w:t>建立政府、企业、社会多方参与的科技成果研发体系，发挥政府推进基础性、前沿性科学研究的保障作用；持续深化“机械化换人、自动化减人、智能化管控”科技强安专项行动，加强与高校及相关科研院所合作，深化灾害事故基础研究，加强自主创新和技术攻关，加快主动预防型安全技术等研究，加大自然灾害防治和安全风险防范大型先进适用装备研发力度，推动关键技术与装备研发。完善科技成果转化激励制度，健全安全工艺、技术、装备推广应用的市场激励和政府补助机制，培育引导一批有能力信誉好的生产企业、技术机构、科研院所等社会力量参与应急管理工作。</w:t>
      </w:r>
    </w:p>
    <w:p w14:paraId="135CBA4A">
      <w:pPr>
        <w:adjustRightInd w:val="0"/>
        <w:snapToGrid w:val="0"/>
        <w:spacing w:line="600" w:lineRule="exact"/>
        <w:ind w:firstLine="640" w:firstLineChars="200"/>
        <w:rPr>
          <w:rFonts w:ascii="Times New Roman" w:hAnsi="Times New Roman" w:cs="Times New Roman"/>
          <w:color w:val="000000"/>
        </w:rPr>
      </w:pPr>
      <w:r>
        <w:rPr>
          <w:rFonts w:ascii="Times New Roman" w:hAnsi="Times New Roman" w:cs="Times New Roman"/>
          <w:b/>
          <w:color w:val="000000"/>
        </w:rPr>
        <w:t>2．加强应急管理信息化建设。</w:t>
      </w:r>
      <w:r>
        <w:rPr>
          <w:rFonts w:hint="eastAsia" w:ascii="Times New Roman" w:hAnsi="Times New Roman" w:cs="Times New Roman"/>
          <w:color w:val="000000"/>
        </w:rPr>
        <w:t>健全产学研协同创新机制，加强安全生产、自然灾害监测预警、风险识别、风险研判等关键技术研发与应用，实现视频监测、实时预警、智能化管控。加强感知网络和通信网络建设，将天网数据接入应急指挥中心，不断提升应急指挥五种基本能力，提高应急管理的科学化、专业化、智能化、精细化水平。。</w:t>
      </w:r>
    </w:p>
    <w:p w14:paraId="0C174A24">
      <w:pPr>
        <w:adjustRightInd w:val="0"/>
        <w:snapToGrid w:val="0"/>
        <w:spacing w:line="600" w:lineRule="exact"/>
        <w:ind w:firstLine="640" w:firstLineChars="200"/>
        <w:rPr>
          <w:rFonts w:ascii="Times New Roman" w:hAnsi="Times New Roman" w:cs="Times New Roman"/>
          <w:color w:val="000000"/>
        </w:rPr>
      </w:pPr>
      <w:r>
        <w:rPr>
          <w:rFonts w:ascii="Times New Roman" w:hAnsi="Times New Roman" w:cs="Times New Roman"/>
          <w:b/>
          <w:color w:val="000000"/>
        </w:rPr>
        <w:t>3.强化专业人才支撑。</w:t>
      </w:r>
      <w:r>
        <w:rPr>
          <w:rFonts w:hint="eastAsia" w:ascii="Times New Roman" w:hAnsi="Times New Roman" w:cs="Times New Roman"/>
          <w:color w:val="000000"/>
        </w:rPr>
        <w:t>充分利用应急干部网络学院平台在提升应急干部能力的基础性作用，探索建立新余市应急管理干部培训基地。加强安全生产、防灾减灾、应急救援等领域专家库建设和动态管理。鼓励园区安监站、企业安全员报考注册安全工程师。开展安全员履职评估、典型选树、专项培训教育等活动，持续加强企业安全员队伍建设，持续推进“查、保、促”活动，强化企业职工监督力度，拓展隐患排查深度。</w:t>
      </w:r>
    </w:p>
    <w:p w14:paraId="6E5E9D38">
      <w:pPr>
        <w:adjustRightInd w:val="0"/>
        <w:snapToGrid w:val="0"/>
        <w:spacing w:line="600" w:lineRule="exact"/>
        <w:ind w:firstLine="640" w:firstLineChars="200"/>
        <w:rPr>
          <w:rFonts w:ascii="Times New Roman" w:hAnsi="Times New Roman" w:cs="Times New Roman"/>
          <w:color w:val="000000"/>
        </w:rPr>
      </w:pPr>
      <w:r>
        <w:rPr>
          <w:rFonts w:ascii="Times New Roman" w:hAnsi="Times New Roman" w:cs="Times New Roman"/>
          <w:b/>
          <w:color w:val="000000"/>
        </w:rPr>
        <w:t>4．优化应急产业发展结构。</w:t>
      </w:r>
      <w:r>
        <w:rPr>
          <w:rFonts w:hint="eastAsia" w:ascii="Times New Roman" w:hAnsi="Times New Roman" w:cs="Times New Roman"/>
          <w:color w:val="000000"/>
        </w:rPr>
        <w:t>深化应急产业供给侧结构性改革，推动应急产业向中高端迈进。充分发挥政府主导和市场调控作用，完善应急产品和应急服</w:t>
      </w:r>
      <w:bookmarkStart w:id="49" w:name="_GoBack"/>
      <w:bookmarkEnd w:id="49"/>
      <w:r>
        <w:rPr>
          <w:rFonts w:hint="eastAsia" w:ascii="Times New Roman" w:hAnsi="Times New Roman" w:cs="Times New Roman"/>
          <w:color w:val="000000"/>
        </w:rPr>
        <w:t>务体系，支持应急产业企业发展，推广应用适用于家庭单元和个人的成套应急用品，将基本应急防护用品纳入劳动保护用品范围，激发全社会对应急产品和服务的消费需求。</w:t>
      </w:r>
    </w:p>
    <w:p w14:paraId="2383D2BF">
      <w:pPr>
        <w:adjustRightInd w:val="0"/>
        <w:snapToGrid w:val="0"/>
        <w:spacing w:line="600" w:lineRule="exact"/>
        <w:ind w:firstLine="640" w:firstLineChars="200"/>
        <w:outlineLvl w:val="1"/>
        <w:rPr>
          <w:rFonts w:ascii="Times New Roman" w:hAnsi="Times New Roman" w:eastAsia="楷体_GB2312"/>
          <w:b/>
          <w:color w:val="000000"/>
        </w:rPr>
      </w:pPr>
      <w:bookmarkStart w:id="26" w:name="_Toc45287134"/>
      <w:bookmarkStart w:id="27" w:name="_Toc73434518"/>
      <w:r>
        <w:rPr>
          <w:rFonts w:hint="eastAsia" w:ascii="Times New Roman" w:hAnsi="Times New Roman" w:eastAsia="楷体_GB2312"/>
          <w:b/>
          <w:color w:val="000000"/>
        </w:rPr>
        <w:t>（五）提升宣传教育能力</w:t>
      </w:r>
      <w:bookmarkEnd w:id="26"/>
      <w:bookmarkEnd w:id="27"/>
    </w:p>
    <w:p w14:paraId="60766408">
      <w:pPr>
        <w:adjustRightInd w:val="0"/>
        <w:snapToGrid w:val="0"/>
        <w:spacing w:line="600" w:lineRule="exact"/>
        <w:ind w:firstLine="640" w:firstLineChars="200"/>
        <w:rPr>
          <w:rFonts w:ascii="Times New Roman" w:hAnsi="Times New Roman" w:cs="Times New Roman"/>
          <w:color w:val="000000"/>
          <w:kern w:val="0"/>
        </w:rPr>
      </w:pPr>
      <w:bookmarkStart w:id="28" w:name="_Toc454266197"/>
      <w:bookmarkStart w:id="29" w:name="_Toc463773885"/>
      <w:bookmarkStart w:id="30" w:name="_Toc463960959"/>
      <w:r>
        <w:rPr>
          <w:rFonts w:ascii="Times New Roman" w:hAnsi="Times New Roman" w:cs="Times New Roman"/>
          <w:b/>
          <w:color w:val="000000"/>
          <w:kern w:val="0"/>
        </w:rPr>
        <w:t>1.开展应急管理宣传。</w:t>
      </w:r>
      <w:r>
        <w:rPr>
          <w:rFonts w:hint="eastAsia" w:ascii="Times New Roman" w:hAnsi="Times New Roman" w:cs="Times New Roman"/>
          <w:color w:val="000000"/>
          <w:kern w:val="0"/>
        </w:rPr>
        <w:t>持续开展防灾减灾日、国际减灾日、安全生产月等活动，在有条件的社区、公园、广场、乡村服务场所等设置专题展板，创新应急管理宣传教育形式。加强在校学生和基层群众安全生产、防灾减灾和应急救护救援知识教育培训，将应急管理知识纳入中小学教育内容，组织学校、社区、企业等开展疏散逃生和自救互救演练，提高公众应对灾害事故能力。</w:t>
      </w:r>
    </w:p>
    <w:p w14:paraId="35FA1A80">
      <w:pPr>
        <w:adjustRightInd w:val="0"/>
        <w:snapToGrid w:val="0"/>
        <w:spacing w:line="600" w:lineRule="exact"/>
        <w:ind w:firstLine="640" w:firstLineChars="200"/>
        <w:rPr>
          <w:rFonts w:ascii="Times New Roman" w:hAnsi="Times New Roman" w:cs="Times New Roman"/>
          <w:color w:val="000000"/>
          <w:kern w:val="0"/>
        </w:rPr>
      </w:pPr>
      <w:r>
        <w:rPr>
          <w:rFonts w:ascii="Times New Roman" w:hAnsi="Times New Roman" w:cs="Times New Roman"/>
          <w:b/>
          <w:color w:val="000000"/>
          <w:kern w:val="0"/>
        </w:rPr>
        <w:t>2</w:t>
      </w:r>
      <w:r>
        <w:rPr>
          <w:rFonts w:hint="eastAsia" w:ascii="Times New Roman" w:hAnsi="Times New Roman" w:cs="Times New Roman"/>
          <w:b/>
          <w:color w:val="000000"/>
          <w:kern w:val="0"/>
        </w:rPr>
        <w:t>．</w:t>
      </w:r>
      <w:r>
        <w:rPr>
          <w:rFonts w:hint="eastAsia" w:ascii="Times New Roman" w:hAnsi="Times New Roman" w:cs="Times New Roman"/>
          <w:b/>
          <w:color w:val="000000"/>
        </w:rPr>
        <w:t>培育</w:t>
      </w:r>
      <w:r>
        <w:rPr>
          <w:rFonts w:hint="eastAsia" w:ascii="Times New Roman" w:hAnsi="Times New Roman" w:cs="Times New Roman"/>
          <w:b/>
          <w:color w:val="000000"/>
          <w:kern w:val="0"/>
        </w:rPr>
        <w:t>应急管理文化。</w:t>
      </w:r>
      <w:r>
        <w:rPr>
          <w:rFonts w:hint="eastAsia" w:ascii="Times New Roman" w:hAnsi="Times New Roman" w:cs="Times New Roman"/>
          <w:color w:val="000000"/>
        </w:rPr>
        <w:t>推动</w:t>
      </w:r>
      <w:r>
        <w:rPr>
          <w:rFonts w:hint="eastAsia" w:ascii="Times New Roman" w:hAnsi="Times New Roman" w:cs="Times New Roman"/>
          <w:color w:val="000000"/>
          <w:kern w:val="0"/>
        </w:rPr>
        <w:t>建立科普教育基地，</w:t>
      </w:r>
      <w:r>
        <w:rPr>
          <w:rFonts w:hint="eastAsia" w:ascii="Times New Roman" w:hAnsi="Times New Roman" w:cs="Times New Roman"/>
          <w:color w:val="000000"/>
        </w:rPr>
        <w:t>做好安全生产、防灾减灾、应急救援宣传教育设施与平台建设，借助基层综合性文化服务中心等平台广泛开展应急管理知识宣传教育活动。</w:t>
      </w:r>
      <w:r>
        <w:rPr>
          <w:rFonts w:hint="eastAsia" w:ascii="Times New Roman" w:hAnsi="Times New Roman" w:cs="Times New Roman"/>
          <w:color w:val="000000"/>
          <w:kern w:val="0"/>
        </w:rPr>
        <w:t>加强应急管理干部和应急救援队伍培训，建立健全培训制度，建立应急知识科普库，全面提升应急救援技能。</w:t>
      </w:r>
    </w:p>
    <w:bookmarkEnd w:id="28"/>
    <w:bookmarkEnd w:id="29"/>
    <w:bookmarkEnd w:id="30"/>
    <w:p w14:paraId="02B70CD8">
      <w:pPr>
        <w:adjustRightInd w:val="0"/>
        <w:snapToGrid w:val="0"/>
        <w:spacing w:line="600" w:lineRule="exact"/>
        <w:ind w:firstLine="640" w:firstLineChars="200"/>
        <w:outlineLvl w:val="0"/>
        <w:rPr>
          <w:rFonts w:ascii="Times New Roman" w:hAnsi="Times New Roman" w:eastAsia="黑体" w:cs="Times New Roman"/>
        </w:rPr>
      </w:pPr>
      <w:bookmarkStart w:id="31" w:name="_Toc73434519"/>
      <w:bookmarkStart w:id="32" w:name="_Toc61446310"/>
      <w:r>
        <w:rPr>
          <w:rFonts w:hint="eastAsia" w:ascii="Times New Roman" w:hAnsi="Times New Roman" w:eastAsia="黑体" w:cs="Times New Roman"/>
        </w:rPr>
        <w:t>四、重点工程</w:t>
      </w:r>
      <w:bookmarkEnd w:id="31"/>
      <w:bookmarkEnd w:id="32"/>
    </w:p>
    <w:p w14:paraId="57D9B06F">
      <w:pPr>
        <w:adjustRightInd w:val="0"/>
        <w:snapToGrid w:val="0"/>
        <w:spacing w:line="600" w:lineRule="exact"/>
        <w:ind w:firstLine="640" w:firstLineChars="200"/>
        <w:outlineLvl w:val="1"/>
        <w:rPr>
          <w:rFonts w:ascii="Times New Roman" w:hAnsi="Times New Roman" w:eastAsia="楷体_GB2312"/>
          <w:b/>
        </w:rPr>
      </w:pPr>
      <w:bookmarkStart w:id="33" w:name="_Toc73434520"/>
      <w:bookmarkStart w:id="34" w:name="_Toc61446311"/>
      <w:r>
        <w:rPr>
          <w:rFonts w:hint="eastAsia" w:ascii="Times New Roman" w:hAnsi="Times New Roman" w:eastAsia="楷体_GB2312"/>
          <w:b/>
        </w:rPr>
        <w:t>（一）应急指挥和行政执法能力提升工程</w:t>
      </w:r>
      <w:bookmarkEnd w:id="33"/>
      <w:bookmarkEnd w:id="34"/>
    </w:p>
    <w:p w14:paraId="17422BF1">
      <w:pPr>
        <w:adjustRightInd w:val="0"/>
        <w:snapToGrid w:val="0"/>
        <w:spacing w:line="600" w:lineRule="exact"/>
        <w:ind w:firstLine="640" w:firstLineChars="200"/>
        <w:rPr>
          <w:rFonts w:ascii="Times New Roman" w:hAnsi="Times New Roman" w:cs="Times New Roman"/>
          <w:color w:val="000000"/>
        </w:rPr>
      </w:pPr>
      <w:r>
        <w:rPr>
          <w:rFonts w:ascii="Times New Roman" w:hAnsi="Times New Roman" w:cs="Times New Roman"/>
          <w:b/>
          <w:color w:val="000000"/>
        </w:rPr>
        <w:t>1.综合性应急指挥中心建设项目。</w:t>
      </w:r>
      <w:r>
        <w:rPr>
          <w:rFonts w:hint="eastAsia" w:ascii="Times New Roman" w:hAnsi="Times New Roman" w:cs="Times New Roman"/>
          <w:color w:val="000000"/>
        </w:rPr>
        <w:t>根据应急指挥中心建设有关要求，建设具备可视化管理、风险分级管控、灾害预警分析、报警管理、视频巡查等功能的综合性应急管理指挥中心，建设内容包括：指挥大厅、会商室、值班室等专用功能场所，接入危险化学品、烟花爆竹、非煤矿山等重点行业领域感知数据和智慧城管、智慧交通、公安等视频资源，对接防汛抗旱、森林防火和安全生产指挥调度系统。</w:t>
      </w:r>
    </w:p>
    <w:p w14:paraId="30138429">
      <w:pPr>
        <w:adjustRightInd w:val="0"/>
        <w:snapToGrid w:val="0"/>
        <w:spacing w:line="600" w:lineRule="exact"/>
        <w:ind w:firstLine="640" w:firstLineChars="200"/>
        <w:rPr>
          <w:rFonts w:ascii="Times New Roman" w:hAnsi="Times New Roman" w:cs="Times New Roman"/>
          <w:color w:val="000000"/>
        </w:rPr>
      </w:pPr>
      <w:r>
        <w:rPr>
          <w:rFonts w:ascii="Times New Roman" w:hAnsi="Times New Roman" w:cs="Times New Roman"/>
          <w:b/>
          <w:color w:val="000000"/>
        </w:rPr>
        <w:t>2.</w:t>
      </w:r>
      <w:r>
        <w:rPr>
          <w:rFonts w:hint="eastAsia" w:ascii="Times New Roman" w:hAnsi="Times New Roman" w:cs="Times New Roman"/>
          <w:b/>
          <w:color w:val="000000"/>
        </w:rPr>
        <w:t>综合行政执法能力建设项目。</w:t>
      </w:r>
      <w:r>
        <w:rPr>
          <w:rFonts w:hint="eastAsia" w:ascii="Times New Roman" w:hAnsi="Times New Roman" w:cs="Times New Roman"/>
          <w:color w:val="000000"/>
        </w:rPr>
        <w:t>按照应急管理综合行政执法保障要求，为全市应急管理综合行政执法队伍配备执法服装、装备和用车等。</w:t>
      </w:r>
    </w:p>
    <w:p w14:paraId="426AE0E6">
      <w:pPr>
        <w:adjustRightInd w:val="0"/>
        <w:snapToGrid w:val="0"/>
        <w:spacing w:line="600" w:lineRule="exact"/>
        <w:ind w:firstLine="640" w:firstLineChars="200"/>
        <w:outlineLvl w:val="1"/>
        <w:rPr>
          <w:rFonts w:ascii="Times New Roman" w:hAnsi="Times New Roman" w:eastAsia="楷体_GB2312"/>
          <w:b/>
        </w:rPr>
      </w:pPr>
      <w:bookmarkStart w:id="35" w:name="_Toc61446312"/>
      <w:bookmarkStart w:id="36" w:name="_Toc73434521"/>
      <w:r>
        <w:rPr>
          <w:rFonts w:hint="eastAsia" w:ascii="Times New Roman" w:hAnsi="Times New Roman" w:eastAsia="楷体_GB2312"/>
          <w:b/>
        </w:rPr>
        <w:t>（二）风险防控能力提升工程</w:t>
      </w:r>
      <w:bookmarkEnd w:id="35"/>
      <w:bookmarkEnd w:id="36"/>
    </w:p>
    <w:p w14:paraId="2F7C2195">
      <w:pPr>
        <w:adjustRightInd w:val="0"/>
        <w:snapToGrid w:val="0"/>
        <w:spacing w:line="600" w:lineRule="exact"/>
        <w:ind w:firstLine="640" w:firstLineChars="200"/>
        <w:rPr>
          <w:rFonts w:ascii="Times New Roman" w:hAnsi="Times New Roman" w:cs="Times New Roman"/>
          <w:color w:val="000000"/>
        </w:rPr>
      </w:pPr>
      <w:r>
        <w:rPr>
          <w:rFonts w:ascii="Times New Roman" w:hAnsi="Times New Roman" w:cs="Times New Roman"/>
          <w:b/>
          <w:color w:val="000000"/>
        </w:rPr>
        <w:t>1.灾害风险调查和重点隐患排查项目。</w:t>
      </w:r>
      <w:r>
        <w:rPr>
          <w:rFonts w:hint="eastAsia" w:ascii="Times New Roman" w:hAnsi="Times New Roman" w:cs="Times New Roman"/>
          <w:color w:val="000000"/>
        </w:rPr>
        <w:t>根据江西省第一次全国自然灾害综合风险普查任务安排，建立分类型、分区域的全市自然灾害综合风险与减灾能力数据库。</w:t>
      </w:r>
    </w:p>
    <w:p w14:paraId="6D3315ED">
      <w:pPr>
        <w:adjustRightInd w:val="0"/>
        <w:snapToGrid w:val="0"/>
        <w:spacing w:line="600" w:lineRule="exact"/>
        <w:ind w:firstLine="640" w:firstLineChars="200"/>
        <w:rPr>
          <w:rFonts w:ascii="Times New Roman" w:hAnsi="Times New Roman" w:cs="Times New Roman"/>
          <w:b/>
          <w:bCs/>
          <w:color w:val="FF0000"/>
        </w:rPr>
      </w:pPr>
      <w:r>
        <w:rPr>
          <w:rFonts w:ascii="Times New Roman" w:hAnsi="Times New Roman" w:cs="Times New Roman"/>
          <w:b/>
          <w:bCs/>
          <w:color w:val="000000"/>
        </w:rPr>
        <w:t>2．城乡社区综合减灾示范项目。</w:t>
      </w:r>
      <w:r>
        <w:rPr>
          <w:rFonts w:hint="eastAsia" w:ascii="Times New Roman" w:hAnsi="Times New Roman" w:cs="Times New Roman"/>
          <w:bCs/>
          <w:color w:val="000000"/>
        </w:rPr>
        <w:t>开展全国和省级综合减灾示范社区、示范乡镇（街道）创建工作，全市力争</w:t>
      </w:r>
      <w:r>
        <w:rPr>
          <w:rFonts w:ascii="Times New Roman" w:hAnsi="Times New Roman" w:cs="Times New Roman"/>
          <w:color w:val="000000"/>
        </w:rPr>
        <w:t>创建</w:t>
      </w:r>
      <w:r>
        <w:rPr>
          <w:rFonts w:hint="eastAsia" w:ascii="Times New Roman" w:hAnsi="Times New Roman" w:cs="Times New Roman"/>
          <w:color w:val="000000"/>
        </w:rPr>
        <w:t>全国综合减灾示范社区</w:t>
      </w:r>
      <w:r>
        <w:rPr>
          <w:rFonts w:ascii="Times New Roman" w:hAnsi="Times New Roman" w:cs="Times New Roman"/>
          <w:color w:val="000000"/>
        </w:rPr>
        <w:t>10个、省级综合减灾示范社区20个、综合减灾示范乡镇（街道）3个。</w:t>
      </w:r>
    </w:p>
    <w:p w14:paraId="3A00F64E">
      <w:pPr>
        <w:adjustRightInd w:val="0"/>
        <w:snapToGrid w:val="0"/>
        <w:spacing w:line="600" w:lineRule="exact"/>
        <w:ind w:firstLine="640" w:firstLineChars="200"/>
        <w:rPr>
          <w:rFonts w:ascii="Times New Roman" w:hAnsi="Times New Roman" w:cs="Times New Roman"/>
          <w:color w:val="000000"/>
        </w:rPr>
      </w:pPr>
      <w:r>
        <w:rPr>
          <w:rFonts w:ascii="Times New Roman" w:hAnsi="Times New Roman" w:cs="Times New Roman"/>
          <w:b/>
          <w:color w:val="000000"/>
        </w:rPr>
        <w:t>3．应急避难场所建设项目。</w:t>
      </w:r>
      <w:r>
        <w:rPr>
          <w:rFonts w:hint="eastAsia" w:ascii="Times New Roman" w:hAnsi="Times New Roman" w:cs="Times New Roman"/>
          <w:color w:val="000000"/>
        </w:rPr>
        <w:t>充分利用公园、广场、城市绿地、学校、体育场等现有资源，在全市主要支流沿线易受淹地区</w:t>
      </w:r>
      <w:r>
        <w:rPr>
          <w:rFonts w:ascii="Times New Roman" w:hAnsi="Times New Roman" w:cs="Times New Roman"/>
          <w:color w:val="000000"/>
        </w:rPr>
        <w:t>和</w:t>
      </w:r>
      <w:r>
        <w:rPr>
          <w:rFonts w:hint="eastAsia" w:ascii="Times New Roman" w:hAnsi="Times New Roman" w:cs="Times New Roman"/>
          <w:color w:val="000000"/>
        </w:rPr>
        <w:t>山洪地质灾害高风险区设置一批满足城区人口避难需求的规范化应急避难场所，配置应急发电、应急用水、通信等设备和物资。</w:t>
      </w:r>
    </w:p>
    <w:p w14:paraId="1C6D75F2">
      <w:pPr>
        <w:adjustRightInd w:val="0"/>
        <w:snapToGrid w:val="0"/>
        <w:spacing w:line="600" w:lineRule="exact"/>
        <w:ind w:firstLine="640" w:firstLineChars="200"/>
        <w:outlineLvl w:val="1"/>
        <w:rPr>
          <w:rFonts w:ascii="Times New Roman" w:hAnsi="Times New Roman" w:eastAsia="楷体_GB2312"/>
          <w:b/>
        </w:rPr>
      </w:pPr>
      <w:bookmarkStart w:id="37" w:name="_Toc73434522"/>
      <w:bookmarkStart w:id="38" w:name="_Toc61446313"/>
      <w:r>
        <w:rPr>
          <w:rFonts w:hint="eastAsia" w:ascii="Times New Roman" w:hAnsi="Times New Roman" w:eastAsia="楷体_GB2312"/>
          <w:b/>
        </w:rPr>
        <w:t>（三）应急救援能力提升工程</w:t>
      </w:r>
      <w:bookmarkEnd w:id="37"/>
      <w:bookmarkEnd w:id="38"/>
    </w:p>
    <w:p w14:paraId="0EA97166">
      <w:pPr>
        <w:adjustRightInd w:val="0"/>
        <w:snapToGrid w:val="0"/>
        <w:spacing w:line="600" w:lineRule="exact"/>
        <w:ind w:firstLine="640" w:firstLineChars="200"/>
        <w:rPr>
          <w:rFonts w:ascii="Times New Roman" w:hAnsi="Times New Roman"/>
          <w:bCs/>
          <w:kern w:val="44"/>
        </w:rPr>
      </w:pPr>
      <w:r>
        <w:rPr>
          <w:rFonts w:ascii="Times New Roman" w:hAnsi="Times New Roman"/>
          <w:b/>
          <w:bCs/>
          <w:kern w:val="44"/>
        </w:rPr>
        <w:t>1.市县专业森林消防队伍能力建设项目。</w:t>
      </w:r>
      <w:r>
        <w:rPr>
          <w:rFonts w:hint="eastAsia" w:ascii="Times New Roman" w:hAnsi="Times New Roman"/>
          <w:bCs/>
          <w:kern w:val="44"/>
        </w:rPr>
        <w:t>加强专业森林消防队正规化建设，完善队伍装备建设，推进县（区）专业队营房、训练场、物资储备库、野外实训基地等建设，全面完成专业森林消防队达标建设任务，提升专业森林消防队正规化建设水平和灭火作战能力。</w:t>
      </w:r>
    </w:p>
    <w:p w14:paraId="52DF31A5">
      <w:pPr>
        <w:adjustRightInd w:val="0"/>
        <w:snapToGrid w:val="0"/>
        <w:spacing w:line="600" w:lineRule="exact"/>
        <w:ind w:firstLine="640" w:firstLineChars="200"/>
        <w:rPr>
          <w:rFonts w:ascii="Times New Roman" w:hAnsi="Times New Roman"/>
          <w:bCs/>
          <w:kern w:val="44"/>
        </w:rPr>
      </w:pPr>
      <w:r>
        <w:rPr>
          <w:rFonts w:ascii="Times New Roman" w:hAnsi="Times New Roman"/>
          <w:b/>
        </w:rPr>
        <w:t>2.</w:t>
      </w:r>
      <w:r>
        <w:rPr>
          <w:rFonts w:hint="eastAsia" w:ascii="Times New Roman" w:hAnsi="Times New Roman" w:cs="Times New Roman"/>
          <w:b/>
          <w:color w:val="000000"/>
        </w:rPr>
        <w:t>社会应急救援力量提升项目。</w:t>
      </w:r>
      <w:r>
        <w:rPr>
          <w:rFonts w:hint="eastAsia" w:ascii="Times New Roman" w:hAnsi="Times New Roman" w:cs="Times New Roman"/>
          <w:color w:val="000000"/>
        </w:rPr>
        <w:t>鼓励引导社会志愿者参与应急救援队伍，推进分类组建社会应急救援突击队。按照社会应急救援能力建设需求，差异化配备救援装备，针对性开展救援技能培训。</w:t>
      </w:r>
    </w:p>
    <w:p w14:paraId="59489C26">
      <w:pPr>
        <w:adjustRightInd w:val="0"/>
        <w:snapToGrid w:val="0"/>
        <w:spacing w:line="600" w:lineRule="exact"/>
        <w:ind w:firstLine="640" w:firstLineChars="200"/>
        <w:outlineLvl w:val="1"/>
        <w:rPr>
          <w:rFonts w:ascii="Times New Roman" w:hAnsi="Times New Roman" w:cs="Times New Roman"/>
        </w:rPr>
      </w:pPr>
      <w:r>
        <w:rPr>
          <w:rFonts w:ascii="Times New Roman" w:hAnsi="Times New Roman"/>
          <w:b/>
        </w:rPr>
        <w:t>3.应急指挥视频调度系统项目。</w:t>
      </w:r>
      <w:r>
        <w:rPr>
          <w:rFonts w:hint="eastAsia" w:ascii="Times New Roman" w:hAnsi="Times New Roman" w:cs="Times New Roman"/>
        </w:rPr>
        <w:t>加强与通信运营商合作，将</w:t>
      </w:r>
      <w:r>
        <w:rPr>
          <w:rFonts w:ascii="Times New Roman" w:hAnsi="Times New Roman" w:cs="Times New Roman"/>
        </w:rPr>
        <w:t>5G网络技术应用到应急救援工作中。发挥</w:t>
      </w:r>
      <w:r>
        <w:rPr>
          <w:rFonts w:hint="eastAsia" w:ascii="Times New Roman" w:hAnsi="Times New Roman" w:cs="Times New Roman"/>
        </w:rPr>
        <w:t>便携式移动通信基站、通信保障车、无人机和卫星通信设备技术优势，确保突发灾害情况下应急救援通信畅通。</w:t>
      </w:r>
    </w:p>
    <w:p w14:paraId="1B742896">
      <w:pPr>
        <w:pStyle w:val="4"/>
        <w:adjustRightInd w:val="0"/>
        <w:snapToGrid w:val="0"/>
        <w:spacing w:line="600" w:lineRule="exact"/>
        <w:ind w:firstLine="640" w:firstLineChars="200"/>
        <w:jc w:val="both"/>
        <w:rPr>
          <w:rFonts w:ascii="Times New Roman" w:hAnsi="Times New Roman"/>
        </w:rPr>
      </w:pPr>
      <w:r>
        <w:rPr>
          <w:rFonts w:ascii="Times New Roman" w:hAnsi="Times New Roman" w:eastAsia="仿宋_GB2312"/>
          <w:b/>
          <w:sz w:val="32"/>
          <w:szCs w:val="32"/>
        </w:rPr>
        <w:t>4.防震减灾科普示范项目。</w:t>
      </w:r>
      <w:r>
        <w:rPr>
          <w:rFonts w:hint="eastAsia" w:ascii="Times New Roman" w:hAnsi="Times New Roman" w:eastAsia="仿宋_GB2312" w:cs="Times New Roman"/>
          <w:sz w:val="32"/>
          <w:szCs w:val="32"/>
        </w:rPr>
        <w:t>开展全国和省级防震减灾科普示范基地、科普示范学校创建工作，全市力争</w:t>
      </w:r>
      <w:r>
        <w:rPr>
          <w:rFonts w:ascii="Times New Roman" w:hAnsi="Times New Roman" w:eastAsia="仿宋_GB2312" w:cs="Times New Roman"/>
          <w:sz w:val="32"/>
          <w:szCs w:val="32"/>
        </w:rPr>
        <w:t>创建</w:t>
      </w:r>
      <w:r>
        <w:rPr>
          <w:rFonts w:hint="eastAsia" w:ascii="Times New Roman" w:hAnsi="Times New Roman" w:eastAsia="仿宋_GB2312" w:cs="Times New Roman"/>
          <w:sz w:val="32"/>
          <w:szCs w:val="32"/>
        </w:rPr>
        <w:t>全国防震减灾科普示范基地</w:t>
      </w:r>
      <w:r>
        <w:rPr>
          <w:rFonts w:ascii="Times New Roman" w:hAnsi="Times New Roman" w:eastAsia="仿宋_GB2312" w:cs="Times New Roman"/>
          <w:sz w:val="32"/>
          <w:szCs w:val="32"/>
        </w:rPr>
        <w:t>1个、全国防震减灾科普示范学校2个、省级防震减灾科普示范基地2个、省级防震减灾科普示范学校2个。</w:t>
      </w:r>
    </w:p>
    <w:p w14:paraId="50926E11">
      <w:pPr>
        <w:adjustRightInd w:val="0"/>
        <w:snapToGrid w:val="0"/>
        <w:spacing w:line="600" w:lineRule="exact"/>
        <w:ind w:firstLine="640" w:firstLineChars="200"/>
        <w:outlineLvl w:val="1"/>
        <w:rPr>
          <w:rFonts w:ascii="Times New Roman" w:hAnsi="Times New Roman" w:eastAsia="楷体_GB2312"/>
          <w:b/>
          <w:color w:val="000000"/>
        </w:rPr>
      </w:pPr>
      <w:bookmarkStart w:id="39" w:name="_Toc73434523"/>
      <w:bookmarkStart w:id="40" w:name="_Toc61446314"/>
      <w:r>
        <w:rPr>
          <w:rFonts w:hint="eastAsia" w:ascii="Times New Roman" w:hAnsi="Times New Roman" w:eastAsia="楷体_GB2312"/>
          <w:b/>
        </w:rPr>
        <w:t>（四）</w:t>
      </w:r>
      <w:r>
        <w:rPr>
          <w:rFonts w:hint="eastAsia" w:ascii="Times New Roman" w:hAnsi="Times New Roman" w:eastAsia="楷体_GB2312"/>
          <w:b/>
          <w:color w:val="000000"/>
        </w:rPr>
        <w:t>应急物资保障能力建设工程</w:t>
      </w:r>
      <w:bookmarkEnd w:id="39"/>
    </w:p>
    <w:p w14:paraId="40B1B9B9">
      <w:pPr>
        <w:adjustRightInd w:val="0"/>
        <w:snapToGrid w:val="0"/>
        <w:spacing w:line="600" w:lineRule="exact"/>
        <w:ind w:firstLine="640" w:firstLineChars="200"/>
        <w:rPr>
          <w:rFonts w:ascii="Times New Roman" w:hAnsi="Times New Roman" w:cs="Times New Roman"/>
          <w:color w:val="000000"/>
        </w:rPr>
      </w:pPr>
      <w:r>
        <w:rPr>
          <w:rFonts w:ascii="Times New Roman" w:hAnsi="Times New Roman" w:cs="Times New Roman"/>
          <w:b/>
          <w:color w:val="000000"/>
        </w:rPr>
        <w:t>1、应急物资储备基地项目。</w:t>
      </w:r>
      <w:r>
        <w:rPr>
          <w:rFonts w:hint="eastAsia" w:ascii="Times New Roman" w:hAnsi="Times New Roman" w:cs="Times New Roman"/>
        </w:rPr>
        <w:t>建立市级综合性应急物资储备库。积极推进县（区）储备库建设，启动乡镇（街道）应急物资储备中心库建设，规范应急物资储备种类、规格和储量。</w:t>
      </w:r>
    </w:p>
    <w:bookmarkEnd w:id="40"/>
    <w:p w14:paraId="1B7EF384">
      <w:pPr>
        <w:adjustRightInd w:val="0"/>
        <w:snapToGrid w:val="0"/>
        <w:spacing w:line="600" w:lineRule="exact"/>
        <w:ind w:firstLine="640" w:firstLineChars="200"/>
        <w:outlineLvl w:val="1"/>
        <w:rPr>
          <w:rFonts w:ascii="Times New Roman" w:hAnsi="Times New Roman" w:eastAsia="楷体_GB2312" w:cs="Times New Roman"/>
          <w:b/>
          <w:color w:val="000000"/>
        </w:rPr>
      </w:pPr>
      <w:bookmarkStart w:id="41" w:name="_Hlk56542482"/>
      <w:bookmarkStart w:id="42" w:name="_Toc73434524"/>
      <w:bookmarkStart w:id="43" w:name="_Toc61446315"/>
      <w:r>
        <w:rPr>
          <w:rFonts w:hint="eastAsia" w:ascii="Times New Roman" w:hAnsi="Times New Roman" w:eastAsia="楷体_GB2312" w:cs="Times New Roman"/>
          <w:b/>
          <w:color w:val="000000"/>
        </w:rPr>
        <w:t>（五）</w:t>
      </w:r>
      <w:bookmarkEnd w:id="41"/>
      <w:r>
        <w:rPr>
          <w:rFonts w:hint="eastAsia" w:ascii="Times New Roman" w:hAnsi="Times New Roman" w:eastAsia="楷体_GB2312" w:cs="Times New Roman"/>
          <w:b/>
          <w:color w:val="000000"/>
        </w:rPr>
        <w:t>宣传</w:t>
      </w:r>
      <w:r>
        <w:rPr>
          <w:rFonts w:hint="eastAsia" w:ascii="Times New Roman" w:hAnsi="Times New Roman" w:eastAsia="楷体_GB2312"/>
          <w:b/>
          <w:color w:val="000000"/>
        </w:rPr>
        <w:t>教育</w:t>
      </w:r>
      <w:r>
        <w:rPr>
          <w:rFonts w:hint="eastAsia" w:ascii="Times New Roman" w:hAnsi="Times New Roman" w:eastAsia="楷体_GB2312" w:cs="Times New Roman"/>
          <w:b/>
          <w:color w:val="000000"/>
        </w:rPr>
        <w:t>社会动员能力建设工程</w:t>
      </w:r>
      <w:bookmarkEnd w:id="42"/>
    </w:p>
    <w:p w14:paraId="3E368AEC">
      <w:pPr>
        <w:adjustRightInd w:val="0"/>
        <w:snapToGrid w:val="0"/>
        <w:spacing w:line="600" w:lineRule="exact"/>
        <w:ind w:firstLine="640" w:firstLineChars="200"/>
        <w:rPr>
          <w:rFonts w:ascii="Times New Roman" w:hAnsi="Times New Roman" w:cs="Times New Roman"/>
        </w:rPr>
      </w:pPr>
      <w:r>
        <w:rPr>
          <w:rFonts w:ascii="Times New Roman" w:hAnsi="Times New Roman" w:cs="Times New Roman"/>
          <w:b/>
        </w:rPr>
        <w:t>1、应急广播传输网络项目。</w:t>
      </w:r>
      <w:r>
        <w:rPr>
          <w:rFonts w:hint="eastAsia" w:ascii="Times New Roman" w:hAnsi="Times New Roman" w:cs="Times New Roman"/>
        </w:rPr>
        <w:t>利用已建的应急广播设施和“村村响”系统，建成有线、无线互为备份的应急广播传输网络。改造乡镇、村应急广播系统，配置应急广播终端，实现应急广播终端乡镇、村全覆盖。</w:t>
      </w:r>
    </w:p>
    <w:p w14:paraId="68D3334C">
      <w:pPr>
        <w:pStyle w:val="2"/>
        <w:adjustRightInd w:val="0"/>
        <w:snapToGrid w:val="0"/>
        <w:spacing w:line="600" w:lineRule="exact"/>
        <w:ind w:firstLine="640" w:firstLineChars="200"/>
        <w:rPr>
          <w:rFonts w:ascii="Times New Roman" w:hAnsi="Times New Roman" w:eastAsia="仿宋_GB2312"/>
          <w:snapToGrid/>
          <w:color w:val="000000"/>
          <w:kern w:val="2"/>
          <w:sz w:val="32"/>
          <w:szCs w:val="32"/>
        </w:rPr>
      </w:pPr>
      <w:r>
        <w:rPr>
          <w:rFonts w:ascii="Times New Roman" w:hAnsi="Times New Roman" w:eastAsia="仿宋_GB2312" w:cs="Times New Roman"/>
          <w:b/>
          <w:snapToGrid/>
          <w:kern w:val="2"/>
          <w:sz w:val="32"/>
          <w:szCs w:val="32"/>
        </w:rPr>
        <w:t>2、安全生产“三项岗位人员”考试考点建设。</w:t>
      </w:r>
      <w:r>
        <w:rPr>
          <w:rFonts w:hint="eastAsia" w:ascii="Times New Roman" w:hAnsi="Times New Roman" w:eastAsia="仿宋_GB2312"/>
          <w:snapToGrid/>
          <w:color w:val="000000"/>
          <w:kern w:val="2"/>
          <w:sz w:val="32"/>
          <w:szCs w:val="32"/>
        </w:rPr>
        <w:t>在政府投资建设考点基础上，探索以政府租赁或购买服务的形式引进大中型企业、职业院校等参与社会化考点建设。</w:t>
      </w:r>
    </w:p>
    <w:p w14:paraId="305ECBC3">
      <w:pPr>
        <w:pStyle w:val="18"/>
        <w:adjustRightInd w:val="0"/>
        <w:snapToGrid w:val="0"/>
        <w:spacing w:line="600" w:lineRule="exact"/>
        <w:ind w:firstLine="640"/>
        <w:outlineLvl w:val="0"/>
        <w:rPr>
          <w:rFonts w:ascii="Times New Roman" w:hAnsi="Times New Roman" w:eastAsia="黑体"/>
          <w:color w:val="000000"/>
          <w:sz w:val="32"/>
          <w:szCs w:val="32"/>
        </w:rPr>
      </w:pPr>
      <w:bookmarkStart w:id="44" w:name="_Toc73434525"/>
      <w:r>
        <w:rPr>
          <w:rFonts w:hint="eastAsia" w:ascii="Times New Roman" w:hAnsi="Times New Roman" w:eastAsia="黑体"/>
          <w:color w:val="000000"/>
          <w:sz w:val="32"/>
          <w:szCs w:val="32"/>
        </w:rPr>
        <w:t>五、保障措施</w:t>
      </w:r>
      <w:bookmarkEnd w:id="44"/>
    </w:p>
    <w:p w14:paraId="07FDC11A">
      <w:pPr>
        <w:adjustRightInd w:val="0"/>
        <w:snapToGrid w:val="0"/>
        <w:spacing w:line="600" w:lineRule="exact"/>
        <w:ind w:firstLine="640" w:firstLineChars="200"/>
        <w:outlineLvl w:val="1"/>
        <w:rPr>
          <w:rFonts w:ascii="Times New Roman" w:hAnsi="Times New Roman" w:eastAsia="楷体_GB2312"/>
          <w:b/>
          <w:color w:val="000000"/>
        </w:rPr>
      </w:pPr>
      <w:bookmarkStart w:id="45" w:name="_Toc73434526"/>
      <w:r>
        <w:rPr>
          <w:rFonts w:hint="eastAsia" w:ascii="Times New Roman" w:hAnsi="Times New Roman" w:eastAsia="楷体_GB2312"/>
          <w:b/>
          <w:color w:val="000000"/>
        </w:rPr>
        <w:t>（一）加强组织领导</w:t>
      </w:r>
      <w:bookmarkEnd w:id="45"/>
    </w:p>
    <w:p w14:paraId="203F7E36">
      <w:pPr>
        <w:pStyle w:val="19"/>
        <w:widowControl w:val="0"/>
        <w:shd w:val="clear" w:color="auto" w:fill="FFFFFF"/>
        <w:adjustRightInd w:val="0"/>
        <w:snapToGrid w:val="0"/>
        <w:spacing w:before="0" w:beforeAutospacing="0" w:after="0" w:afterAutospacing="0" w:line="600" w:lineRule="exact"/>
        <w:ind w:firstLine="640" w:firstLineChars="200"/>
        <w:jc w:val="both"/>
        <w:rPr>
          <w:rFonts w:hint="default" w:ascii="Times New Roman" w:hAnsi="Times New Roman"/>
          <w:color w:val="000000"/>
          <w:sz w:val="32"/>
          <w:szCs w:val="32"/>
        </w:rPr>
      </w:pPr>
      <w:r>
        <w:rPr>
          <w:rFonts w:ascii="Times New Roman" w:hAnsi="Times New Roman"/>
          <w:color w:val="000000"/>
          <w:sz w:val="32"/>
          <w:szCs w:val="32"/>
        </w:rPr>
        <w:t>各级党委政府要充分认识“十四五”应急管理改革的重要性和紧迫性，全面加强对应急管理工作的领导，大力支持应急管理事业，切实把应急管理事业纳入当地经济社会发展总体规划统筹推进，及时研究和解决应急管理发展改革工作中的重大问题。各地各单位要严格依法履职、责任到岗、落实到人，充分调动各方力量，强力推动规划落实。</w:t>
      </w:r>
    </w:p>
    <w:p w14:paraId="77D6D1DF">
      <w:pPr>
        <w:adjustRightInd w:val="0"/>
        <w:snapToGrid w:val="0"/>
        <w:spacing w:line="600" w:lineRule="exact"/>
        <w:ind w:firstLine="640" w:firstLineChars="200"/>
        <w:outlineLvl w:val="1"/>
        <w:rPr>
          <w:rFonts w:ascii="Times New Roman" w:hAnsi="Times New Roman" w:eastAsia="楷体_GB2312"/>
          <w:b/>
          <w:color w:val="000000"/>
        </w:rPr>
      </w:pPr>
      <w:bookmarkStart w:id="46" w:name="_Toc73434527"/>
      <w:r>
        <w:rPr>
          <w:rFonts w:hint="eastAsia" w:ascii="Times New Roman" w:hAnsi="Times New Roman" w:eastAsia="楷体_GB2312"/>
          <w:b/>
          <w:color w:val="000000"/>
        </w:rPr>
        <w:t>（二）</w:t>
      </w:r>
      <w:bookmarkEnd w:id="46"/>
      <w:r>
        <w:rPr>
          <w:rFonts w:hint="eastAsia" w:ascii="Times New Roman" w:hAnsi="Times New Roman" w:eastAsia="楷体_GB2312"/>
          <w:b/>
          <w:color w:val="000000"/>
        </w:rPr>
        <w:t>加强协调配合</w:t>
      </w:r>
    </w:p>
    <w:p w14:paraId="1B1C271C">
      <w:pPr>
        <w:pStyle w:val="19"/>
        <w:widowControl w:val="0"/>
        <w:shd w:val="clear" w:color="auto" w:fill="FFFFFF"/>
        <w:adjustRightInd w:val="0"/>
        <w:snapToGrid w:val="0"/>
        <w:spacing w:before="0" w:beforeAutospacing="0" w:after="0" w:afterAutospacing="0" w:line="600" w:lineRule="exact"/>
        <w:ind w:firstLine="640" w:firstLineChars="200"/>
        <w:jc w:val="both"/>
        <w:rPr>
          <w:rFonts w:hint="default" w:ascii="Times New Roman" w:hAnsi="Times New Roman"/>
          <w:color w:val="000000"/>
          <w:sz w:val="32"/>
          <w:szCs w:val="32"/>
        </w:rPr>
      </w:pPr>
      <w:r>
        <w:rPr>
          <w:rFonts w:ascii="Times New Roman" w:hAnsi="Times New Roman"/>
          <w:color w:val="000000"/>
          <w:sz w:val="32"/>
          <w:szCs w:val="32"/>
        </w:rPr>
        <w:t>各有关部门要加强沟通、协调，建立横纵相连的规划实施推进机制，合力推动规划实施。应急管理部门要加强对规划实施的统筹协调和指导；发展改革部门要优先立项促进项目落地生根；财政部门要做好项目经费保障；科技部门要加强对应急管理关键技术研发与示范的支持；工信等部门要结合自身职能，共同推动规划目标任务落实。</w:t>
      </w:r>
      <w:bookmarkStart w:id="47" w:name="_Toc73434528"/>
    </w:p>
    <w:p w14:paraId="4784DD76">
      <w:pPr>
        <w:adjustRightInd w:val="0"/>
        <w:snapToGrid w:val="0"/>
        <w:spacing w:line="600" w:lineRule="exact"/>
        <w:ind w:firstLine="640" w:firstLineChars="200"/>
        <w:outlineLvl w:val="1"/>
        <w:rPr>
          <w:rFonts w:ascii="Times New Roman" w:hAnsi="Times New Roman" w:eastAsia="楷体_GB2312"/>
          <w:b/>
          <w:color w:val="000000"/>
        </w:rPr>
      </w:pPr>
      <w:r>
        <w:rPr>
          <w:rFonts w:hint="eastAsia" w:ascii="Times New Roman" w:hAnsi="Times New Roman" w:eastAsia="楷体_GB2312"/>
          <w:b/>
          <w:color w:val="000000"/>
        </w:rPr>
        <w:t>（三）健全激励保障机制</w:t>
      </w:r>
      <w:bookmarkEnd w:id="47"/>
    </w:p>
    <w:p w14:paraId="4FC25652">
      <w:pPr>
        <w:adjustRightInd w:val="0"/>
        <w:snapToGrid w:val="0"/>
        <w:spacing w:line="600" w:lineRule="exact"/>
        <w:ind w:firstLine="640" w:firstLineChars="200"/>
        <w:rPr>
          <w:rFonts w:ascii="Times New Roman" w:hAnsi="Times New Roman"/>
          <w:color w:val="000000"/>
        </w:rPr>
      </w:pPr>
      <w:r>
        <w:rPr>
          <w:rFonts w:hint="eastAsia" w:ascii="Times New Roman" w:hAnsi="Times New Roman"/>
          <w:color w:val="000000"/>
        </w:rPr>
        <w:t>完善专业森林消防队伍等专业救援队人员退出机制，建立健全社会应急力量依法参与灾害事故救援保障机制。建立健全政府、企业、社会相结合的资金保障机制。完善应急管理经费预算安排，探索设立应急管理基金、保险等投入渠道，完善企业安全生产的长效投入机制，推进自然灾害巨灾保险，建立完善应急财产征用补偿制度。</w:t>
      </w:r>
    </w:p>
    <w:p w14:paraId="2E5BBFAC">
      <w:pPr>
        <w:adjustRightInd w:val="0"/>
        <w:snapToGrid w:val="0"/>
        <w:spacing w:line="600" w:lineRule="exact"/>
        <w:ind w:firstLine="640" w:firstLineChars="200"/>
        <w:outlineLvl w:val="1"/>
        <w:rPr>
          <w:rFonts w:ascii="Times New Roman" w:hAnsi="Times New Roman" w:eastAsia="楷体_GB2312"/>
          <w:b/>
          <w:color w:val="000000"/>
        </w:rPr>
      </w:pPr>
      <w:bookmarkStart w:id="48" w:name="_Toc73434530"/>
      <w:r>
        <w:rPr>
          <w:rFonts w:hint="eastAsia" w:ascii="Times New Roman" w:hAnsi="Times New Roman" w:eastAsia="楷体_GB2312"/>
          <w:b/>
          <w:color w:val="000000"/>
        </w:rPr>
        <w:t>（四）强化规划评估考核</w:t>
      </w:r>
      <w:bookmarkEnd w:id="48"/>
    </w:p>
    <w:p w14:paraId="70A0AB81">
      <w:pPr>
        <w:adjustRightInd w:val="0"/>
        <w:snapToGrid w:val="0"/>
        <w:spacing w:line="600" w:lineRule="exact"/>
        <w:ind w:firstLine="640" w:firstLineChars="200"/>
        <w:rPr>
          <w:rFonts w:ascii="Times New Roman" w:hAnsi="Times New Roman"/>
          <w:color w:val="000000"/>
        </w:rPr>
      </w:pPr>
      <w:r>
        <w:rPr>
          <w:rFonts w:hint="eastAsia" w:ascii="Times New Roman" w:hAnsi="Times New Roman"/>
          <w:color w:val="000000"/>
        </w:rPr>
        <w:t>建立应急体系规划实施监督评估机制，强化对规划实施情况的硬约束，对规划的执行情况进行中期评估、验收评估和监督检查，确保规划各项任务顺利实施。</w:t>
      </w:r>
      <w:bookmarkEnd w:id="43"/>
    </w:p>
    <w:p w14:paraId="3D66C16A">
      <w:pPr>
        <w:adjustRightInd w:val="0"/>
        <w:snapToGrid w:val="0"/>
        <w:spacing w:line="600" w:lineRule="exact"/>
        <w:ind w:firstLine="640" w:firstLineChars="200"/>
        <w:rPr>
          <w:rFonts w:ascii="Times New Roman" w:hAnsi="Times New Roman"/>
          <w:color w:val="000000"/>
        </w:rPr>
      </w:pPr>
      <w:r>
        <w:rPr>
          <w:rFonts w:ascii="Times New Roman" w:hAnsi="Times New Roman"/>
          <w:color w:val="000000"/>
        </w:rPr>
        <w:br w:type="page"/>
      </w:r>
    </w:p>
    <w:p w14:paraId="0F46D02C">
      <w:pPr>
        <w:adjustRightInd w:val="0"/>
        <w:snapToGrid w:val="0"/>
        <w:spacing w:line="600" w:lineRule="exact"/>
        <w:ind w:firstLine="627" w:firstLineChars="196"/>
        <w:rPr>
          <w:rFonts w:ascii="Times New Roman" w:hAnsi="Times New Roman"/>
          <w:color w:val="000000"/>
          <w:kern w:val="0"/>
        </w:rPr>
      </w:pPr>
    </w:p>
    <w:p w14:paraId="56702CD4">
      <w:pPr>
        <w:pStyle w:val="22"/>
        <w:snapToGrid w:val="0"/>
        <w:spacing w:line="600" w:lineRule="exact"/>
        <w:ind w:left="1200" w:hanging="1200"/>
        <w:rPr>
          <w:sz w:val="28"/>
          <w:szCs w:val="28"/>
        </w:rPr>
      </w:pPr>
      <w:r>
        <w:rPr>
          <w:b/>
          <w:szCs w:val="32"/>
        </w:rPr>
        <mc:AlternateContent>
          <mc:Choice Requires="wps">
            <w:drawing>
              <wp:anchor distT="0" distB="0" distL="114300" distR="114300" simplePos="0" relativeHeight="251661312" behindDoc="0" locked="0" layoutInCell="1" allowOverlap="1">
                <wp:simplePos x="0" y="0"/>
                <wp:positionH relativeFrom="column">
                  <wp:posOffset>7620</wp:posOffset>
                </wp:positionH>
                <wp:positionV relativeFrom="paragraph">
                  <wp:posOffset>57785</wp:posOffset>
                </wp:positionV>
                <wp:extent cx="5687695" cy="0"/>
                <wp:effectExtent l="0" t="4445" r="0" b="5080"/>
                <wp:wrapNone/>
                <wp:docPr id="3" name="直线 40"/>
                <wp:cNvGraphicFramePr/>
                <a:graphic xmlns:a="http://schemas.openxmlformats.org/drawingml/2006/main">
                  <a:graphicData uri="http://schemas.microsoft.com/office/word/2010/wordprocessingShape">
                    <wps:wsp>
                      <wps:cNvCnPr/>
                      <wps:spPr>
                        <a:xfrm>
                          <a:off x="0" y="0"/>
                          <a:ext cx="5687695"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线 40" o:spid="_x0000_s1026" o:spt="20" style="position:absolute;left:0pt;margin-left:0.6pt;margin-top:4.55pt;height:0pt;width:447.85pt;z-index:251661312;mso-width-relative:page;mso-height-relative:page;" filled="f" stroked="t" coordsize="21600,21600" o:gfxdata="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Bs5+j90gAAAAUBAAAPAAAAAAAA&#10;AAEAIAAAACIAAABkcnMvZG93bnJldi54bWxQSwECFAAUAAAACACHTuJAwd3Mr98BAADQAwAADgAA&#10;AAAAAAABACAAAAAhAQAAZHJzL2Uyb0RvYy54bWxQSwUGAAAAAAYABgBZAQAAcgUAAAAA&#10;">
                <v:fill on="f" focussize="0,0"/>
                <v:stroke color="#000000" joinstyle="round"/>
                <v:imagedata o:title=""/>
                <o:lock v:ext="edit" aspectratio="f"/>
              </v:line>
            </w:pict>
          </mc:Fallback>
        </mc:AlternateContent>
      </w:r>
      <w:r>
        <w:rPr>
          <w:sz w:val="28"/>
          <w:szCs w:val="28"/>
        </w:rPr>
        <w:t xml:space="preserve">  抄送：市委各部门，市纪委市监委</w:t>
      </w:r>
      <w:r>
        <w:rPr>
          <w:rFonts w:hint="eastAsia"/>
          <w:sz w:val="28"/>
          <w:szCs w:val="28"/>
        </w:rPr>
        <w:t>，</w:t>
      </w:r>
      <w:r>
        <w:rPr>
          <w:sz w:val="28"/>
          <w:szCs w:val="28"/>
        </w:rPr>
        <w:t>市人大常委会</w:t>
      </w:r>
      <w:r>
        <w:rPr>
          <w:rFonts w:hint="eastAsia"/>
          <w:sz w:val="28"/>
          <w:szCs w:val="28"/>
        </w:rPr>
        <w:t>，</w:t>
      </w:r>
      <w:r>
        <w:rPr>
          <w:sz w:val="28"/>
          <w:szCs w:val="28"/>
        </w:rPr>
        <w:t>市政协，新余军分区，市中级法院，市检察院，群众团体。</w:t>
      </w:r>
    </w:p>
    <w:p w14:paraId="09C98A8F">
      <w:pPr>
        <w:pStyle w:val="22"/>
        <w:snapToGrid w:val="0"/>
        <w:spacing w:line="600" w:lineRule="exact"/>
      </w:pPr>
      <w:r>
        <w:rPr>
          <w:sz w:val="28"/>
          <w:szCs w:val="28"/>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429260</wp:posOffset>
                </wp:positionV>
                <wp:extent cx="5687695" cy="0"/>
                <wp:effectExtent l="0" t="4445" r="0" b="5080"/>
                <wp:wrapNone/>
                <wp:docPr id="4" name="直线 41"/>
                <wp:cNvGraphicFramePr/>
                <a:graphic xmlns:a="http://schemas.openxmlformats.org/drawingml/2006/main">
                  <a:graphicData uri="http://schemas.microsoft.com/office/word/2010/wordprocessingShape">
                    <wps:wsp>
                      <wps:cNvCnPr/>
                      <wps:spPr>
                        <a:xfrm>
                          <a:off x="0" y="0"/>
                          <a:ext cx="5687695"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线 41" o:spid="_x0000_s1026" o:spt="20" style="position:absolute;left:0pt;margin-left:0pt;margin-top:33.8pt;height:0pt;width:447.85pt;z-index:251662336;mso-width-relative:page;mso-height-relative:page;" filled="f" stroked="t" coordsize="21600,21600" o:gfxdata="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0l2+4tQAAAAGAQAADwAA&#10;AAAAAAABACAAAAAiAAAAZHJzL2Rvd25yZXYueG1sUEsBAhQAFAAAAAgAh07iQBej96XhAQAA0AMA&#10;AA4AAAAAAAAAAQAgAAAAIwEAAGRycy9lMm9Eb2MueG1sUEsFBgAAAAAGAAYAWQEAAHYFAAAAAA==&#10;">
                <v:fill on="f" focussize="0,0"/>
                <v:stroke color="#000000" joinstyle="round"/>
                <v:imagedata o:title=""/>
                <o:lock v:ext="edit" aspectratio="f"/>
              </v:line>
            </w:pict>
          </mc:Fallback>
        </mc:AlternateContent>
      </w:r>
      <w:r>
        <w:rPr>
          <w:sz w:val="28"/>
          <w:szCs w:val="28"/>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44450</wp:posOffset>
                </wp:positionV>
                <wp:extent cx="5687695" cy="0"/>
                <wp:effectExtent l="0" t="4445" r="0" b="5080"/>
                <wp:wrapNone/>
                <wp:docPr id="2" name="直线 42"/>
                <wp:cNvGraphicFramePr/>
                <a:graphic xmlns:a="http://schemas.openxmlformats.org/drawingml/2006/main">
                  <a:graphicData uri="http://schemas.microsoft.com/office/word/2010/wordprocessingShape">
                    <wps:wsp>
                      <wps:cNvCnPr/>
                      <wps:spPr>
                        <a:xfrm>
                          <a:off x="0" y="0"/>
                          <a:ext cx="5687695"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线 42" o:spid="_x0000_s1026" o:spt="20" style="position:absolute;left:0pt;margin-left:0pt;margin-top:3.5pt;height:0pt;width:447.85pt;z-index:251660288;mso-width-relative:page;mso-height-relative:page;" filled="f" stroked="t" coordsize="21600,21600" o:gfxdata="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mnmwD0wAAAAQBAAAPAAAA&#10;AAAAAAEAIAAAACIAAABkcnMvZG93bnJldi54bWxQSwECFAAUAAAACACHTuJAS5s/leEBAADQAwAA&#10;DgAAAAAAAAABACAAAAAiAQAAZHJzL2Uyb0RvYy54bWxQSwUGAAAAAAYABgBZAQAAdQUAAAAA&#10;">
                <v:fill on="f" focussize="0,0"/>
                <v:stroke color="#000000" joinstyle="round"/>
                <v:imagedata o:title=""/>
                <o:lock v:ext="edit" aspectratio="f"/>
              </v:line>
            </w:pict>
          </mc:Fallback>
        </mc:AlternateContent>
      </w:r>
      <w:r>
        <w:rPr>
          <w:sz w:val="28"/>
          <w:szCs w:val="28"/>
        </w:rPr>
        <w:t xml:space="preserve">  新余市人民政府办公室秘书科            202</w:t>
      </w:r>
      <w:r>
        <w:rPr>
          <w:rFonts w:hint="eastAsia"/>
          <w:sz w:val="28"/>
          <w:szCs w:val="28"/>
        </w:rPr>
        <w:t>2</w:t>
      </w:r>
      <w:r>
        <w:rPr>
          <w:sz w:val="28"/>
          <w:szCs w:val="28"/>
        </w:rPr>
        <w:t>年</w:t>
      </w:r>
      <w:r>
        <w:rPr>
          <w:rFonts w:hint="eastAsia"/>
          <w:sz w:val="28"/>
          <w:szCs w:val="28"/>
        </w:rPr>
        <w:t>1</w:t>
      </w:r>
      <w:r>
        <w:rPr>
          <w:sz w:val="28"/>
          <w:szCs w:val="28"/>
        </w:rPr>
        <w:t>月</w:t>
      </w:r>
      <w:r>
        <w:rPr>
          <w:rFonts w:hint="eastAsia"/>
          <w:sz w:val="28"/>
          <w:szCs w:val="28"/>
        </w:rPr>
        <w:t>11</w:t>
      </w:r>
      <w:r>
        <w:rPr>
          <w:sz w:val="28"/>
          <w:szCs w:val="28"/>
        </w:rPr>
        <w:t>日印发</w:t>
      </w:r>
    </w:p>
    <w:p w14:paraId="1F880718">
      <w:pPr>
        <w:pStyle w:val="2"/>
        <w:ind w:firstLine="400"/>
        <w:rPr>
          <w:rFonts w:ascii="Times New Roman" w:hAnsi="Times New Roman"/>
        </w:rPr>
      </w:pPr>
    </w:p>
    <w:p w14:paraId="424D7D82">
      <w:pPr>
        <w:rPr>
          <w:rFonts w:ascii="Times New Roman" w:hAnsi="Times New Roman"/>
        </w:rPr>
      </w:pPr>
    </w:p>
    <w:p w14:paraId="41CE0291">
      <w:pPr>
        <w:rPr>
          <w:rFonts w:ascii="Times New Roman" w:hAnsi="Times New Roman"/>
        </w:rPr>
      </w:pPr>
    </w:p>
    <w:p w14:paraId="51CA680C">
      <w:pPr>
        <w:rPr>
          <w:rFonts w:ascii="Times New Roman" w:hAnsi="Times New Roman"/>
        </w:rPr>
      </w:pPr>
    </w:p>
    <w:sectPr>
      <w:footerReference r:id="rId4" w:type="default"/>
      <w:footerReference r:id="rId5" w:type="even"/>
      <w:pgSz w:w="11906" w:h="16838"/>
      <w:pgMar w:top="2098" w:right="1474" w:bottom="1984" w:left="1587" w:header="0" w:footer="1587" w:gutter="0"/>
      <w:paperSrc w:first="262" w:other="262"/>
      <w:pgNumType w:fmt="numberInDash"/>
      <w:cols w:space="720" w:num="1"/>
      <w:docGrid w:type="linesAndChars" w:linePitch="57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imes">
    <w:altName w:val="Times New Roman"/>
    <w:panose1 w:val="02020603050405020304"/>
    <w:charset w:val="00"/>
    <w:family w:val="roman"/>
    <w:pitch w:val="default"/>
    <w:sig w:usb0="00000000" w:usb1="00000000" w:usb2="00000008" w:usb3="00000000" w:csb0="0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956EB4">
    <w:pPr>
      <w:pStyle w:val="5"/>
      <w:jc w:val="center"/>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B9150AC">
                          <w:pPr>
                            <w:pStyle w:val="5"/>
                            <w:jc w:val="center"/>
                          </w:pPr>
                          <w:r>
                            <w:rPr>
                              <w:rFonts w:ascii="宋体" w:hAnsi="宋体" w:eastAsia="宋体" w:cs="宋体"/>
                              <w:sz w:val="28"/>
                              <w:szCs w:val="28"/>
                            </w:rPr>
                            <w:fldChar w:fldCharType="begin"/>
                          </w:r>
                          <w:r>
                            <w:rPr>
                              <w:rFonts w:ascii="宋体" w:hAnsi="宋体" w:eastAsia="宋体" w:cs="宋体"/>
                              <w:sz w:val="28"/>
                              <w:szCs w:val="28"/>
                            </w:rPr>
                            <w:instrText xml:space="preserve"> PAGE   \* MERGEFORMAT </w:instrText>
                          </w:r>
                          <w:r>
                            <w:rPr>
                              <w:rFonts w:ascii="宋体" w:hAnsi="宋体" w:eastAsia="宋体" w:cs="宋体"/>
                              <w:sz w:val="28"/>
                              <w:szCs w:val="28"/>
                              <w:lang w:val="en-US"/>
                            </w:rPr>
                            <w:fldChar w:fldCharType="separate"/>
                          </w:r>
                          <w:r>
                            <w:rPr>
                              <w:rFonts w:ascii="宋体" w:hAnsi="宋体" w:eastAsia="宋体" w:cs="宋体"/>
                              <w:sz w:val="28"/>
                              <w:szCs w:val="28"/>
                              <w:lang w:val="zh-CN"/>
                            </w:rPr>
                            <w:t>I</w:t>
                          </w:r>
                          <w:r>
                            <w:rPr>
                              <w:rFonts w:ascii="宋体" w:hAnsi="宋体" w:eastAsia="宋体" w:cs="宋体"/>
                              <w:sz w:val="28"/>
                              <w:szCs w:val="28"/>
                              <w:lang w:val="zh-CN"/>
                            </w:rPr>
                            <w:fldChar w:fldCharType="end"/>
                          </w:r>
                        </w:p>
                      </w:txbxContent>
                    </wps:txbx>
                    <wps:bodyPr vert="horz" wrap="none" lIns="0" tIns="0" rIns="0" bIns="0" anchor="t" anchorCtr="0">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DOqXm5zwAAAAUBAAAPAAAAAAAAAAEAIAAAACIAAABk&#10;cnMvZG93bnJldi54bWxQSwECFAAUAAAACACHTuJA3MFtxtYBAACyAwAADgAAAAAAAAABACAAAAAe&#10;AQAAZHJzL2Uyb0RvYy54bWxQSwUGAAAAAAYABgBZAQAAZgUAAAAA&#10;">
              <v:fill on="f" focussize="0,0"/>
              <v:stroke on="f"/>
              <v:imagedata o:title=""/>
              <o:lock v:ext="edit" aspectratio="f"/>
              <v:textbox inset="0mm,0mm,0mm,0mm" style="mso-fit-shape-to-text:t;">
                <w:txbxContent>
                  <w:p w14:paraId="0B9150AC">
                    <w:pPr>
                      <w:pStyle w:val="5"/>
                      <w:jc w:val="center"/>
                    </w:pPr>
                    <w:r>
                      <w:rPr>
                        <w:rFonts w:ascii="宋体" w:hAnsi="宋体" w:eastAsia="宋体" w:cs="宋体"/>
                        <w:sz w:val="28"/>
                        <w:szCs w:val="28"/>
                      </w:rPr>
                      <w:fldChar w:fldCharType="begin"/>
                    </w:r>
                    <w:r>
                      <w:rPr>
                        <w:rFonts w:ascii="宋体" w:hAnsi="宋体" w:eastAsia="宋体" w:cs="宋体"/>
                        <w:sz w:val="28"/>
                        <w:szCs w:val="28"/>
                      </w:rPr>
                      <w:instrText xml:space="preserve"> PAGE   \* MERGEFORMAT </w:instrText>
                    </w:r>
                    <w:r>
                      <w:rPr>
                        <w:rFonts w:ascii="宋体" w:hAnsi="宋体" w:eastAsia="宋体" w:cs="宋体"/>
                        <w:sz w:val="28"/>
                        <w:szCs w:val="28"/>
                        <w:lang w:val="en-US"/>
                      </w:rPr>
                      <w:fldChar w:fldCharType="separate"/>
                    </w:r>
                    <w:r>
                      <w:rPr>
                        <w:rFonts w:ascii="宋体" w:hAnsi="宋体" w:eastAsia="宋体" w:cs="宋体"/>
                        <w:sz w:val="28"/>
                        <w:szCs w:val="28"/>
                        <w:lang w:val="zh-CN"/>
                      </w:rPr>
                      <w:t>I</w:t>
                    </w:r>
                    <w:r>
                      <w:rPr>
                        <w:rFonts w:ascii="宋体" w:hAnsi="宋体" w:eastAsia="宋体" w:cs="宋体"/>
                        <w:sz w:val="28"/>
                        <w:szCs w:val="28"/>
                        <w:lang w:val="zh-CN"/>
                      </w:rPr>
                      <w:fldChar w:fldCharType="end"/>
                    </w:r>
                  </w:p>
                </w:txbxContent>
              </v:textbox>
            </v:shape>
          </w:pict>
        </mc:Fallback>
      </mc:AlternateContent>
    </w:r>
  </w:p>
  <w:p w14:paraId="2ED5C535">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DD35F2">
    <w:pPr>
      <w:pStyle w:val="5"/>
      <w:ind w:right="360" w:firstLine="360"/>
      <w:jc w:val="right"/>
      <w:rPr>
        <w:rFonts w:ascii="宋体" w:hAnsi="宋体" w:eastAsia="宋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C4C0A00">
                          <w:pPr>
                            <w:pStyle w:val="5"/>
                            <w:ind w:right="360" w:firstLine="360"/>
                            <w:jc w:val="right"/>
                          </w:pPr>
                          <w:r>
                            <w:rPr>
                              <w:rFonts w:hint="eastAsia" w:ascii="宋体" w:hAnsi="宋体" w:eastAsia="宋体"/>
                              <w:kern w:val="0"/>
                              <w:sz w:val="28"/>
                              <w:szCs w:val="28"/>
                            </w:rPr>
                            <w:t xml:space="preserve"> </w:t>
                          </w:r>
                          <w:r>
                            <w:rPr>
                              <w:rFonts w:ascii="宋体" w:hAnsi="宋体" w:eastAsia="宋体"/>
                              <w:kern w:val="0"/>
                              <w:sz w:val="28"/>
                              <w:szCs w:val="28"/>
                            </w:rPr>
                            <w:fldChar w:fldCharType="begin"/>
                          </w:r>
                          <w:r>
                            <w:rPr>
                              <w:rFonts w:ascii="宋体" w:hAnsi="宋体" w:eastAsia="宋体"/>
                              <w:kern w:val="0"/>
                              <w:sz w:val="28"/>
                              <w:szCs w:val="28"/>
                            </w:rPr>
                            <w:instrText xml:space="preserve"> PAGE </w:instrText>
                          </w:r>
                          <w:r>
                            <w:rPr>
                              <w:rFonts w:ascii="宋体" w:hAnsi="宋体" w:eastAsia="宋体"/>
                              <w:kern w:val="0"/>
                              <w:sz w:val="28"/>
                              <w:szCs w:val="28"/>
                            </w:rPr>
                            <w:fldChar w:fldCharType="separate"/>
                          </w:r>
                          <w:r>
                            <w:rPr>
                              <w:rFonts w:ascii="宋体" w:hAnsi="宋体" w:eastAsia="宋体"/>
                              <w:kern w:val="0"/>
                              <w:sz w:val="28"/>
                              <w:szCs w:val="28"/>
                            </w:rPr>
                            <w:t>1</w:t>
                          </w:r>
                          <w:r>
                            <w:rPr>
                              <w:rFonts w:ascii="宋体" w:hAnsi="宋体" w:eastAsia="宋体"/>
                              <w:kern w:val="0"/>
                              <w:sz w:val="28"/>
                              <w:szCs w:val="28"/>
                            </w:rPr>
                            <w:fldChar w:fldCharType="end"/>
                          </w:r>
                          <w:r>
                            <w:rPr>
                              <w:rFonts w:hint="eastAsia" w:ascii="宋体" w:hAnsi="宋体" w:eastAsia="宋体"/>
                              <w:kern w:val="0"/>
                              <w:sz w:val="28"/>
                              <w:szCs w:val="28"/>
                            </w:rPr>
                            <w:t xml:space="preserve"> </w:t>
                          </w:r>
                        </w:p>
                      </w:txbxContent>
                    </wps:txbx>
                    <wps:bodyPr vert="horz" wrap="none" lIns="0" tIns="0" rIns="0" bIns="0" anchor="t" anchorCtr="0">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GV/pAvXAQAAsgMAAA4AAAAAAAAAAQAgAAAA&#10;HgEAAGRycy9lMm9Eb2MueG1sUEsFBgAAAAAGAAYAWQEAAGcFAAAAAA==&#10;">
              <v:fill on="f" focussize="0,0"/>
              <v:stroke on="f"/>
              <v:imagedata o:title=""/>
              <o:lock v:ext="edit" aspectratio="f"/>
              <v:textbox inset="0mm,0mm,0mm,0mm" style="mso-fit-shape-to-text:t;">
                <w:txbxContent>
                  <w:p w14:paraId="7C4C0A00">
                    <w:pPr>
                      <w:pStyle w:val="5"/>
                      <w:ind w:right="360" w:firstLine="360"/>
                      <w:jc w:val="right"/>
                    </w:pPr>
                    <w:r>
                      <w:rPr>
                        <w:rFonts w:hint="eastAsia" w:ascii="宋体" w:hAnsi="宋体" w:eastAsia="宋体"/>
                        <w:kern w:val="0"/>
                        <w:sz w:val="28"/>
                        <w:szCs w:val="28"/>
                      </w:rPr>
                      <w:t xml:space="preserve"> </w:t>
                    </w:r>
                    <w:r>
                      <w:rPr>
                        <w:rFonts w:ascii="宋体" w:hAnsi="宋体" w:eastAsia="宋体"/>
                        <w:kern w:val="0"/>
                        <w:sz w:val="28"/>
                        <w:szCs w:val="28"/>
                      </w:rPr>
                      <w:fldChar w:fldCharType="begin"/>
                    </w:r>
                    <w:r>
                      <w:rPr>
                        <w:rFonts w:ascii="宋体" w:hAnsi="宋体" w:eastAsia="宋体"/>
                        <w:kern w:val="0"/>
                        <w:sz w:val="28"/>
                        <w:szCs w:val="28"/>
                      </w:rPr>
                      <w:instrText xml:space="preserve"> PAGE </w:instrText>
                    </w:r>
                    <w:r>
                      <w:rPr>
                        <w:rFonts w:ascii="宋体" w:hAnsi="宋体" w:eastAsia="宋体"/>
                        <w:kern w:val="0"/>
                        <w:sz w:val="28"/>
                        <w:szCs w:val="28"/>
                      </w:rPr>
                      <w:fldChar w:fldCharType="separate"/>
                    </w:r>
                    <w:r>
                      <w:rPr>
                        <w:rFonts w:ascii="宋体" w:hAnsi="宋体" w:eastAsia="宋体"/>
                        <w:kern w:val="0"/>
                        <w:sz w:val="28"/>
                        <w:szCs w:val="28"/>
                      </w:rPr>
                      <w:t>1</w:t>
                    </w:r>
                    <w:r>
                      <w:rPr>
                        <w:rFonts w:ascii="宋体" w:hAnsi="宋体" w:eastAsia="宋体"/>
                        <w:kern w:val="0"/>
                        <w:sz w:val="28"/>
                        <w:szCs w:val="28"/>
                      </w:rPr>
                      <w:fldChar w:fldCharType="end"/>
                    </w:r>
                    <w:r>
                      <w:rPr>
                        <w:rFonts w:hint="eastAsia" w:ascii="宋体" w:hAnsi="宋体" w:eastAsia="宋体"/>
                        <w:kern w:val="0"/>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38D0C8">
    <w:pPr>
      <w:pStyle w:val="5"/>
      <w:ind w:right="360" w:firstLine="360"/>
      <w:rPr>
        <w:rFonts w:ascii="宋体" w:hAnsi="宋体" w:eastAsia="宋体"/>
        <w:sz w:val="28"/>
        <w:szCs w:val="28"/>
      </w:rPr>
    </w:pPr>
    <w:r>
      <w:rPr>
        <w:rFonts w:hint="eastAsia" w:ascii="宋体" w:hAnsi="宋体" w:eastAsia="宋体"/>
        <w:kern w:val="0"/>
        <w:sz w:val="28"/>
        <w:szCs w:val="28"/>
      </w:rPr>
      <w:t>－</w:t>
    </w:r>
    <w:r>
      <w:rPr>
        <w:rFonts w:ascii="宋体" w:hAnsi="宋体" w:eastAsia="宋体"/>
        <w:kern w:val="0"/>
        <w:sz w:val="28"/>
        <w:szCs w:val="28"/>
      </w:rPr>
      <w:t xml:space="preserve"> </w:t>
    </w:r>
    <w:r>
      <w:rPr>
        <w:rFonts w:ascii="宋体" w:hAnsi="宋体" w:eastAsia="宋体"/>
        <w:kern w:val="0"/>
        <w:sz w:val="28"/>
        <w:szCs w:val="28"/>
      </w:rPr>
      <w:fldChar w:fldCharType="begin"/>
    </w:r>
    <w:r>
      <w:rPr>
        <w:rFonts w:ascii="宋体" w:hAnsi="宋体" w:eastAsia="宋体"/>
        <w:kern w:val="0"/>
        <w:sz w:val="28"/>
        <w:szCs w:val="28"/>
      </w:rPr>
      <w:instrText xml:space="preserve"> PAGE </w:instrText>
    </w:r>
    <w:r>
      <w:rPr>
        <w:rFonts w:ascii="宋体" w:hAnsi="宋体" w:eastAsia="宋体"/>
        <w:kern w:val="0"/>
        <w:sz w:val="28"/>
        <w:szCs w:val="28"/>
      </w:rPr>
      <w:fldChar w:fldCharType="separate"/>
    </w:r>
    <w:r>
      <w:rPr>
        <w:rFonts w:ascii="宋体" w:hAnsi="宋体" w:eastAsia="宋体"/>
        <w:kern w:val="0"/>
        <w:sz w:val="28"/>
        <w:szCs w:val="28"/>
      </w:rPr>
      <w:t>2</w:t>
    </w:r>
    <w:r>
      <w:rPr>
        <w:rFonts w:ascii="宋体" w:hAnsi="宋体" w:eastAsia="宋体"/>
        <w:kern w:val="0"/>
        <w:sz w:val="28"/>
        <w:szCs w:val="28"/>
      </w:rPr>
      <w:fldChar w:fldCharType="end"/>
    </w:r>
    <w:r>
      <w:rPr>
        <w:rFonts w:ascii="宋体" w:hAnsi="宋体" w:eastAsia="宋体"/>
        <w:kern w:val="0"/>
        <w:sz w:val="28"/>
        <w:szCs w:val="28"/>
      </w:rPr>
      <w:t xml:space="preserve"> </w:t>
    </w:r>
    <w:r>
      <w:rPr>
        <w:rFonts w:hint="eastAsia" w:ascii="宋体" w:hAnsi="宋体" w:eastAsia="宋体"/>
        <w:kern w:val="0"/>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420"/>
  <w:drawingGridHorizontalSpacing w:val="160"/>
  <w:drawingGridVerticalSpacing w:val="579"/>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NiZWMzYjg4YmJjMTM2M2RlYTIwNjc3ZWIxNWIyYzcifQ=="/>
  </w:docVars>
  <w:rsids>
    <w:rsidRoot w:val="000910DD"/>
    <w:rsid w:val="000043FB"/>
    <w:rsid w:val="0001560C"/>
    <w:rsid w:val="000242B3"/>
    <w:rsid w:val="00040151"/>
    <w:rsid w:val="00040CA2"/>
    <w:rsid w:val="000430E9"/>
    <w:rsid w:val="00050FB2"/>
    <w:rsid w:val="00051136"/>
    <w:rsid w:val="000566E4"/>
    <w:rsid w:val="0005748E"/>
    <w:rsid w:val="00066250"/>
    <w:rsid w:val="00074A3C"/>
    <w:rsid w:val="000750B4"/>
    <w:rsid w:val="00076696"/>
    <w:rsid w:val="000910DD"/>
    <w:rsid w:val="00091526"/>
    <w:rsid w:val="00094F86"/>
    <w:rsid w:val="0009537B"/>
    <w:rsid w:val="000A156D"/>
    <w:rsid w:val="000A3E92"/>
    <w:rsid w:val="000B4834"/>
    <w:rsid w:val="000D1945"/>
    <w:rsid w:val="000E3A32"/>
    <w:rsid w:val="000F748B"/>
    <w:rsid w:val="001011F3"/>
    <w:rsid w:val="001149F9"/>
    <w:rsid w:val="0012217E"/>
    <w:rsid w:val="0014294E"/>
    <w:rsid w:val="00143C5A"/>
    <w:rsid w:val="00165FA6"/>
    <w:rsid w:val="0017232C"/>
    <w:rsid w:val="00183A6A"/>
    <w:rsid w:val="001A02F1"/>
    <w:rsid w:val="001C37AE"/>
    <w:rsid w:val="001C3848"/>
    <w:rsid w:val="001C51A4"/>
    <w:rsid w:val="001E5BE0"/>
    <w:rsid w:val="001F178A"/>
    <w:rsid w:val="001F799E"/>
    <w:rsid w:val="002027E9"/>
    <w:rsid w:val="00202D66"/>
    <w:rsid w:val="00202F19"/>
    <w:rsid w:val="00205024"/>
    <w:rsid w:val="00211F38"/>
    <w:rsid w:val="002178C1"/>
    <w:rsid w:val="00225830"/>
    <w:rsid w:val="00227423"/>
    <w:rsid w:val="002313DB"/>
    <w:rsid w:val="00232C60"/>
    <w:rsid w:val="0023328C"/>
    <w:rsid w:val="002448CC"/>
    <w:rsid w:val="002449C0"/>
    <w:rsid w:val="00247470"/>
    <w:rsid w:val="00253EB8"/>
    <w:rsid w:val="00266F29"/>
    <w:rsid w:val="00267895"/>
    <w:rsid w:val="002751E9"/>
    <w:rsid w:val="0029071E"/>
    <w:rsid w:val="0029254F"/>
    <w:rsid w:val="00297470"/>
    <w:rsid w:val="002A5372"/>
    <w:rsid w:val="002B27B7"/>
    <w:rsid w:val="002B452E"/>
    <w:rsid w:val="002D2022"/>
    <w:rsid w:val="002E121B"/>
    <w:rsid w:val="002F007E"/>
    <w:rsid w:val="00300164"/>
    <w:rsid w:val="00303933"/>
    <w:rsid w:val="00307F79"/>
    <w:rsid w:val="003150E8"/>
    <w:rsid w:val="00315321"/>
    <w:rsid w:val="0032429C"/>
    <w:rsid w:val="003476CF"/>
    <w:rsid w:val="00351955"/>
    <w:rsid w:val="003542A4"/>
    <w:rsid w:val="00356770"/>
    <w:rsid w:val="00363A20"/>
    <w:rsid w:val="00363C14"/>
    <w:rsid w:val="0037340F"/>
    <w:rsid w:val="00374E39"/>
    <w:rsid w:val="00387A48"/>
    <w:rsid w:val="00394946"/>
    <w:rsid w:val="00394956"/>
    <w:rsid w:val="003A06B8"/>
    <w:rsid w:val="003B246D"/>
    <w:rsid w:val="003B30EE"/>
    <w:rsid w:val="003B630C"/>
    <w:rsid w:val="003B778E"/>
    <w:rsid w:val="003C04CC"/>
    <w:rsid w:val="003D3AEA"/>
    <w:rsid w:val="003D5C3A"/>
    <w:rsid w:val="003E0B4B"/>
    <w:rsid w:val="003E3518"/>
    <w:rsid w:val="003E36C1"/>
    <w:rsid w:val="003F14ED"/>
    <w:rsid w:val="003F7658"/>
    <w:rsid w:val="003F77B0"/>
    <w:rsid w:val="00402EEA"/>
    <w:rsid w:val="004146A3"/>
    <w:rsid w:val="0042028B"/>
    <w:rsid w:val="004312DD"/>
    <w:rsid w:val="00431F54"/>
    <w:rsid w:val="004321AD"/>
    <w:rsid w:val="0045007C"/>
    <w:rsid w:val="00454D99"/>
    <w:rsid w:val="00455347"/>
    <w:rsid w:val="00455624"/>
    <w:rsid w:val="00463BBA"/>
    <w:rsid w:val="0046789F"/>
    <w:rsid w:val="00467B74"/>
    <w:rsid w:val="0047120A"/>
    <w:rsid w:val="0047575B"/>
    <w:rsid w:val="0047740B"/>
    <w:rsid w:val="004814B0"/>
    <w:rsid w:val="0048621A"/>
    <w:rsid w:val="0049042C"/>
    <w:rsid w:val="0049208F"/>
    <w:rsid w:val="00492A4B"/>
    <w:rsid w:val="004A7176"/>
    <w:rsid w:val="004C004D"/>
    <w:rsid w:val="004C3E02"/>
    <w:rsid w:val="004C5D40"/>
    <w:rsid w:val="004D63D9"/>
    <w:rsid w:val="004E35F3"/>
    <w:rsid w:val="004F096D"/>
    <w:rsid w:val="004F7A3B"/>
    <w:rsid w:val="00500B41"/>
    <w:rsid w:val="005048DC"/>
    <w:rsid w:val="00505FC3"/>
    <w:rsid w:val="0051480C"/>
    <w:rsid w:val="00514932"/>
    <w:rsid w:val="005172F0"/>
    <w:rsid w:val="005173A6"/>
    <w:rsid w:val="00520C2F"/>
    <w:rsid w:val="00522A52"/>
    <w:rsid w:val="00523C60"/>
    <w:rsid w:val="00535992"/>
    <w:rsid w:val="005402DF"/>
    <w:rsid w:val="00555F4B"/>
    <w:rsid w:val="00560557"/>
    <w:rsid w:val="00566C59"/>
    <w:rsid w:val="00571BD5"/>
    <w:rsid w:val="0057326F"/>
    <w:rsid w:val="00585F4B"/>
    <w:rsid w:val="00597EFC"/>
    <w:rsid w:val="005A6FB0"/>
    <w:rsid w:val="005B2628"/>
    <w:rsid w:val="005B7628"/>
    <w:rsid w:val="005C51E5"/>
    <w:rsid w:val="005D40A2"/>
    <w:rsid w:val="005F1309"/>
    <w:rsid w:val="00605205"/>
    <w:rsid w:val="00617D85"/>
    <w:rsid w:val="00623158"/>
    <w:rsid w:val="00627A07"/>
    <w:rsid w:val="00635783"/>
    <w:rsid w:val="00637770"/>
    <w:rsid w:val="006636AE"/>
    <w:rsid w:val="00666007"/>
    <w:rsid w:val="00673F4D"/>
    <w:rsid w:val="00685940"/>
    <w:rsid w:val="00687882"/>
    <w:rsid w:val="006B722F"/>
    <w:rsid w:val="006D361D"/>
    <w:rsid w:val="006D5FCC"/>
    <w:rsid w:val="006E275D"/>
    <w:rsid w:val="006E4D91"/>
    <w:rsid w:val="006F1CAD"/>
    <w:rsid w:val="00700EBD"/>
    <w:rsid w:val="00701B51"/>
    <w:rsid w:val="00706421"/>
    <w:rsid w:val="007127E4"/>
    <w:rsid w:val="00717CA2"/>
    <w:rsid w:val="00735060"/>
    <w:rsid w:val="00744C2C"/>
    <w:rsid w:val="00761C50"/>
    <w:rsid w:val="00765100"/>
    <w:rsid w:val="0077386F"/>
    <w:rsid w:val="00776702"/>
    <w:rsid w:val="007843AE"/>
    <w:rsid w:val="007919BB"/>
    <w:rsid w:val="00794C2F"/>
    <w:rsid w:val="007A180F"/>
    <w:rsid w:val="007A35BD"/>
    <w:rsid w:val="007A4FD0"/>
    <w:rsid w:val="007C213E"/>
    <w:rsid w:val="007C3D20"/>
    <w:rsid w:val="007E0831"/>
    <w:rsid w:val="007E5BF7"/>
    <w:rsid w:val="007F0EE6"/>
    <w:rsid w:val="007F1DE1"/>
    <w:rsid w:val="007F4B9F"/>
    <w:rsid w:val="00807208"/>
    <w:rsid w:val="008211E4"/>
    <w:rsid w:val="008242AE"/>
    <w:rsid w:val="00826305"/>
    <w:rsid w:val="008300ED"/>
    <w:rsid w:val="008322FD"/>
    <w:rsid w:val="00840255"/>
    <w:rsid w:val="00841150"/>
    <w:rsid w:val="0085178D"/>
    <w:rsid w:val="00851A47"/>
    <w:rsid w:val="0085288F"/>
    <w:rsid w:val="00860611"/>
    <w:rsid w:val="00863216"/>
    <w:rsid w:val="00863583"/>
    <w:rsid w:val="00863789"/>
    <w:rsid w:val="00876DE0"/>
    <w:rsid w:val="008A0A95"/>
    <w:rsid w:val="008A3CF0"/>
    <w:rsid w:val="008A5A6D"/>
    <w:rsid w:val="008A672B"/>
    <w:rsid w:val="008A762F"/>
    <w:rsid w:val="008C02AB"/>
    <w:rsid w:val="008D12A8"/>
    <w:rsid w:val="008D797A"/>
    <w:rsid w:val="00922200"/>
    <w:rsid w:val="009240B6"/>
    <w:rsid w:val="0092576B"/>
    <w:rsid w:val="0093318E"/>
    <w:rsid w:val="0094251C"/>
    <w:rsid w:val="00952575"/>
    <w:rsid w:val="0096140A"/>
    <w:rsid w:val="0096166D"/>
    <w:rsid w:val="00964775"/>
    <w:rsid w:val="00964ECE"/>
    <w:rsid w:val="00982A32"/>
    <w:rsid w:val="009837AE"/>
    <w:rsid w:val="009915F8"/>
    <w:rsid w:val="00993A48"/>
    <w:rsid w:val="009967A2"/>
    <w:rsid w:val="00996FD0"/>
    <w:rsid w:val="009C11BA"/>
    <w:rsid w:val="009E169E"/>
    <w:rsid w:val="009E2398"/>
    <w:rsid w:val="009F0CD3"/>
    <w:rsid w:val="009F212C"/>
    <w:rsid w:val="009F70DE"/>
    <w:rsid w:val="00A01159"/>
    <w:rsid w:val="00A048C7"/>
    <w:rsid w:val="00A07811"/>
    <w:rsid w:val="00A165CB"/>
    <w:rsid w:val="00A21715"/>
    <w:rsid w:val="00A24C41"/>
    <w:rsid w:val="00A26EBE"/>
    <w:rsid w:val="00A328D3"/>
    <w:rsid w:val="00A47AD4"/>
    <w:rsid w:val="00A60BE0"/>
    <w:rsid w:val="00A93BA7"/>
    <w:rsid w:val="00AB2EFA"/>
    <w:rsid w:val="00AC154C"/>
    <w:rsid w:val="00AC51A1"/>
    <w:rsid w:val="00AD48A4"/>
    <w:rsid w:val="00AE121C"/>
    <w:rsid w:val="00AE1764"/>
    <w:rsid w:val="00AE38EB"/>
    <w:rsid w:val="00AE5D57"/>
    <w:rsid w:val="00AF2297"/>
    <w:rsid w:val="00AF600D"/>
    <w:rsid w:val="00B03F3E"/>
    <w:rsid w:val="00B1284A"/>
    <w:rsid w:val="00B14DDC"/>
    <w:rsid w:val="00B34780"/>
    <w:rsid w:val="00B542BF"/>
    <w:rsid w:val="00B57682"/>
    <w:rsid w:val="00B617C2"/>
    <w:rsid w:val="00B66B3E"/>
    <w:rsid w:val="00B70D77"/>
    <w:rsid w:val="00B75D05"/>
    <w:rsid w:val="00B8192D"/>
    <w:rsid w:val="00B87CC2"/>
    <w:rsid w:val="00B910BB"/>
    <w:rsid w:val="00B96AA4"/>
    <w:rsid w:val="00BB15C4"/>
    <w:rsid w:val="00BD1918"/>
    <w:rsid w:val="00BD6DCE"/>
    <w:rsid w:val="00BE3E9D"/>
    <w:rsid w:val="00BE4F0A"/>
    <w:rsid w:val="00BF6BCF"/>
    <w:rsid w:val="00C00ED5"/>
    <w:rsid w:val="00C01642"/>
    <w:rsid w:val="00C10AFD"/>
    <w:rsid w:val="00C16086"/>
    <w:rsid w:val="00C1693A"/>
    <w:rsid w:val="00C2023B"/>
    <w:rsid w:val="00C20A53"/>
    <w:rsid w:val="00C20C87"/>
    <w:rsid w:val="00C223BB"/>
    <w:rsid w:val="00C24106"/>
    <w:rsid w:val="00C276D4"/>
    <w:rsid w:val="00C31F63"/>
    <w:rsid w:val="00C34464"/>
    <w:rsid w:val="00C45954"/>
    <w:rsid w:val="00C5114B"/>
    <w:rsid w:val="00C5506F"/>
    <w:rsid w:val="00C55250"/>
    <w:rsid w:val="00C92C2B"/>
    <w:rsid w:val="00C947C0"/>
    <w:rsid w:val="00CB70C5"/>
    <w:rsid w:val="00CC179E"/>
    <w:rsid w:val="00CD1F92"/>
    <w:rsid w:val="00CD48E0"/>
    <w:rsid w:val="00CE4BC0"/>
    <w:rsid w:val="00CE4CE7"/>
    <w:rsid w:val="00CE59FD"/>
    <w:rsid w:val="00CF3251"/>
    <w:rsid w:val="00CF3FC8"/>
    <w:rsid w:val="00CF710B"/>
    <w:rsid w:val="00CF7609"/>
    <w:rsid w:val="00D01A15"/>
    <w:rsid w:val="00D154A4"/>
    <w:rsid w:val="00D1715D"/>
    <w:rsid w:val="00D17DF0"/>
    <w:rsid w:val="00D241CA"/>
    <w:rsid w:val="00D32DD1"/>
    <w:rsid w:val="00D338AD"/>
    <w:rsid w:val="00D36EAE"/>
    <w:rsid w:val="00D4408B"/>
    <w:rsid w:val="00D47E5D"/>
    <w:rsid w:val="00D52821"/>
    <w:rsid w:val="00D55B9A"/>
    <w:rsid w:val="00D6394F"/>
    <w:rsid w:val="00D6644B"/>
    <w:rsid w:val="00D7253E"/>
    <w:rsid w:val="00D84C3B"/>
    <w:rsid w:val="00D84ED0"/>
    <w:rsid w:val="00D906B1"/>
    <w:rsid w:val="00D94089"/>
    <w:rsid w:val="00DA00F5"/>
    <w:rsid w:val="00DA7770"/>
    <w:rsid w:val="00DB5B34"/>
    <w:rsid w:val="00DB651E"/>
    <w:rsid w:val="00DB7183"/>
    <w:rsid w:val="00DC1D7A"/>
    <w:rsid w:val="00DC2536"/>
    <w:rsid w:val="00DE1962"/>
    <w:rsid w:val="00DE5A0F"/>
    <w:rsid w:val="00DE5D2B"/>
    <w:rsid w:val="00DE605A"/>
    <w:rsid w:val="00DF25BA"/>
    <w:rsid w:val="00E05991"/>
    <w:rsid w:val="00E43C80"/>
    <w:rsid w:val="00E45509"/>
    <w:rsid w:val="00E456DD"/>
    <w:rsid w:val="00E504F1"/>
    <w:rsid w:val="00E54B29"/>
    <w:rsid w:val="00E554B6"/>
    <w:rsid w:val="00E57889"/>
    <w:rsid w:val="00E63B78"/>
    <w:rsid w:val="00E768CA"/>
    <w:rsid w:val="00E8782F"/>
    <w:rsid w:val="00E878E1"/>
    <w:rsid w:val="00E94708"/>
    <w:rsid w:val="00E96E9C"/>
    <w:rsid w:val="00EB3CCA"/>
    <w:rsid w:val="00EC4481"/>
    <w:rsid w:val="00EE3120"/>
    <w:rsid w:val="00EF0849"/>
    <w:rsid w:val="00EF2E43"/>
    <w:rsid w:val="00EF36DB"/>
    <w:rsid w:val="00EF727C"/>
    <w:rsid w:val="00F11025"/>
    <w:rsid w:val="00F13B4E"/>
    <w:rsid w:val="00F24D65"/>
    <w:rsid w:val="00F333DB"/>
    <w:rsid w:val="00F371F6"/>
    <w:rsid w:val="00F43031"/>
    <w:rsid w:val="00F4665F"/>
    <w:rsid w:val="00F56C83"/>
    <w:rsid w:val="00F57D94"/>
    <w:rsid w:val="00F64F54"/>
    <w:rsid w:val="00F668A7"/>
    <w:rsid w:val="00F73D70"/>
    <w:rsid w:val="00F82C78"/>
    <w:rsid w:val="00F838F0"/>
    <w:rsid w:val="00F87961"/>
    <w:rsid w:val="00F94F38"/>
    <w:rsid w:val="00FA326A"/>
    <w:rsid w:val="00FB21E9"/>
    <w:rsid w:val="00FB427A"/>
    <w:rsid w:val="00FB572C"/>
    <w:rsid w:val="00FD042C"/>
    <w:rsid w:val="00FD2ACB"/>
    <w:rsid w:val="00FD69F3"/>
    <w:rsid w:val="00FE1151"/>
    <w:rsid w:val="00FE1570"/>
    <w:rsid w:val="13D238A6"/>
    <w:rsid w:val="26B66FAE"/>
    <w:rsid w:val="3DDFF880"/>
    <w:rsid w:val="5F6DE731"/>
    <w:rsid w:val="65367342"/>
    <w:rsid w:val="66082BF5"/>
    <w:rsid w:val="6C3779C9"/>
    <w:rsid w:val="DBFF851F"/>
    <w:rsid w:val="FDFE58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0" w:semiHidden="0" w:name="toc 1"/>
    <w:lsdException w:qFormat="1"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w:hAnsi="Times" w:eastAsia="仿宋_GB2312" w:cs="Times New Roman"/>
      <w:kern w:val="2"/>
      <w:sz w:val="32"/>
      <w:szCs w:val="32"/>
      <w:lang w:val="en-US" w:eastAsia="zh-CN" w:bidi="ar-SA"/>
    </w:rPr>
  </w:style>
  <w:style w:type="character" w:default="1" w:styleId="12">
    <w:name w:val="Default Paragraph Font"/>
    <w:semiHidden/>
    <w:unhideWhenUsed/>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2">
    <w:name w:val="Body Text First Indent 2"/>
    <w:basedOn w:val="3"/>
    <w:link w:val="15"/>
    <w:qFormat/>
    <w:uiPriority w:val="0"/>
    <w:pPr>
      <w:spacing w:after="0"/>
      <w:ind w:left="0" w:leftChars="0" w:firstLine="420" w:firstLineChars="200"/>
    </w:pPr>
    <w:rPr>
      <w:snapToGrid w:val="0"/>
      <w:kern w:val="0"/>
      <w:sz w:val="20"/>
      <w:szCs w:val="24"/>
    </w:rPr>
  </w:style>
  <w:style w:type="paragraph" w:styleId="3">
    <w:name w:val="Body Text Indent"/>
    <w:basedOn w:val="1"/>
    <w:qFormat/>
    <w:uiPriority w:val="0"/>
    <w:pPr>
      <w:spacing w:after="120"/>
      <w:ind w:left="420" w:leftChars="200"/>
    </w:pPr>
    <w:rPr>
      <w:rFonts w:ascii="Calibri" w:hAnsi="Calibri" w:eastAsia="宋体"/>
      <w:sz w:val="21"/>
      <w:szCs w:val="22"/>
    </w:rPr>
  </w:style>
  <w:style w:type="paragraph" w:styleId="4">
    <w:name w:val="annotation text"/>
    <w:basedOn w:val="1"/>
    <w:link w:val="16"/>
    <w:unhideWhenUsed/>
    <w:qFormat/>
    <w:uiPriority w:val="0"/>
    <w:pPr>
      <w:jc w:val="left"/>
    </w:pPr>
    <w:rPr>
      <w:rFonts w:ascii="Calibri" w:hAnsi="Calibri" w:eastAsia="宋体"/>
      <w:sz w:val="21"/>
      <w:szCs w:val="22"/>
    </w:rPr>
  </w:style>
  <w:style w:type="paragraph" w:styleId="5">
    <w:name w:val="footer"/>
    <w:basedOn w:val="1"/>
    <w:link w:val="17"/>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toc 1"/>
    <w:basedOn w:val="1"/>
    <w:next w:val="1"/>
    <w:unhideWhenUsed/>
    <w:qFormat/>
    <w:uiPriority w:val="0"/>
    <w:rPr>
      <w:rFonts w:ascii="Calibri" w:hAnsi="Calibri" w:eastAsia="宋体"/>
      <w:sz w:val="21"/>
      <w:szCs w:val="22"/>
    </w:rPr>
  </w:style>
  <w:style w:type="paragraph" w:styleId="8">
    <w:name w:val="toc 2"/>
    <w:basedOn w:val="1"/>
    <w:next w:val="1"/>
    <w:unhideWhenUsed/>
    <w:qFormat/>
    <w:uiPriority w:val="0"/>
    <w:pPr>
      <w:ind w:left="420" w:leftChars="200"/>
    </w:pPr>
    <w:rPr>
      <w:rFonts w:ascii="Calibri" w:hAnsi="Calibri" w:eastAsia="宋体"/>
      <w:sz w:val="21"/>
      <w:szCs w:val="22"/>
    </w:rPr>
  </w:style>
  <w:style w:type="paragraph" w:styleId="9">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page number"/>
    <w:basedOn w:val="12"/>
    <w:qFormat/>
    <w:uiPriority w:val="0"/>
  </w:style>
  <w:style w:type="character" w:styleId="14">
    <w:name w:val="Hyperlink"/>
    <w:unhideWhenUsed/>
    <w:qFormat/>
    <w:uiPriority w:val="0"/>
    <w:rPr>
      <w:rFonts w:ascii="Times New Roman" w:hAnsi="Times New Roman" w:eastAsia="宋体" w:cs="Times New Roman"/>
      <w:color w:val="0000FF"/>
      <w:u w:val="single"/>
    </w:rPr>
  </w:style>
  <w:style w:type="character" w:customStyle="1" w:styleId="15">
    <w:name w:val="正文文本首行缩进 2 字符"/>
    <w:link w:val="2"/>
    <w:qFormat/>
    <w:uiPriority w:val="0"/>
    <w:rPr>
      <w:rFonts w:ascii="Times New Roman" w:hAnsi="Times New Roman" w:eastAsia="宋体" w:cs="Times New Roman"/>
      <w:snapToGrid w:val="0"/>
      <w:kern w:val="0"/>
      <w:sz w:val="20"/>
      <w:szCs w:val="24"/>
    </w:rPr>
  </w:style>
  <w:style w:type="character" w:customStyle="1" w:styleId="16">
    <w:name w:val="批注文字 字符"/>
    <w:link w:val="4"/>
    <w:autoRedefine/>
    <w:semiHidden/>
    <w:qFormat/>
    <w:uiPriority w:val="0"/>
    <w:rPr>
      <w:rFonts w:ascii="Times New Roman" w:hAnsi="Times New Roman" w:eastAsia="宋体" w:cs="Times New Roman"/>
    </w:rPr>
  </w:style>
  <w:style w:type="character" w:customStyle="1" w:styleId="17">
    <w:name w:val="页脚 字符"/>
    <w:link w:val="5"/>
    <w:qFormat/>
    <w:uiPriority w:val="0"/>
    <w:rPr>
      <w:rFonts w:ascii="Times New Roman" w:hAnsi="Times New Roman" w:eastAsia="宋体" w:cs="Times New Roman"/>
      <w:sz w:val="18"/>
      <w:szCs w:val="18"/>
    </w:rPr>
  </w:style>
  <w:style w:type="paragraph" w:customStyle="1" w:styleId="18">
    <w:name w:val="列出段落"/>
    <w:basedOn w:val="1"/>
    <w:qFormat/>
    <w:uiPriority w:val="0"/>
    <w:pPr>
      <w:ind w:firstLine="420" w:firstLineChars="200"/>
    </w:pPr>
    <w:rPr>
      <w:rFonts w:ascii="Calibri" w:hAnsi="Calibri" w:eastAsia="宋体"/>
      <w:sz w:val="21"/>
      <w:szCs w:val="22"/>
    </w:rPr>
  </w:style>
  <w:style w:type="paragraph" w:customStyle="1" w:styleId="19">
    <w:name w:val="普通(网站)1"/>
    <w:basedOn w:val="1"/>
    <w:autoRedefine/>
    <w:qFormat/>
    <w:uiPriority w:val="0"/>
    <w:pPr>
      <w:widowControl/>
      <w:spacing w:before="100" w:beforeAutospacing="1" w:after="100" w:afterAutospacing="1"/>
      <w:jc w:val="left"/>
    </w:pPr>
    <w:rPr>
      <w:rFonts w:hint="eastAsia" w:ascii="宋体" w:hAnsi="宋体"/>
      <w:sz w:val="24"/>
      <w:szCs w:val="24"/>
    </w:rPr>
  </w:style>
  <w:style w:type="paragraph" w:customStyle="1" w:styleId="20">
    <w:name w:val="引文目录标题1"/>
    <w:basedOn w:val="1"/>
    <w:next w:val="1"/>
    <w:qFormat/>
    <w:uiPriority w:val="0"/>
    <w:pPr>
      <w:spacing w:line="560" w:lineRule="exact"/>
      <w:ind w:firstLine="200" w:firstLineChars="200"/>
    </w:pPr>
    <w:rPr>
      <w:rFonts w:ascii="Arial" w:hAnsi="Arial"/>
      <w:sz w:val="24"/>
      <w:szCs w:val="22"/>
    </w:rPr>
  </w:style>
  <w:style w:type="paragraph" w:customStyle="1" w:styleId="21">
    <w:name w:val="Char"/>
    <w:basedOn w:val="1"/>
    <w:qFormat/>
    <w:uiPriority w:val="0"/>
    <w:rPr>
      <w:rFonts w:ascii="Times New Roman" w:hAnsi="Times New Roman" w:eastAsia="宋体"/>
      <w:sz w:val="21"/>
      <w:szCs w:val="20"/>
    </w:rPr>
  </w:style>
  <w:style w:type="paragraph" w:customStyle="1" w:styleId="22">
    <w:name w:val="定稿"/>
    <w:basedOn w:val="1"/>
    <w:autoRedefine/>
    <w:qFormat/>
    <w:uiPriority w:val="0"/>
    <w:pPr>
      <w:adjustRightInd w:val="0"/>
      <w:spacing w:line="360" w:lineRule="auto"/>
      <w:textAlignment w:val="baseline"/>
    </w:pPr>
    <w:rPr>
      <w:rFonts w:ascii="Times New Roman" w:hAnsi="Times New Roman"/>
      <w:kern w:val="0"/>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34</Pages>
  <Words>10902</Words>
  <Characters>11075</Characters>
  <Lines>128</Lines>
  <Paragraphs>36</Paragraphs>
  <TotalTime>1</TotalTime>
  <ScaleCrop>false</ScaleCrop>
  <LinksUpToDate>false</LinksUpToDate>
  <CharactersWithSpaces>11242</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2017-03-21T18:51:00Z</dcterms:created>
  <dc:creator>dddddd</dc:creator>
  <cp:lastModifiedBy>Zhou dongquan</cp:lastModifiedBy>
  <cp:lastPrinted>2005-07-07T01:33:00Z</cp:lastPrinted>
  <dcterms:modified xsi:type="dcterms:W3CDTF">2024-11-12T10:08:27Z</dcterms:modified>
  <dc:title> </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40EA248634FC4D30B38BDFE83530DD05_13</vt:lpwstr>
  </property>
</Properties>
</file>