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DC6DD">
      <w:pPr>
        <w:spacing w:line="560" w:lineRule="exact"/>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新余市市场监管、生态环境、交通运输、农业农村、</w:t>
      </w:r>
    </w:p>
    <w:p w14:paraId="781B81E1">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文广新旅、应急管理等领域轻微违法违规行为免罚清单</w:t>
      </w:r>
    </w:p>
    <w:p w14:paraId="72A06E1B">
      <w:pPr>
        <w:pStyle w:val="2"/>
        <w:rPr>
          <w:rFonts w:hint="eastAsia"/>
        </w:rPr>
      </w:pPr>
    </w:p>
    <w:p w14:paraId="4F91736C">
      <w:pPr>
        <w:jc w:val="left"/>
        <w:rPr>
          <w:rFonts w:hint="eastAsia" w:ascii="黑体" w:hAnsi="黑体" w:eastAsia="黑体" w:cs="黑体"/>
          <w:sz w:val="32"/>
          <w:szCs w:val="32"/>
        </w:rPr>
      </w:pPr>
      <w:r>
        <w:rPr>
          <w:rFonts w:hint="eastAsia" w:ascii="黑体" w:hAnsi="黑体" w:eastAsia="黑体" w:cs="黑体"/>
          <w:sz w:val="32"/>
          <w:szCs w:val="32"/>
        </w:rPr>
        <w:t>一、市场监管领域轻微违法行为不予处罚清单</w:t>
      </w:r>
    </w:p>
    <w:tbl>
      <w:tblPr>
        <w:tblStyle w:val="9"/>
        <w:tblW w:w="1432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55"/>
        <w:gridCol w:w="2167"/>
        <w:gridCol w:w="2487"/>
        <w:gridCol w:w="9017"/>
      </w:tblGrid>
      <w:tr w14:paraId="0DE675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4F9E6659">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序号</w:t>
            </w:r>
          </w:p>
        </w:tc>
        <w:tc>
          <w:tcPr>
            <w:tcW w:w="2167" w:type="dxa"/>
            <w:tcBorders>
              <w:tl2br w:val="nil"/>
              <w:tr2bl w:val="nil"/>
            </w:tcBorders>
            <w:noWrap w:val="0"/>
            <w:vAlign w:val="center"/>
          </w:tcPr>
          <w:p w14:paraId="75E02071">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违法行为</w:t>
            </w:r>
          </w:p>
        </w:tc>
        <w:tc>
          <w:tcPr>
            <w:tcW w:w="2487" w:type="dxa"/>
            <w:tcBorders>
              <w:tl2br w:val="nil"/>
              <w:tr2bl w:val="nil"/>
            </w:tcBorders>
            <w:noWrap w:val="0"/>
            <w:vAlign w:val="center"/>
          </w:tcPr>
          <w:p w14:paraId="51A88042">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不予处罚条件</w:t>
            </w:r>
          </w:p>
        </w:tc>
        <w:tc>
          <w:tcPr>
            <w:tcW w:w="9017" w:type="dxa"/>
            <w:tcBorders>
              <w:tl2br w:val="nil"/>
              <w:tr2bl w:val="nil"/>
            </w:tcBorders>
            <w:noWrap w:val="0"/>
            <w:vAlign w:val="center"/>
          </w:tcPr>
          <w:p w14:paraId="1209B91D">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法律依据</w:t>
            </w:r>
          </w:p>
        </w:tc>
      </w:tr>
      <w:tr w14:paraId="217797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760F6777">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一</w:t>
            </w:r>
          </w:p>
        </w:tc>
        <w:tc>
          <w:tcPr>
            <w:tcW w:w="13671" w:type="dxa"/>
            <w:gridSpan w:val="3"/>
            <w:tcBorders>
              <w:tl2br w:val="nil"/>
              <w:tr2bl w:val="nil"/>
            </w:tcBorders>
            <w:noWrap w:val="0"/>
            <w:vAlign w:val="center"/>
          </w:tcPr>
          <w:p w14:paraId="3342D21A">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违反行政许可有关规定的行为</w:t>
            </w:r>
          </w:p>
        </w:tc>
      </w:tr>
      <w:tr w14:paraId="08D3C4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restart"/>
            <w:tcBorders>
              <w:tl2br w:val="nil"/>
              <w:tr2bl w:val="nil"/>
            </w:tcBorders>
            <w:noWrap w:val="0"/>
            <w:vAlign w:val="center"/>
          </w:tcPr>
          <w:p w14:paraId="55E7AA1A">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1</w:t>
            </w:r>
          </w:p>
        </w:tc>
        <w:tc>
          <w:tcPr>
            <w:tcW w:w="2167" w:type="dxa"/>
            <w:vMerge w:val="restart"/>
            <w:tcBorders>
              <w:tl2br w:val="nil"/>
              <w:tr2bl w:val="nil"/>
            </w:tcBorders>
            <w:noWrap w:val="0"/>
            <w:vAlign w:val="center"/>
          </w:tcPr>
          <w:p w14:paraId="472179D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企业登记事项发生变更，未依法办理有关变更登记</w:t>
            </w:r>
          </w:p>
        </w:tc>
        <w:tc>
          <w:tcPr>
            <w:tcW w:w="2487" w:type="dxa"/>
            <w:vMerge w:val="restart"/>
            <w:tcBorders>
              <w:tl2br w:val="nil"/>
              <w:tr2bl w:val="nil"/>
            </w:tcBorders>
            <w:noWrap w:val="0"/>
            <w:vAlign w:val="center"/>
          </w:tcPr>
          <w:p w14:paraId="58BB7EBE">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被发现实施此类违法行为，未造成危害后果，已自行改正或者在市场监管部门规定的期限内改正</w:t>
            </w:r>
          </w:p>
        </w:tc>
        <w:tc>
          <w:tcPr>
            <w:tcW w:w="9017" w:type="dxa"/>
            <w:tcBorders>
              <w:tl2br w:val="nil"/>
              <w:tr2bl w:val="nil"/>
            </w:tcBorders>
            <w:noWrap w:val="0"/>
            <w:vAlign w:val="center"/>
          </w:tcPr>
          <w:p w14:paraId="3792971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《中华人民共和国公司法》</w:t>
            </w:r>
            <w:r>
              <w:rPr>
                <w:rFonts w:hint="eastAsia" w:ascii="宋体" w:hAnsi="宋体" w:cs="宋体"/>
                <w:spacing w:val="-11"/>
                <w:kern w:val="0"/>
                <w:szCs w:val="21"/>
                <w:lang w:bidi="ar"/>
              </w:rPr>
              <w:t>第二百一十一条第二款：“公司登记事项发生变更时，未依照本法规定办理有关变更登记的，由公司登记机关责令限期登记；逾期不登记的，处以一万元以上十万元以下的罚款。”</w:t>
            </w:r>
          </w:p>
        </w:tc>
      </w:tr>
      <w:tr w14:paraId="70E798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655" w:type="dxa"/>
            <w:vMerge w:val="continue"/>
            <w:tcBorders>
              <w:tl2br w:val="nil"/>
              <w:tr2bl w:val="nil"/>
            </w:tcBorders>
            <w:noWrap w:val="0"/>
            <w:vAlign w:val="center"/>
          </w:tcPr>
          <w:p w14:paraId="31BEF81A">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7D3EA5E5">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352F66BA">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000A3F1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《中华人民共和国合伙企业法》</w:t>
            </w:r>
            <w:r>
              <w:rPr>
                <w:rFonts w:hint="eastAsia" w:ascii="宋体" w:hAnsi="宋体" w:cs="宋体"/>
                <w:spacing w:val="-11"/>
                <w:kern w:val="0"/>
                <w:szCs w:val="21"/>
                <w:lang w:bidi="ar"/>
              </w:rPr>
              <w:t>第九十五条第二款：“合伙企业登记事项发生变更时，未依照本法规定办理变更登记的，由企业登记机关责令限期登记；逾期不登记的，处以二千元以上二万元以下的罚款。”</w:t>
            </w:r>
          </w:p>
        </w:tc>
      </w:tr>
      <w:tr w14:paraId="08D93B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jc w:val="center"/>
        </w:trPr>
        <w:tc>
          <w:tcPr>
            <w:tcW w:w="655" w:type="dxa"/>
            <w:vMerge w:val="continue"/>
            <w:tcBorders>
              <w:tl2br w:val="nil"/>
              <w:tr2bl w:val="nil"/>
            </w:tcBorders>
            <w:noWrap w:val="0"/>
            <w:vAlign w:val="center"/>
          </w:tcPr>
          <w:p w14:paraId="5C23E6B1">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1855B36E">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4B4E0A09">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37C1B0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《中华人民共和国个人独资企业法》</w:t>
            </w:r>
            <w:r>
              <w:rPr>
                <w:rFonts w:hint="eastAsia" w:ascii="宋体" w:hAnsi="宋体" w:cs="宋体"/>
                <w:spacing w:val="-11"/>
                <w:kern w:val="0"/>
                <w:szCs w:val="21"/>
                <w:lang w:bidi="ar"/>
              </w:rPr>
              <w:t>第三十七条第二款：“个人独资企业登记事项发生变更时，未按本法规定办理有关变更登记的，责令限期办理变更登记；逾期不办理的，处以二千元以下的罚款。”</w:t>
            </w:r>
          </w:p>
        </w:tc>
      </w:tr>
      <w:tr w14:paraId="391B0E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655" w:type="dxa"/>
            <w:vMerge w:val="continue"/>
            <w:tcBorders>
              <w:tl2br w:val="nil"/>
              <w:tr2bl w:val="nil"/>
            </w:tcBorders>
            <w:noWrap w:val="0"/>
            <w:vAlign w:val="center"/>
          </w:tcPr>
          <w:p w14:paraId="58E194DA">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2E285509">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1598180F">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3568616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49C9A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0" w:hRule="atLeast"/>
          <w:jc w:val="center"/>
        </w:trPr>
        <w:tc>
          <w:tcPr>
            <w:tcW w:w="655" w:type="dxa"/>
            <w:vMerge w:val="continue"/>
            <w:tcBorders>
              <w:tl2br w:val="nil"/>
              <w:tr2bl w:val="nil"/>
            </w:tcBorders>
            <w:noWrap w:val="0"/>
            <w:vAlign w:val="center"/>
          </w:tcPr>
          <w:p w14:paraId="4EAE5F9C">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CE056BD">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053D34CB">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683772C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企业法人登记管理条例施行细则》第四十九条第一款第（三）项：擅自改变主要登记事项，不按规定办理变更登记的，予以警告，没收非法所得，处以非法所得额3倍以下的罚款，但最高不超过3万元，没有非法所得的，处以1万元以下的罚款，并限期办理变更登记；逾期不办理的，责令停业整顿或者扣缴营业执照；情节严重的，吊销营业执照。超出经营期限从事经营活动的，视为无照经营，按照本条第一项规定处理。</w:t>
            </w:r>
          </w:p>
        </w:tc>
      </w:tr>
      <w:tr w14:paraId="363345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50" w:hRule="atLeast"/>
          <w:jc w:val="center"/>
        </w:trPr>
        <w:tc>
          <w:tcPr>
            <w:tcW w:w="655" w:type="dxa"/>
            <w:vMerge w:val="continue"/>
            <w:tcBorders>
              <w:tl2br w:val="nil"/>
              <w:tr2bl w:val="nil"/>
            </w:tcBorders>
            <w:noWrap w:val="0"/>
            <w:vAlign w:val="center"/>
          </w:tcPr>
          <w:p w14:paraId="1C35811E">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724281BD">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2CA89CB7">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6E91566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企业法人登记管理条例施行细则》第四十九条第一款第（四）项：超出核准登记的经营范围或者经营方式从事经营活动的，视其情节轻重，予以警告，没收非法所得，处以非法所得额3倍以下的罚款，但最高不超过3万元，没有非法所得的，处以1万元以下的罚款。同时违反国家其他有关规定，从事非法经营的，责令停业整顿，没收非法所得，处以非法所得额3倍以下的罚款，但最高不超过3万元，没有非法所得的，处以1万元以下的罚款；情节严重的，吊销营业执照。</w:t>
            </w:r>
          </w:p>
        </w:tc>
      </w:tr>
      <w:tr w14:paraId="13B441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655" w:type="dxa"/>
            <w:vMerge w:val="restart"/>
            <w:tcBorders>
              <w:tl2br w:val="nil"/>
              <w:tr2bl w:val="nil"/>
            </w:tcBorders>
            <w:noWrap w:val="0"/>
            <w:vAlign w:val="center"/>
          </w:tcPr>
          <w:p w14:paraId="1F757A99">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2</w:t>
            </w:r>
          </w:p>
        </w:tc>
        <w:tc>
          <w:tcPr>
            <w:tcW w:w="2167" w:type="dxa"/>
            <w:vMerge w:val="restart"/>
            <w:tcBorders>
              <w:tl2br w:val="nil"/>
              <w:tr2bl w:val="nil"/>
            </w:tcBorders>
            <w:noWrap w:val="0"/>
            <w:vAlign w:val="center"/>
          </w:tcPr>
          <w:p w14:paraId="7CE3C58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个体工商户登记事项发生变更，未依法办理有关变更登记</w:t>
            </w:r>
          </w:p>
        </w:tc>
        <w:tc>
          <w:tcPr>
            <w:tcW w:w="2487" w:type="dxa"/>
            <w:vMerge w:val="restart"/>
            <w:tcBorders>
              <w:tl2br w:val="nil"/>
              <w:tr2bl w:val="nil"/>
            </w:tcBorders>
            <w:noWrap w:val="0"/>
            <w:vAlign w:val="center"/>
          </w:tcPr>
          <w:p w14:paraId="779C21FC">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被发现实施此类违法行为，未造成危害后果，已自行改正或者在市场监管部门规定的期限内改正</w:t>
            </w:r>
          </w:p>
        </w:tc>
        <w:tc>
          <w:tcPr>
            <w:tcW w:w="9017" w:type="dxa"/>
            <w:tcBorders>
              <w:tl2br w:val="nil"/>
              <w:tr2bl w:val="nil"/>
            </w:tcBorders>
            <w:noWrap w:val="0"/>
            <w:vAlign w:val="center"/>
          </w:tcPr>
          <w:p w14:paraId="77126CC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6719A0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jc w:val="center"/>
        </w:trPr>
        <w:tc>
          <w:tcPr>
            <w:tcW w:w="655" w:type="dxa"/>
            <w:vMerge w:val="continue"/>
            <w:tcBorders>
              <w:tl2br w:val="nil"/>
              <w:tr2bl w:val="nil"/>
            </w:tcBorders>
            <w:noWrap w:val="0"/>
            <w:vAlign w:val="center"/>
          </w:tcPr>
          <w:p w14:paraId="39F51315">
            <w:pPr>
              <w:widowControl/>
              <w:spacing w:line="320" w:lineRule="exact"/>
              <w:jc w:val="center"/>
              <w:textAlignment w:val="center"/>
              <w:rPr>
                <w:rFonts w:hint="eastAsia" w:ascii="宋体" w:hAnsi="宋体" w:cs="宋体"/>
                <w:spacing w:val="-11"/>
                <w:kern w:val="0"/>
                <w:szCs w:val="21"/>
                <w:lang w:bidi="ar"/>
              </w:rPr>
            </w:pPr>
          </w:p>
        </w:tc>
        <w:tc>
          <w:tcPr>
            <w:tcW w:w="2167" w:type="dxa"/>
            <w:vMerge w:val="continue"/>
            <w:tcBorders>
              <w:tl2br w:val="nil"/>
              <w:tr2bl w:val="nil"/>
            </w:tcBorders>
            <w:noWrap w:val="0"/>
            <w:vAlign w:val="center"/>
          </w:tcPr>
          <w:p w14:paraId="7E05C6B6">
            <w:pPr>
              <w:widowControl/>
              <w:spacing w:line="320" w:lineRule="exact"/>
              <w:textAlignment w:val="center"/>
              <w:rPr>
                <w:rFonts w:hint="eastAsia" w:ascii="宋体" w:hAnsi="宋体" w:cs="宋体"/>
                <w:spacing w:val="-11"/>
                <w:kern w:val="0"/>
                <w:szCs w:val="21"/>
                <w:lang w:bidi="ar"/>
              </w:rPr>
            </w:pPr>
          </w:p>
        </w:tc>
        <w:tc>
          <w:tcPr>
            <w:tcW w:w="2487" w:type="dxa"/>
            <w:vMerge w:val="continue"/>
            <w:tcBorders>
              <w:tl2br w:val="nil"/>
              <w:tr2bl w:val="nil"/>
            </w:tcBorders>
            <w:noWrap w:val="0"/>
            <w:vAlign w:val="center"/>
          </w:tcPr>
          <w:p w14:paraId="5B8A6D87">
            <w:pPr>
              <w:widowControl/>
              <w:spacing w:line="320" w:lineRule="exact"/>
              <w:textAlignment w:val="center"/>
              <w:rPr>
                <w:rFonts w:hint="eastAsia" w:ascii="宋体" w:hAnsi="宋体" w:cs="宋体"/>
                <w:spacing w:val="-11"/>
                <w:kern w:val="0"/>
                <w:szCs w:val="21"/>
                <w:lang w:bidi="ar"/>
              </w:rPr>
            </w:pPr>
          </w:p>
        </w:tc>
        <w:tc>
          <w:tcPr>
            <w:tcW w:w="9017" w:type="dxa"/>
            <w:tcBorders>
              <w:tl2br w:val="nil"/>
              <w:tr2bl w:val="nil"/>
            </w:tcBorders>
            <w:noWrap w:val="0"/>
            <w:vAlign w:val="center"/>
          </w:tcPr>
          <w:p w14:paraId="15E2643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《个体工商户条例》第二十三条第一款、《个体工商户登记管理办法》第三十六条：个体工商户登记事项变更，未办理变更登记的，由登记机关责令改正，处1500元以下的罚款；情节严重的，吊销营业执照。</w:t>
            </w:r>
          </w:p>
        </w:tc>
      </w:tr>
      <w:tr w14:paraId="76817C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2" w:hRule="atLeast"/>
          <w:jc w:val="center"/>
        </w:trPr>
        <w:tc>
          <w:tcPr>
            <w:tcW w:w="655" w:type="dxa"/>
            <w:tcBorders>
              <w:tl2br w:val="nil"/>
              <w:tr2bl w:val="nil"/>
            </w:tcBorders>
            <w:noWrap w:val="0"/>
            <w:vAlign w:val="center"/>
          </w:tcPr>
          <w:p w14:paraId="56E7EA26">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3</w:t>
            </w:r>
          </w:p>
        </w:tc>
        <w:tc>
          <w:tcPr>
            <w:tcW w:w="2167" w:type="dxa"/>
            <w:tcBorders>
              <w:tl2br w:val="nil"/>
              <w:tr2bl w:val="nil"/>
            </w:tcBorders>
            <w:noWrap w:val="0"/>
            <w:vAlign w:val="center"/>
          </w:tcPr>
          <w:p w14:paraId="4A4F1CA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不按规定申请办理注销登记</w:t>
            </w:r>
          </w:p>
        </w:tc>
        <w:tc>
          <w:tcPr>
            <w:tcW w:w="2487" w:type="dxa"/>
            <w:tcBorders>
              <w:tl2br w:val="nil"/>
              <w:tr2bl w:val="nil"/>
            </w:tcBorders>
            <w:noWrap w:val="0"/>
            <w:vAlign w:val="center"/>
          </w:tcPr>
          <w:p w14:paraId="15A3A9C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4ED6043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企业法人登记管理条例施行细则》第四十九条第一款第九项：“对有下列行为的企业和经营单位，登记主管机关作出如下处罚，可以单处，也可以并处：…（九）不按规定申请办理注销登记的，责令限期办理注销登记。拒不办理的，处以3000元以下的罚款，吊销营业执照，并可追究企业主管部门的责任。”</w:t>
            </w:r>
          </w:p>
        </w:tc>
      </w:tr>
      <w:tr w14:paraId="584C12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restart"/>
            <w:tcBorders>
              <w:tl2br w:val="nil"/>
              <w:tr2bl w:val="nil"/>
            </w:tcBorders>
            <w:noWrap w:val="0"/>
            <w:vAlign w:val="center"/>
          </w:tcPr>
          <w:p w14:paraId="232FBCA8">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4</w:t>
            </w:r>
          </w:p>
        </w:tc>
        <w:tc>
          <w:tcPr>
            <w:tcW w:w="2167" w:type="dxa"/>
            <w:vMerge w:val="restart"/>
            <w:tcBorders>
              <w:tl2br w:val="nil"/>
              <w:tr2bl w:val="nil"/>
            </w:tcBorders>
            <w:noWrap w:val="0"/>
            <w:vAlign w:val="center"/>
          </w:tcPr>
          <w:p w14:paraId="4E2381B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未将营业执照置于住所或者营业场所醒目位置</w:t>
            </w:r>
          </w:p>
        </w:tc>
        <w:tc>
          <w:tcPr>
            <w:tcW w:w="2487" w:type="dxa"/>
            <w:vMerge w:val="restart"/>
            <w:tcBorders>
              <w:tl2br w:val="nil"/>
              <w:tr2bl w:val="nil"/>
            </w:tcBorders>
            <w:noWrap w:val="0"/>
            <w:vAlign w:val="center"/>
          </w:tcPr>
          <w:p w14:paraId="420B905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55B9016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《公司登记管理条例》第七十二条：“未将营业执照置于住所或者营业场所醒目位置的，由公司登记机关责令改正；拒不改正的，处以1000元以上5000元以下的罚款。”</w:t>
            </w:r>
          </w:p>
        </w:tc>
      </w:tr>
      <w:tr w14:paraId="7FCC41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jc w:val="center"/>
        </w:trPr>
        <w:tc>
          <w:tcPr>
            <w:tcW w:w="655" w:type="dxa"/>
            <w:vMerge w:val="continue"/>
            <w:tcBorders>
              <w:tl2br w:val="nil"/>
              <w:tr2bl w:val="nil"/>
            </w:tcBorders>
            <w:noWrap w:val="0"/>
            <w:vAlign w:val="center"/>
          </w:tcPr>
          <w:p w14:paraId="630BE8E6">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18441DD5">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2C2D1FF8">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5D26CF7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《合伙企业登记管理办法》第四十三条：“合伙企业未将其营业执照正本置放在经营场所醒目位置的，由企业登记机关责令改正；拒不改正的，处1000元以上5000元以下的罚款。”</w:t>
            </w:r>
          </w:p>
        </w:tc>
      </w:tr>
      <w:tr w14:paraId="2F6B4B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jc w:val="center"/>
        </w:trPr>
        <w:tc>
          <w:tcPr>
            <w:tcW w:w="655" w:type="dxa"/>
            <w:vMerge w:val="continue"/>
            <w:tcBorders>
              <w:tl2br w:val="nil"/>
              <w:tr2bl w:val="nil"/>
            </w:tcBorders>
            <w:noWrap w:val="0"/>
            <w:vAlign w:val="center"/>
          </w:tcPr>
          <w:p w14:paraId="56071D0B">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44C03FD6">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5616F4E0">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0337DA3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《个人独资企业登记管理办法》第四十一条：“个人独资企业未将营业执照正本置放在企业住所醒目位置的，由登记机关责令限期改正；逾期不改正的，处以500元以下的罚款。”</w:t>
            </w:r>
          </w:p>
        </w:tc>
      </w:tr>
      <w:tr w14:paraId="27C2AC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655" w:type="dxa"/>
            <w:vMerge w:val="continue"/>
            <w:tcBorders>
              <w:tl2br w:val="nil"/>
              <w:tr2bl w:val="nil"/>
            </w:tcBorders>
            <w:noWrap w:val="0"/>
            <w:vAlign w:val="center"/>
          </w:tcPr>
          <w:p w14:paraId="67BCEC8A">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6FAE822C">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39008E81">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433ED6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个体工商户登记管理办法》第二十五条：“营业执照正本应当置于个体工商户经营场所的醒目位置。”第三十七条：“个体工商户违反本办法第二十五条规定的，由登记机关责令限期改正；逾期未改正的，处500元以下的罚款。”</w:t>
            </w:r>
          </w:p>
        </w:tc>
      </w:tr>
      <w:tr w14:paraId="289CF9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6" w:hRule="atLeast"/>
          <w:jc w:val="center"/>
        </w:trPr>
        <w:tc>
          <w:tcPr>
            <w:tcW w:w="655" w:type="dxa"/>
            <w:tcBorders>
              <w:tl2br w:val="nil"/>
              <w:tr2bl w:val="nil"/>
            </w:tcBorders>
            <w:noWrap w:val="0"/>
            <w:vAlign w:val="center"/>
          </w:tcPr>
          <w:p w14:paraId="606AD864">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5</w:t>
            </w:r>
          </w:p>
        </w:tc>
        <w:tc>
          <w:tcPr>
            <w:tcW w:w="2167" w:type="dxa"/>
            <w:tcBorders>
              <w:tl2br w:val="nil"/>
              <w:tr2bl w:val="nil"/>
            </w:tcBorders>
            <w:noWrap w:val="0"/>
            <w:vAlign w:val="center"/>
          </w:tcPr>
          <w:p w14:paraId="7B0DFD5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公司未将修改后的公司章程或公司章程修正案报送原登记机关备案</w:t>
            </w:r>
          </w:p>
        </w:tc>
        <w:tc>
          <w:tcPr>
            <w:tcW w:w="2487" w:type="dxa"/>
            <w:tcBorders>
              <w:tl2br w:val="nil"/>
              <w:tr2bl w:val="nil"/>
            </w:tcBorders>
            <w:noWrap w:val="0"/>
            <w:vAlign w:val="center"/>
          </w:tcPr>
          <w:p w14:paraId="7FE2DC3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6065BE6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公司登记管理条例》第三十六条：“公司章程修改未涉及登记事项的，公司应当将修改后的公司章程或者公司章程修正案送原公司登记机关备案。”第六十八条第二款：“公司未依照本条例规定办理有关备案的，由公司登记机关责令限期办理；逾期未办理的，处以3万元以下的罚款。”</w:t>
            </w:r>
          </w:p>
        </w:tc>
      </w:tr>
      <w:tr w14:paraId="1E33D8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3" w:hRule="atLeast"/>
          <w:jc w:val="center"/>
        </w:trPr>
        <w:tc>
          <w:tcPr>
            <w:tcW w:w="655" w:type="dxa"/>
            <w:tcBorders>
              <w:tl2br w:val="nil"/>
              <w:tr2bl w:val="nil"/>
            </w:tcBorders>
            <w:noWrap w:val="0"/>
            <w:vAlign w:val="center"/>
          </w:tcPr>
          <w:p w14:paraId="7B6B2107">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6</w:t>
            </w:r>
          </w:p>
        </w:tc>
        <w:tc>
          <w:tcPr>
            <w:tcW w:w="2167" w:type="dxa"/>
            <w:tcBorders>
              <w:tl2br w:val="nil"/>
              <w:tr2bl w:val="nil"/>
            </w:tcBorders>
            <w:noWrap w:val="0"/>
            <w:vAlign w:val="center"/>
          </w:tcPr>
          <w:p w14:paraId="6472339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公司董事、监事、经理发生变动，未向原公司登记机关备案</w:t>
            </w:r>
          </w:p>
        </w:tc>
        <w:tc>
          <w:tcPr>
            <w:tcW w:w="2487" w:type="dxa"/>
            <w:tcBorders>
              <w:tl2br w:val="nil"/>
              <w:tr2bl w:val="nil"/>
            </w:tcBorders>
            <w:noWrap w:val="0"/>
            <w:vAlign w:val="center"/>
          </w:tcPr>
          <w:p w14:paraId="4BB3825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30AE9CF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公司登记管理条例》第三十七条：“公司董事、监事、经理发生变动的，应当向原公司登记机关备案。”第六十八条第二款：“公司未依照本条例规定办理有关备案的，由公司登记机关责令限期办理；逾期未办理的，处以3万元以下的罚款。”</w:t>
            </w:r>
          </w:p>
        </w:tc>
      </w:tr>
      <w:tr w14:paraId="5139DC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tcBorders>
              <w:tl2br w:val="nil"/>
              <w:tr2bl w:val="nil"/>
            </w:tcBorders>
            <w:noWrap w:val="0"/>
            <w:vAlign w:val="center"/>
          </w:tcPr>
          <w:p w14:paraId="24B81E71">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7</w:t>
            </w:r>
          </w:p>
        </w:tc>
        <w:tc>
          <w:tcPr>
            <w:tcW w:w="2167" w:type="dxa"/>
            <w:tcBorders>
              <w:tl2br w:val="nil"/>
              <w:tr2bl w:val="nil"/>
            </w:tcBorders>
            <w:noWrap w:val="0"/>
            <w:vAlign w:val="center"/>
          </w:tcPr>
          <w:p w14:paraId="698AD8C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合伙企业未按规定办理清算人成员名单备案</w:t>
            </w:r>
          </w:p>
        </w:tc>
        <w:tc>
          <w:tcPr>
            <w:tcW w:w="2487" w:type="dxa"/>
            <w:tcBorders>
              <w:tl2br w:val="nil"/>
              <w:tr2bl w:val="nil"/>
            </w:tcBorders>
            <w:noWrap w:val="0"/>
            <w:vAlign w:val="center"/>
          </w:tcPr>
          <w:p w14:paraId="394AE9D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2CCDC7A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合伙企业登记管理办法》第二十一条：“合伙企业解散，依法由清算人进行清算。清算人应当自被确定之日起10日内，将清算人成员名单向企业登记机关备案。”第四十一条：“合伙企业未依照本办法规定办理清算人成员名单备案的，由企业登记机关责令限期办理；逾期未办理的，处2000元以下的罚款。”</w:t>
            </w:r>
          </w:p>
        </w:tc>
      </w:tr>
      <w:tr w14:paraId="690FB5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6" w:hRule="atLeast"/>
          <w:jc w:val="center"/>
        </w:trPr>
        <w:tc>
          <w:tcPr>
            <w:tcW w:w="655" w:type="dxa"/>
            <w:vMerge w:val="restart"/>
            <w:tcBorders>
              <w:tl2br w:val="nil"/>
              <w:tr2bl w:val="nil"/>
            </w:tcBorders>
            <w:noWrap w:val="0"/>
            <w:vAlign w:val="center"/>
          </w:tcPr>
          <w:p w14:paraId="58C2CA72">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8</w:t>
            </w:r>
          </w:p>
        </w:tc>
        <w:tc>
          <w:tcPr>
            <w:tcW w:w="2167" w:type="dxa"/>
            <w:vMerge w:val="restart"/>
            <w:tcBorders>
              <w:tl2br w:val="nil"/>
              <w:tr2bl w:val="nil"/>
            </w:tcBorders>
            <w:noWrap w:val="0"/>
            <w:vAlign w:val="center"/>
          </w:tcPr>
          <w:p w14:paraId="1EE65B5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经营者未依法取得营业执照从事经营活动</w:t>
            </w:r>
          </w:p>
        </w:tc>
        <w:tc>
          <w:tcPr>
            <w:tcW w:w="2487" w:type="dxa"/>
            <w:vMerge w:val="restart"/>
            <w:tcBorders>
              <w:tl2br w:val="nil"/>
              <w:tr2bl w:val="nil"/>
            </w:tcBorders>
            <w:noWrap w:val="0"/>
            <w:vAlign w:val="center"/>
          </w:tcPr>
          <w:p w14:paraId="6214E39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立案调查前已提交营业执照申请材料并被受理</w:t>
            </w:r>
          </w:p>
        </w:tc>
        <w:tc>
          <w:tcPr>
            <w:tcW w:w="9017" w:type="dxa"/>
            <w:tcBorders>
              <w:tl2br w:val="nil"/>
              <w:tr2bl w:val="nil"/>
            </w:tcBorders>
            <w:noWrap w:val="0"/>
            <w:vAlign w:val="center"/>
          </w:tcPr>
          <w:p w14:paraId="5FF5D62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0B0C3C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6" w:hRule="atLeast"/>
          <w:jc w:val="center"/>
        </w:trPr>
        <w:tc>
          <w:tcPr>
            <w:tcW w:w="655" w:type="dxa"/>
            <w:vMerge w:val="continue"/>
            <w:tcBorders>
              <w:tl2br w:val="nil"/>
              <w:tr2bl w:val="nil"/>
            </w:tcBorders>
            <w:noWrap w:val="0"/>
            <w:vAlign w:val="center"/>
          </w:tcPr>
          <w:p w14:paraId="59C1F3E7">
            <w:pPr>
              <w:widowControl/>
              <w:spacing w:line="320" w:lineRule="exact"/>
              <w:jc w:val="center"/>
              <w:textAlignment w:val="center"/>
              <w:rPr>
                <w:rFonts w:hint="eastAsia" w:ascii="宋体" w:hAnsi="宋体" w:cs="宋体"/>
                <w:spacing w:val="-11"/>
                <w:kern w:val="0"/>
                <w:szCs w:val="21"/>
                <w:lang w:bidi="ar"/>
              </w:rPr>
            </w:pPr>
          </w:p>
        </w:tc>
        <w:tc>
          <w:tcPr>
            <w:tcW w:w="2167" w:type="dxa"/>
            <w:vMerge w:val="continue"/>
            <w:tcBorders>
              <w:tl2br w:val="nil"/>
              <w:tr2bl w:val="nil"/>
            </w:tcBorders>
            <w:noWrap w:val="0"/>
            <w:vAlign w:val="center"/>
          </w:tcPr>
          <w:p w14:paraId="4DCDCE20">
            <w:pPr>
              <w:widowControl/>
              <w:spacing w:line="320" w:lineRule="exact"/>
              <w:textAlignment w:val="center"/>
              <w:rPr>
                <w:rFonts w:hint="eastAsia" w:ascii="宋体" w:hAnsi="宋体" w:cs="宋体"/>
                <w:spacing w:val="-11"/>
                <w:kern w:val="0"/>
                <w:szCs w:val="21"/>
                <w:lang w:bidi="ar"/>
              </w:rPr>
            </w:pPr>
          </w:p>
        </w:tc>
        <w:tc>
          <w:tcPr>
            <w:tcW w:w="2487" w:type="dxa"/>
            <w:vMerge w:val="continue"/>
            <w:tcBorders>
              <w:tl2br w:val="nil"/>
              <w:tr2bl w:val="nil"/>
            </w:tcBorders>
            <w:noWrap w:val="0"/>
            <w:vAlign w:val="center"/>
          </w:tcPr>
          <w:p w14:paraId="4F69250E">
            <w:pPr>
              <w:widowControl/>
              <w:spacing w:line="320" w:lineRule="exact"/>
              <w:textAlignment w:val="center"/>
              <w:rPr>
                <w:rFonts w:hint="eastAsia" w:ascii="宋体" w:hAnsi="宋体" w:cs="宋体"/>
                <w:spacing w:val="-11"/>
                <w:kern w:val="0"/>
                <w:szCs w:val="21"/>
                <w:lang w:bidi="ar"/>
              </w:rPr>
            </w:pPr>
          </w:p>
        </w:tc>
        <w:tc>
          <w:tcPr>
            <w:tcW w:w="9017" w:type="dxa"/>
            <w:tcBorders>
              <w:tl2br w:val="nil"/>
              <w:tr2bl w:val="nil"/>
            </w:tcBorders>
            <w:noWrap w:val="0"/>
            <w:vAlign w:val="center"/>
          </w:tcPr>
          <w:p w14:paraId="39EC8CE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无证无照经营查处办法》第十三条：“从事无照经营的，由工商行政管理部门依照相关法律、行政法规的规定予以处罚。法律、行政法规对无照经营的处罚没有明确规定的，由工商行政管理部门责令停止违法行为，没收违法所得，并处1万元以下的罚款。”</w:t>
            </w:r>
          </w:p>
        </w:tc>
      </w:tr>
      <w:tr w14:paraId="2DBE12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2" w:hRule="atLeast"/>
          <w:jc w:val="center"/>
        </w:trPr>
        <w:tc>
          <w:tcPr>
            <w:tcW w:w="655" w:type="dxa"/>
            <w:vMerge w:val="restart"/>
            <w:tcBorders>
              <w:tl2br w:val="nil"/>
              <w:tr2bl w:val="nil"/>
            </w:tcBorders>
            <w:noWrap w:val="0"/>
            <w:vAlign w:val="center"/>
          </w:tcPr>
          <w:p w14:paraId="1E71761A">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9</w:t>
            </w:r>
          </w:p>
        </w:tc>
        <w:tc>
          <w:tcPr>
            <w:tcW w:w="2167" w:type="dxa"/>
            <w:vMerge w:val="restart"/>
            <w:tcBorders>
              <w:tl2br w:val="nil"/>
              <w:tr2bl w:val="nil"/>
            </w:tcBorders>
            <w:noWrap w:val="0"/>
            <w:vAlign w:val="center"/>
          </w:tcPr>
          <w:p w14:paraId="2DA5F85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未依法取得许可证从事生产经营活动</w:t>
            </w:r>
          </w:p>
        </w:tc>
        <w:tc>
          <w:tcPr>
            <w:tcW w:w="2487" w:type="dxa"/>
            <w:vMerge w:val="restart"/>
            <w:tcBorders>
              <w:tl2br w:val="nil"/>
              <w:tr2bl w:val="nil"/>
            </w:tcBorders>
            <w:noWrap w:val="0"/>
            <w:vAlign w:val="center"/>
          </w:tcPr>
          <w:p w14:paraId="1D5EC4D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立案调查前已提交许可申请材料并受理，但从事食品、药品等关系生命健康安全的产品的生产经营活动和生产实行许可证管理的重要工业产品除外</w:t>
            </w:r>
          </w:p>
        </w:tc>
        <w:tc>
          <w:tcPr>
            <w:tcW w:w="9017" w:type="dxa"/>
            <w:tcBorders>
              <w:tl2br w:val="nil"/>
              <w:tr2bl w:val="nil"/>
            </w:tcBorders>
            <w:noWrap w:val="0"/>
            <w:vAlign w:val="center"/>
          </w:tcPr>
          <w:p w14:paraId="5CAD40B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5E357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continue"/>
            <w:tcBorders>
              <w:tl2br w:val="nil"/>
              <w:tr2bl w:val="nil"/>
            </w:tcBorders>
            <w:noWrap w:val="0"/>
            <w:vAlign w:val="center"/>
          </w:tcPr>
          <w:p w14:paraId="6FA7455F">
            <w:pPr>
              <w:widowControl/>
              <w:spacing w:line="320" w:lineRule="exact"/>
              <w:jc w:val="center"/>
              <w:textAlignment w:val="center"/>
              <w:rPr>
                <w:rFonts w:hint="eastAsia" w:ascii="宋体" w:hAnsi="宋体" w:cs="宋体"/>
                <w:spacing w:val="-11"/>
                <w:kern w:val="0"/>
                <w:szCs w:val="21"/>
                <w:lang w:bidi="ar"/>
              </w:rPr>
            </w:pPr>
          </w:p>
        </w:tc>
        <w:tc>
          <w:tcPr>
            <w:tcW w:w="2167" w:type="dxa"/>
            <w:vMerge w:val="continue"/>
            <w:tcBorders>
              <w:tl2br w:val="nil"/>
              <w:tr2bl w:val="nil"/>
            </w:tcBorders>
            <w:noWrap w:val="0"/>
            <w:vAlign w:val="center"/>
          </w:tcPr>
          <w:p w14:paraId="1C99B26E">
            <w:pPr>
              <w:widowControl/>
              <w:spacing w:line="320" w:lineRule="exact"/>
              <w:textAlignment w:val="center"/>
              <w:rPr>
                <w:rFonts w:hint="eastAsia" w:ascii="宋体" w:hAnsi="宋体" w:cs="宋体"/>
                <w:spacing w:val="-11"/>
                <w:kern w:val="0"/>
                <w:szCs w:val="21"/>
                <w:lang w:bidi="ar"/>
              </w:rPr>
            </w:pPr>
          </w:p>
        </w:tc>
        <w:tc>
          <w:tcPr>
            <w:tcW w:w="2487" w:type="dxa"/>
            <w:vMerge w:val="continue"/>
            <w:tcBorders>
              <w:tl2br w:val="nil"/>
              <w:tr2bl w:val="nil"/>
            </w:tcBorders>
            <w:noWrap w:val="0"/>
            <w:vAlign w:val="center"/>
          </w:tcPr>
          <w:p w14:paraId="33DED66E">
            <w:pPr>
              <w:widowControl/>
              <w:spacing w:line="320" w:lineRule="exact"/>
              <w:textAlignment w:val="center"/>
              <w:rPr>
                <w:rFonts w:hint="eastAsia" w:ascii="宋体" w:hAnsi="宋体" w:cs="宋体"/>
                <w:spacing w:val="-11"/>
                <w:kern w:val="0"/>
                <w:szCs w:val="21"/>
                <w:lang w:bidi="ar"/>
              </w:rPr>
            </w:pPr>
          </w:p>
        </w:tc>
        <w:tc>
          <w:tcPr>
            <w:tcW w:w="9017" w:type="dxa"/>
            <w:tcBorders>
              <w:tl2br w:val="nil"/>
              <w:tr2bl w:val="nil"/>
            </w:tcBorders>
            <w:noWrap w:val="0"/>
            <w:vAlign w:val="center"/>
          </w:tcPr>
          <w:p w14:paraId="5537C838">
            <w:pPr>
              <w:widowControl/>
              <w:spacing w:line="320" w:lineRule="exact"/>
              <w:textAlignment w:val="center"/>
              <w:rPr>
                <w:rFonts w:hint="eastAsia" w:ascii="宋体" w:hAnsi="宋体" w:cs="宋体"/>
                <w:spacing w:val="-11"/>
                <w:kern w:val="0"/>
                <w:szCs w:val="21"/>
                <w:lang w:bidi="ar"/>
              </w:rPr>
            </w:pPr>
            <w:r>
              <w:rPr>
                <w:rFonts w:hint="eastAsia" w:ascii="宋体" w:hAnsi="宋体"/>
                <w:spacing w:val="-11"/>
                <w:szCs w:val="21"/>
              </w:rPr>
              <w:t>《无证无照经营查处办法》第十二条：“</w:t>
            </w:r>
            <w:r>
              <w:rPr>
                <w:rFonts w:ascii="宋体" w:hAnsi="宋体"/>
                <w:spacing w:val="-11"/>
                <w:szCs w:val="21"/>
              </w:rPr>
              <w:t>从事无证经营的，由查处部门依照相关法律、法规的规定予以处罚</w:t>
            </w:r>
            <w:r>
              <w:rPr>
                <w:rFonts w:hint="eastAsia" w:ascii="宋体" w:hAnsi="宋体"/>
                <w:spacing w:val="-11"/>
                <w:szCs w:val="21"/>
              </w:rPr>
              <w:t>。</w:t>
            </w:r>
            <w:r>
              <w:rPr>
                <w:rFonts w:ascii="宋体" w:hAnsi="宋体"/>
                <w:spacing w:val="-11"/>
                <w:szCs w:val="21"/>
              </w:rPr>
              <w:t>”</w:t>
            </w:r>
          </w:p>
        </w:tc>
      </w:tr>
      <w:tr w14:paraId="54C0DD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7050C756">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二</w:t>
            </w:r>
          </w:p>
        </w:tc>
        <w:tc>
          <w:tcPr>
            <w:tcW w:w="13671" w:type="dxa"/>
            <w:gridSpan w:val="3"/>
            <w:tcBorders>
              <w:tl2br w:val="nil"/>
              <w:tr2bl w:val="nil"/>
            </w:tcBorders>
            <w:noWrap w:val="0"/>
            <w:vAlign w:val="center"/>
          </w:tcPr>
          <w:p w14:paraId="1DE12D71">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违反价格相关规定的行为</w:t>
            </w:r>
          </w:p>
        </w:tc>
      </w:tr>
      <w:tr w14:paraId="634534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7" w:hRule="atLeast"/>
          <w:jc w:val="center"/>
        </w:trPr>
        <w:tc>
          <w:tcPr>
            <w:tcW w:w="655" w:type="dxa"/>
            <w:vMerge w:val="restart"/>
            <w:tcBorders>
              <w:tl2br w:val="nil"/>
              <w:tr2bl w:val="nil"/>
            </w:tcBorders>
            <w:noWrap w:val="0"/>
            <w:vAlign w:val="center"/>
          </w:tcPr>
          <w:p w14:paraId="0B1493EE">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10</w:t>
            </w:r>
          </w:p>
        </w:tc>
        <w:tc>
          <w:tcPr>
            <w:tcW w:w="2167" w:type="dxa"/>
            <w:vMerge w:val="restart"/>
            <w:tcBorders>
              <w:tl2br w:val="nil"/>
              <w:tr2bl w:val="nil"/>
            </w:tcBorders>
            <w:noWrap w:val="0"/>
            <w:vAlign w:val="center"/>
          </w:tcPr>
          <w:p w14:paraId="5253368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不按规定明码标价</w:t>
            </w:r>
          </w:p>
        </w:tc>
        <w:tc>
          <w:tcPr>
            <w:tcW w:w="2487" w:type="dxa"/>
            <w:vMerge w:val="restart"/>
            <w:tcBorders>
              <w:tl2br w:val="nil"/>
              <w:tr2bl w:val="nil"/>
            </w:tcBorders>
            <w:noWrap w:val="0"/>
            <w:vAlign w:val="center"/>
          </w:tcPr>
          <w:p w14:paraId="6F5F3162">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被发现实施此类违法行为，能够标明商品品名、计价单位、价格等主要内容，不引起消费者对价格的误解，未损害消费者的知情权与选择权，没有违法所得，已自行改正或者在市场监管部门规定的期限内改正</w:t>
            </w:r>
          </w:p>
        </w:tc>
        <w:tc>
          <w:tcPr>
            <w:tcW w:w="9017" w:type="dxa"/>
            <w:tcBorders>
              <w:tl2br w:val="nil"/>
              <w:tr2bl w:val="nil"/>
            </w:tcBorders>
            <w:noWrap w:val="0"/>
            <w:vAlign w:val="center"/>
          </w:tcPr>
          <w:p w14:paraId="696909F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54DBA6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8" w:hRule="atLeast"/>
          <w:jc w:val="center"/>
        </w:trPr>
        <w:tc>
          <w:tcPr>
            <w:tcW w:w="655" w:type="dxa"/>
            <w:vMerge w:val="continue"/>
            <w:tcBorders>
              <w:tl2br w:val="nil"/>
              <w:tr2bl w:val="nil"/>
            </w:tcBorders>
            <w:noWrap w:val="0"/>
            <w:vAlign w:val="center"/>
          </w:tcPr>
          <w:p w14:paraId="69AED874">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23670D15">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0F3608C4">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223D9F5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《中华人民共和国价格法》</w:t>
            </w:r>
            <w:r>
              <w:rPr>
                <w:rFonts w:hint="eastAsia" w:ascii="宋体" w:hAnsi="宋体" w:cs="宋体"/>
                <w:spacing w:val="-11"/>
                <w:kern w:val="0"/>
                <w:szCs w:val="21"/>
                <w:lang w:bidi="ar"/>
              </w:rPr>
              <w:t>第四十二条：“经营者违反明码标价规定的，责令改正，没收违法所得，可以并处五千元以下的罚款。”</w:t>
            </w:r>
          </w:p>
        </w:tc>
      </w:tr>
      <w:tr w14:paraId="75E99C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0" w:hRule="atLeast"/>
          <w:jc w:val="center"/>
        </w:trPr>
        <w:tc>
          <w:tcPr>
            <w:tcW w:w="655" w:type="dxa"/>
            <w:vMerge w:val="continue"/>
            <w:tcBorders>
              <w:tl2br w:val="nil"/>
              <w:tr2bl w:val="nil"/>
            </w:tcBorders>
            <w:noWrap w:val="0"/>
            <w:vAlign w:val="center"/>
          </w:tcPr>
          <w:p w14:paraId="3F5F74BC">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2390A23F">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246AA192">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3210BE9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关于商品和服务实行明码标价的规定》第二十一条：“经营者有下列行为之一的，由价格主管部门责令改正，没收违法所得，可以并处5000元以下的罚款；没有违法所得的，可以处以5000元以下的罚款。……（二）不按规定的内容和方式明码标价的；……（五）擅自印制标价签或价目表的；（六）使用未经监制的标价内容和方式的；……”</w:t>
            </w:r>
          </w:p>
        </w:tc>
      </w:tr>
      <w:tr w14:paraId="1B925F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jc w:val="center"/>
        </w:trPr>
        <w:tc>
          <w:tcPr>
            <w:tcW w:w="655" w:type="dxa"/>
            <w:vMerge w:val="restart"/>
            <w:tcBorders>
              <w:tl2br w:val="nil"/>
              <w:tr2bl w:val="nil"/>
            </w:tcBorders>
            <w:noWrap w:val="0"/>
            <w:vAlign w:val="center"/>
          </w:tcPr>
          <w:p w14:paraId="4E87E73A">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11</w:t>
            </w:r>
          </w:p>
        </w:tc>
        <w:tc>
          <w:tcPr>
            <w:tcW w:w="2167" w:type="dxa"/>
            <w:vMerge w:val="restart"/>
            <w:tcBorders>
              <w:tl2br w:val="nil"/>
              <w:tr2bl w:val="nil"/>
            </w:tcBorders>
            <w:noWrap w:val="0"/>
            <w:vAlign w:val="center"/>
          </w:tcPr>
          <w:p w14:paraId="438A1AA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未公布广告收费标准和收费办法</w:t>
            </w:r>
          </w:p>
        </w:tc>
        <w:tc>
          <w:tcPr>
            <w:tcW w:w="2487" w:type="dxa"/>
            <w:vMerge w:val="restart"/>
            <w:tcBorders>
              <w:tl2br w:val="nil"/>
              <w:tr2bl w:val="nil"/>
            </w:tcBorders>
            <w:noWrap w:val="0"/>
            <w:vAlign w:val="center"/>
          </w:tcPr>
          <w:p w14:paraId="4A61FD79">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被发现实施此类违法行为，危害后果轻微，已自行改正或者在市场监管部门规定的期限内改正</w:t>
            </w:r>
          </w:p>
        </w:tc>
        <w:tc>
          <w:tcPr>
            <w:tcW w:w="9017" w:type="dxa"/>
            <w:tcBorders>
              <w:tl2br w:val="nil"/>
              <w:tr2bl w:val="nil"/>
            </w:tcBorders>
            <w:noWrap w:val="0"/>
            <w:vAlign w:val="center"/>
          </w:tcPr>
          <w:p w14:paraId="7EBD761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18970A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655" w:type="dxa"/>
            <w:vMerge w:val="continue"/>
            <w:tcBorders>
              <w:tl2br w:val="nil"/>
              <w:tr2bl w:val="nil"/>
            </w:tcBorders>
            <w:noWrap w:val="0"/>
            <w:vAlign w:val="center"/>
          </w:tcPr>
          <w:p w14:paraId="69BB2834">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4951B686">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72C0B208">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081B033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《中华人民共和国广告法》</w:t>
            </w:r>
            <w:r>
              <w:rPr>
                <w:rFonts w:hint="eastAsia" w:ascii="宋体" w:hAnsi="宋体" w:cs="宋体"/>
                <w:spacing w:val="-11"/>
                <w:kern w:val="0"/>
                <w:szCs w:val="21"/>
                <w:lang w:bidi="ar"/>
              </w:rPr>
              <w:t>第六十条第二款：“违反本法第三十五条规定，广告经营者、广告发布者未公布其收费标准和收费办法的，由价格主管部门责令改正，可以处五万元以下的罚款。”</w:t>
            </w:r>
          </w:p>
        </w:tc>
      </w:tr>
      <w:tr w14:paraId="4D789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424EE672">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三</w:t>
            </w:r>
          </w:p>
        </w:tc>
        <w:tc>
          <w:tcPr>
            <w:tcW w:w="13671" w:type="dxa"/>
            <w:gridSpan w:val="3"/>
            <w:tcBorders>
              <w:tl2br w:val="nil"/>
              <w:tr2bl w:val="nil"/>
            </w:tcBorders>
            <w:noWrap w:val="0"/>
            <w:vAlign w:val="center"/>
          </w:tcPr>
          <w:p w14:paraId="6BBF721A">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违反食品安全有关规定的行为</w:t>
            </w:r>
          </w:p>
        </w:tc>
      </w:tr>
      <w:tr w14:paraId="14DD1D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3" w:hRule="atLeast"/>
          <w:jc w:val="center"/>
        </w:trPr>
        <w:tc>
          <w:tcPr>
            <w:tcW w:w="655" w:type="dxa"/>
            <w:tcBorders>
              <w:tl2br w:val="nil"/>
              <w:tr2bl w:val="nil"/>
            </w:tcBorders>
            <w:noWrap w:val="0"/>
            <w:vAlign w:val="center"/>
          </w:tcPr>
          <w:p w14:paraId="2C4BEA53">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12</w:t>
            </w:r>
          </w:p>
        </w:tc>
        <w:tc>
          <w:tcPr>
            <w:tcW w:w="2167" w:type="dxa"/>
            <w:tcBorders>
              <w:tl2br w:val="nil"/>
              <w:tr2bl w:val="nil"/>
            </w:tcBorders>
            <w:noWrap w:val="0"/>
            <w:vAlign w:val="center"/>
          </w:tcPr>
          <w:p w14:paraId="58FF21E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食品、食品添加剂的标签、说明书存在瑕疵</w:t>
            </w:r>
          </w:p>
        </w:tc>
        <w:tc>
          <w:tcPr>
            <w:tcW w:w="2487" w:type="dxa"/>
            <w:tcBorders>
              <w:tl2br w:val="nil"/>
              <w:tr2bl w:val="nil"/>
            </w:tcBorders>
            <w:noWrap w:val="0"/>
            <w:vAlign w:val="center"/>
          </w:tcPr>
          <w:p w14:paraId="2D495B3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不影响食品安全，未对消费者造成误导，已自行改正或者在市场监管部门规定的期限内改正</w:t>
            </w:r>
          </w:p>
        </w:tc>
        <w:tc>
          <w:tcPr>
            <w:tcW w:w="9017" w:type="dxa"/>
            <w:tcBorders>
              <w:tl2br w:val="nil"/>
              <w:tr2bl w:val="nil"/>
            </w:tcBorders>
            <w:noWrap w:val="0"/>
            <w:vAlign w:val="center"/>
          </w:tcPr>
          <w:p w14:paraId="6075612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《中华人民共和国食品安全法》</w:t>
            </w:r>
            <w:r>
              <w:rPr>
                <w:rFonts w:hint="eastAsia" w:ascii="宋体" w:hAnsi="宋体" w:cs="宋体"/>
                <w:spacing w:val="-11"/>
                <w:kern w:val="0"/>
                <w:szCs w:val="21"/>
                <w:lang w:bidi="ar"/>
              </w:rPr>
              <w:t>第一百二十五条第二款：“生产经营的食品、食品添加剂的标签、说明书存在瑕疵但不影响食品安全且不会对消费者造成误导的，由县级以上人民政府食品安全监督管理部门责令改正；拒不改正的，处二千元以下罚款。”</w:t>
            </w:r>
          </w:p>
        </w:tc>
      </w:tr>
      <w:tr w14:paraId="72CB86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7" w:hRule="atLeast"/>
          <w:jc w:val="center"/>
        </w:trPr>
        <w:tc>
          <w:tcPr>
            <w:tcW w:w="655" w:type="dxa"/>
            <w:vMerge w:val="restart"/>
            <w:tcBorders>
              <w:tl2br w:val="nil"/>
              <w:tr2bl w:val="nil"/>
            </w:tcBorders>
            <w:noWrap w:val="0"/>
            <w:vAlign w:val="center"/>
          </w:tcPr>
          <w:p w14:paraId="0FE1B1D5">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13</w:t>
            </w:r>
          </w:p>
        </w:tc>
        <w:tc>
          <w:tcPr>
            <w:tcW w:w="2167" w:type="dxa"/>
            <w:vMerge w:val="restart"/>
            <w:tcBorders>
              <w:tl2br w:val="nil"/>
              <w:tr2bl w:val="nil"/>
            </w:tcBorders>
            <w:noWrap w:val="0"/>
            <w:vAlign w:val="center"/>
          </w:tcPr>
          <w:p w14:paraId="20031D9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经营食品不符合食品安全标准，有证据足以证明没有主观过错</w:t>
            </w:r>
          </w:p>
        </w:tc>
        <w:tc>
          <w:tcPr>
            <w:tcW w:w="2487" w:type="dxa"/>
            <w:vMerge w:val="restart"/>
            <w:tcBorders>
              <w:tl2br w:val="nil"/>
              <w:tr2bl w:val="nil"/>
            </w:tcBorders>
            <w:noWrap w:val="0"/>
            <w:vAlign w:val="center"/>
          </w:tcPr>
          <w:p w14:paraId="2569745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履行了</w:t>
            </w:r>
            <w:r>
              <w:rPr>
                <w:rFonts w:hint="eastAsia" w:ascii="宋体" w:hAnsi="宋体" w:cs="宋体"/>
                <w:spacing w:val="-11"/>
                <w:kern w:val="0"/>
                <w:szCs w:val="21"/>
                <w:lang w:eastAsia="zh-CN" w:bidi="ar"/>
              </w:rPr>
              <w:t>《中华人民共和国食品安全法》</w:t>
            </w:r>
            <w:r>
              <w:rPr>
                <w:rFonts w:hint="eastAsia" w:ascii="宋体" w:hAnsi="宋体" w:cs="宋体"/>
                <w:spacing w:val="-11"/>
                <w:kern w:val="0"/>
                <w:szCs w:val="21"/>
                <w:lang w:bidi="ar"/>
              </w:rPr>
              <w:t>规定的进货查验等义务，如营业执照、生产经营许可证、出厂检验合格证或涉案产品品类的合格证明文件等，有充分证据证明不知道所采购的食品不符合食品安全标准，能如实说明其进货来源</w:t>
            </w:r>
          </w:p>
        </w:tc>
        <w:tc>
          <w:tcPr>
            <w:tcW w:w="9017" w:type="dxa"/>
            <w:tcBorders>
              <w:tl2br w:val="nil"/>
              <w:tr2bl w:val="nil"/>
            </w:tcBorders>
            <w:noWrap w:val="0"/>
            <w:vAlign w:val="center"/>
          </w:tcPr>
          <w:p w14:paraId="2C3D081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第三十三条第二款：“当事人有证据足以证明没有主观过错的，不予行政处罚。法律、行政法规另有规定的，从其规定。”</w:t>
            </w:r>
          </w:p>
        </w:tc>
      </w:tr>
      <w:tr w14:paraId="21BD3F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continue"/>
            <w:tcBorders>
              <w:tl2br w:val="nil"/>
              <w:tr2bl w:val="nil"/>
            </w:tcBorders>
            <w:noWrap w:val="0"/>
            <w:vAlign w:val="center"/>
          </w:tcPr>
          <w:p w14:paraId="30A9B248">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8F234B1">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5E5202E8">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D7FAD8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《中华人民共和国食品安全法》</w:t>
            </w:r>
            <w:r>
              <w:rPr>
                <w:rFonts w:hint="eastAsia" w:ascii="宋体" w:hAnsi="宋体" w:cs="宋体"/>
                <w:spacing w:val="-11"/>
                <w:kern w:val="0"/>
                <w:szCs w:val="21"/>
                <w:lang w:bidi="ar"/>
              </w:rPr>
              <w:t>第五十三条：“食品经营者采购食品，应当查验供货者的许可证和食品出厂检验合格证或者其他合格证明（以下称合格证明文件）。食品经营企业应当建立食品进货查验记录制度，如实记录食品的名称、规格、数量、生产日期或者生产批号、保质期、进货日期以及供货者名称、地址、联系方式等内容，并保存相关凭证。记录和凭证保存期限应当符合本法第五十条第二款的规定。实行统一配送经营方式的食品经营企业，可以由企业总部统一查验供货者的许可证和食品合格证明文件，进行食品进货查验记录。从事食品批发业务的经营企业应当建立食品销售记录制度，如实记录批发食品的名称、规格、数量、生产日期或者生产批号、保质期、销售日期以及购货者名称、地址、联系方式等内容，并保存相关凭证。记录和凭证保存期限应当符合本法第五十条第二款的规定。”</w:t>
            </w:r>
          </w:p>
        </w:tc>
      </w:tr>
      <w:tr w14:paraId="5A4BCE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8" w:hRule="atLeast"/>
          <w:jc w:val="center"/>
        </w:trPr>
        <w:tc>
          <w:tcPr>
            <w:tcW w:w="655" w:type="dxa"/>
            <w:vMerge w:val="continue"/>
            <w:tcBorders>
              <w:tl2br w:val="nil"/>
              <w:tr2bl w:val="nil"/>
            </w:tcBorders>
            <w:noWrap w:val="0"/>
            <w:vAlign w:val="center"/>
          </w:tcPr>
          <w:p w14:paraId="580A823B">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6BE931F7">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08F9158F">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2D0DE09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《中华人民共和国食品安全法》</w:t>
            </w:r>
            <w:r>
              <w:rPr>
                <w:rFonts w:hint="eastAsia" w:ascii="宋体" w:hAnsi="宋体" w:cs="宋体"/>
                <w:spacing w:val="-11"/>
                <w:kern w:val="0"/>
                <w:szCs w:val="21"/>
                <w:lang w:bidi="ar"/>
              </w:rPr>
              <w:t>第一百三十六条：“食品经营者履行了本法规定的进货查验等义务，有充分证据证明其不知道所采购的食品不符合食品安全标准，并能如实说明其进货来源的，可以免予处罚，但应当依法没收其不符合食品安全标准的食品；造成人身、财产或者其他损害的，依法承担赔偿责任。”</w:t>
            </w:r>
          </w:p>
        </w:tc>
      </w:tr>
      <w:tr w14:paraId="5187FD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 w:hRule="atLeast"/>
          <w:jc w:val="center"/>
        </w:trPr>
        <w:tc>
          <w:tcPr>
            <w:tcW w:w="655" w:type="dxa"/>
            <w:tcBorders>
              <w:tl2br w:val="nil"/>
              <w:tr2bl w:val="nil"/>
            </w:tcBorders>
            <w:noWrap w:val="0"/>
            <w:vAlign w:val="center"/>
          </w:tcPr>
          <w:p w14:paraId="16FCE68B">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14</w:t>
            </w:r>
          </w:p>
        </w:tc>
        <w:tc>
          <w:tcPr>
            <w:tcW w:w="2167" w:type="dxa"/>
            <w:tcBorders>
              <w:tl2br w:val="nil"/>
              <w:tr2bl w:val="nil"/>
            </w:tcBorders>
            <w:noWrap w:val="0"/>
            <w:vAlign w:val="center"/>
          </w:tcPr>
          <w:p w14:paraId="3D03038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未按规定在生产场所的显著位置悬挂或者摆放食品生产许可证</w:t>
            </w:r>
          </w:p>
        </w:tc>
        <w:tc>
          <w:tcPr>
            <w:tcW w:w="2487" w:type="dxa"/>
            <w:tcBorders>
              <w:tl2br w:val="nil"/>
              <w:tr2bl w:val="nil"/>
            </w:tcBorders>
            <w:noWrap w:val="0"/>
            <w:vAlign w:val="center"/>
          </w:tcPr>
          <w:p w14:paraId="4265D84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0E88A4B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生产许可管理办法》第五十二条：“违反本办法第三十一条第二款规定，食品生产者未按规定在生产场所的显著位置悬挂或者摆放食品生产许可证的，由县级以上地方市场监督管理部门责令改正；拒不改正的，给予警告。”</w:t>
            </w:r>
          </w:p>
        </w:tc>
      </w:tr>
      <w:tr w14:paraId="1C883F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7" w:hRule="atLeast"/>
          <w:jc w:val="center"/>
        </w:trPr>
        <w:tc>
          <w:tcPr>
            <w:tcW w:w="655" w:type="dxa"/>
            <w:tcBorders>
              <w:tl2br w:val="nil"/>
              <w:tr2bl w:val="nil"/>
            </w:tcBorders>
            <w:noWrap w:val="0"/>
            <w:vAlign w:val="center"/>
          </w:tcPr>
          <w:p w14:paraId="745DDDF7">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15</w:t>
            </w:r>
          </w:p>
        </w:tc>
        <w:tc>
          <w:tcPr>
            <w:tcW w:w="2167" w:type="dxa"/>
            <w:tcBorders>
              <w:tl2br w:val="nil"/>
              <w:tr2bl w:val="nil"/>
            </w:tcBorders>
            <w:noWrap w:val="0"/>
            <w:vAlign w:val="center"/>
          </w:tcPr>
          <w:p w14:paraId="70A15B1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食品生产者终止食品生产，食品生产许可被撤回、撤销或者食品生产许可证被吊销，未按规定申请办理注销手续</w:t>
            </w:r>
          </w:p>
        </w:tc>
        <w:tc>
          <w:tcPr>
            <w:tcW w:w="2487" w:type="dxa"/>
            <w:tcBorders>
              <w:tl2br w:val="nil"/>
              <w:tr2bl w:val="nil"/>
            </w:tcBorders>
            <w:noWrap w:val="0"/>
            <w:vAlign w:val="center"/>
          </w:tcPr>
          <w:p w14:paraId="681FCBA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3BC1980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生产许可管理办法》第五十三条第三款：“违反本办法第三十二条第三款、第四十条第一款规定，……食品生产者终止食品生产，食品生产许可被撤回、撤销或者食品生产许可证被吊销，未按规定申请办理注销手续的，由原发证的市场监督管理部门责令改正；拒不改正的，给予警告，并处5000元以下罚款。”</w:t>
            </w:r>
          </w:p>
        </w:tc>
      </w:tr>
      <w:tr w14:paraId="7D1052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6" w:hRule="atLeast"/>
          <w:jc w:val="center"/>
        </w:trPr>
        <w:tc>
          <w:tcPr>
            <w:tcW w:w="655" w:type="dxa"/>
            <w:tcBorders>
              <w:tl2br w:val="nil"/>
              <w:tr2bl w:val="nil"/>
            </w:tcBorders>
            <w:noWrap w:val="0"/>
            <w:vAlign w:val="center"/>
          </w:tcPr>
          <w:p w14:paraId="220C4188">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16</w:t>
            </w:r>
          </w:p>
        </w:tc>
        <w:tc>
          <w:tcPr>
            <w:tcW w:w="2167" w:type="dxa"/>
            <w:tcBorders>
              <w:tl2br w:val="nil"/>
              <w:tr2bl w:val="nil"/>
            </w:tcBorders>
            <w:noWrap w:val="0"/>
            <w:vAlign w:val="center"/>
          </w:tcPr>
          <w:p w14:paraId="7FFA1EE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未按规定在经营场所的显著位置悬挂或者摆放食品经营许可证</w:t>
            </w:r>
          </w:p>
        </w:tc>
        <w:tc>
          <w:tcPr>
            <w:tcW w:w="2487" w:type="dxa"/>
            <w:tcBorders>
              <w:tl2br w:val="nil"/>
              <w:tr2bl w:val="nil"/>
            </w:tcBorders>
            <w:noWrap w:val="0"/>
            <w:vAlign w:val="center"/>
          </w:tcPr>
          <w:p w14:paraId="04C1904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1240B52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经营许可管理办法》第四十八条第二款：“违反本办法第二十六条第二款规定，食品经营者未按规定在经营场所的显著位置悬挂或者摆放食品经营许可证的，由县级以上地方食品药品监督管理部门责令改正；拒不改正的，给予警告。”</w:t>
            </w:r>
          </w:p>
        </w:tc>
      </w:tr>
      <w:tr w14:paraId="0E9A25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7" w:hRule="atLeast"/>
          <w:jc w:val="center"/>
        </w:trPr>
        <w:tc>
          <w:tcPr>
            <w:tcW w:w="655" w:type="dxa"/>
            <w:tcBorders>
              <w:tl2br w:val="nil"/>
              <w:tr2bl w:val="nil"/>
            </w:tcBorders>
            <w:noWrap w:val="0"/>
            <w:vAlign w:val="center"/>
          </w:tcPr>
          <w:p w14:paraId="780DC0B4">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17</w:t>
            </w:r>
          </w:p>
        </w:tc>
        <w:tc>
          <w:tcPr>
            <w:tcW w:w="2167" w:type="dxa"/>
            <w:tcBorders>
              <w:tl2br w:val="nil"/>
              <w:tr2bl w:val="nil"/>
            </w:tcBorders>
            <w:noWrap w:val="0"/>
            <w:vAlign w:val="center"/>
          </w:tcPr>
          <w:p w14:paraId="0934110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食品经营者外设仓库地址发生变化，未按规定报告</w:t>
            </w:r>
          </w:p>
        </w:tc>
        <w:tc>
          <w:tcPr>
            <w:tcW w:w="2487" w:type="dxa"/>
            <w:tcBorders>
              <w:tl2br w:val="nil"/>
              <w:tr2bl w:val="nil"/>
            </w:tcBorders>
            <w:noWrap w:val="0"/>
            <w:vAlign w:val="center"/>
          </w:tcPr>
          <w:p w14:paraId="7A7C5FA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74AFD29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经营许可管理办法》第四十九条第二款：“违反本办法第二十七条第二款规定或者第三十六条第一款规定，食品经营者外设仓库地址发生变化，未按规定报告的，……由原发证的食品药品监督管理部门责令改正；拒不改正的，给予警告，并处2000元以下罚款。”</w:t>
            </w:r>
          </w:p>
        </w:tc>
      </w:tr>
      <w:tr w14:paraId="28CF98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0" w:hRule="atLeast"/>
          <w:jc w:val="center"/>
        </w:trPr>
        <w:tc>
          <w:tcPr>
            <w:tcW w:w="655" w:type="dxa"/>
            <w:tcBorders>
              <w:tl2br w:val="nil"/>
              <w:tr2bl w:val="nil"/>
            </w:tcBorders>
            <w:noWrap w:val="0"/>
            <w:vAlign w:val="center"/>
          </w:tcPr>
          <w:p w14:paraId="18695906">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18</w:t>
            </w:r>
          </w:p>
        </w:tc>
        <w:tc>
          <w:tcPr>
            <w:tcW w:w="2167" w:type="dxa"/>
            <w:tcBorders>
              <w:tl2br w:val="nil"/>
              <w:tr2bl w:val="nil"/>
            </w:tcBorders>
            <w:noWrap w:val="0"/>
            <w:vAlign w:val="center"/>
          </w:tcPr>
          <w:p w14:paraId="30FF099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食品经营者终止食品经营，食品经营许可被撤回、撤销或者食品经营许可证被吊销，未按规定申请办理注销手续</w:t>
            </w:r>
          </w:p>
        </w:tc>
        <w:tc>
          <w:tcPr>
            <w:tcW w:w="2487" w:type="dxa"/>
            <w:tcBorders>
              <w:tl2br w:val="nil"/>
              <w:tr2bl w:val="nil"/>
            </w:tcBorders>
            <w:noWrap w:val="0"/>
            <w:vAlign w:val="center"/>
          </w:tcPr>
          <w:p w14:paraId="53B584A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57C5B4C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经营许可管理办法》第四十九条第二款：“违反本办法第二十七条第二款规定或者第三十六条第一款规定，……食品经营者终止食品经营，食品经营许可被撤回、撤销或者食品经营许可证被吊销，未按规定申请办理注销手续的，由原发证的食品药品监督管理部门责令改正；拒不改正的，给予警告，并处2000元以下罚款。”</w:t>
            </w:r>
          </w:p>
        </w:tc>
      </w:tr>
      <w:tr w14:paraId="63FFA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0" w:hRule="atLeast"/>
          <w:jc w:val="center"/>
        </w:trPr>
        <w:tc>
          <w:tcPr>
            <w:tcW w:w="655" w:type="dxa"/>
            <w:vMerge w:val="restart"/>
            <w:tcBorders>
              <w:tl2br w:val="nil"/>
              <w:tr2bl w:val="nil"/>
            </w:tcBorders>
            <w:noWrap w:val="0"/>
            <w:vAlign w:val="center"/>
          </w:tcPr>
          <w:p w14:paraId="116E0EB3">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19</w:t>
            </w:r>
          </w:p>
        </w:tc>
        <w:tc>
          <w:tcPr>
            <w:tcW w:w="2167" w:type="dxa"/>
            <w:vMerge w:val="restart"/>
            <w:tcBorders>
              <w:tl2br w:val="nil"/>
              <w:tr2bl w:val="nil"/>
            </w:tcBorders>
            <w:noWrap w:val="0"/>
            <w:vAlign w:val="center"/>
          </w:tcPr>
          <w:p w14:paraId="642DD45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销售食用农产品不符合食品安全标准，有证据足以证明没有主观过错</w:t>
            </w:r>
          </w:p>
        </w:tc>
        <w:tc>
          <w:tcPr>
            <w:tcW w:w="2487" w:type="dxa"/>
            <w:vMerge w:val="restart"/>
            <w:tcBorders>
              <w:tl2br w:val="nil"/>
              <w:tr2bl w:val="nil"/>
            </w:tcBorders>
            <w:noWrap w:val="0"/>
            <w:vAlign w:val="center"/>
          </w:tcPr>
          <w:p w14:paraId="78324D6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履行了《食用农产品市场销售质量安全监督管理办法》规定的食用农产品进货查验等义务，有充分证据证明不知道所采购的食用农产品不符合食品安全标准，能如实说明其进货来源</w:t>
            </w:r>
          </w:p>
        </w:tc>
        <w:tc>
          <w:tcPr>
            <w:tcW w:w="9017" w:type="dxa"/>
            <w:tcBorders>
              <w:tl2br w:val="nil"/>
              <w:tr2bl w:val="nil"/>
            </w:tcBorders>
            <w:noWrap w:val="0"/>
            <w:vAlign w:val="center"/>
          </w:tcPr>
          <w:p w14:paraId="68FFE9B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第三十三条第二款：“当事人有证据足以证明没有主观过错的，不予行政处罚。法律、行政法规另有规定的，从其规定。”</w:t>
            </w:r>
          </w:p>
        </w:tc>
      </w:tr>
      <w:tr w14:paraId="516ED3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0" w:hRule="atLeast"/>
          <w:jc w:val="center"/>
        </w:trPr>
        <w:tc>
          <w:tcPr>
            <w:tcW w:w="655" w:type="dxa"/>
            <w:vMerge w:val="continue"/>
            <w:tcBorders>
              <w:tl2br w:val="nil"/>
              <w:tr2bl w:val="nil"/>
            </w:tcBorders>
            <w:noWrap w:val="0"/>
            <w:vAlign w:val="center"/>
          </w:tcPr>
          <w:p w14:paraId="13DD2879">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2FA10810">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2F910EE4">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27AF7B5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用农产品市场销售质量安全监督管理办法》第二十六条：“销售者采购食用农产品，应当按照规定查验相关证明材料，不符合要求的，不得采购和销售。销售者应当建立食用农产品进货查验记录制度，如实记录食用农产品名称、数量、进货日期以及供货者名称、地址、联系方式等内容，并保存相关凭证。记录和凭证保存期限不得少于6个月。实行统一配送销售方式的食用农产品销售企业，可以由企业总部统一建立进货查验记录制度；所属各销售门店应当保存总部的配送清单以及相应的合格证明文件。配送清单和合格证明文件保存期限不得少于6个月。从事食用农产品批发业务的销售企业，应当建立食用农产品销售记录制度，如实记录批发食用农产品名称、数量、销售日期以及购货者名称、地址、联系方式等内容，并保存相关凭证。记录和凭证保存期限不得少于6个月。鼓励和引导有条件的销售企业采用扫描、拍照、数据交换、电子表格等方式，建立食用农产品进货查验记录制度。”</w:t>
            </w:r>
          </w:p>
        </w:tc>
      </w:tr>
      <w:tr w14:paraId="2F664A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4" w:hRule="atLeast"/>
          <w:jc w:val="center"/>
        </w:trPr>
        <w:tc>
          <w:tcPr>
            <w:tcW w:w="655" w:type="dxa"/>
            <w:vMerge w:val="continue"/>
            <w:tcBorders>
              <w:tl2br w:val="nil"/>
              <w:tr2bl w:val="nil"/>
            </w:tcBorders>
            <w:noWrap w:val="0"/>
            <w:vAlign w:val="center"/>
          </w:tcPr>
          <w:p w14:paraId="7CB88061">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2F8EB933">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40FBE120">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1A1BCAE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用农产品市场销售质量安全监督管理办法》第五十四条：“销售者履行了本办法规定的食用农产品进货查验等义务，有充分证据证明其不知道所采购的食用农产品不符合食品安全标准，并能如实说明其进货来源的，可以免予处罚，但应当依法没收其不符合食品安全标准的食用农产品；造成人身、财产或者其他损害的，依法承担赔偿责任。”</w:t>
            </w:r>
          </w:p>
        </w:tc>
      </w:tr>
      <w:tr w14:paraId="5674E3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655" w:type="dxa"/>
            <w:vMerge w:val="restart"/>
            <w:tcBorders>
              <w:tl2br w:val="nil"/>
              <w:tr2bl w:val="nil"/>
            </w:tcBorders>
            <w:noWrap w:val="0"/>
            <w:vAlign w:val="center"/>
          </w:tcPr>
          <w:p w14:paraId="428B6A59">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20</w:t>
            </w:r>
          </w:p>
        </w:tc>
        <w:tc>
          <w:tcPr>
            <w:tcW w:w="2167" w:type="dxa"/>
            <w:vMerge w:val="restart"/>
            <w:tcBorders>
              <w:tl2br w:val="nil"/>
              <w:tr2bl w:val="nil"/>
            </w:tcBorders>
            <w:noWrap w:val="0"/>
            <w:vAlign w:val="center"/>
          </w:tcPr>
          <w:p w14:paraId="164D03E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食品经营者收到监督抽检不合格检验结论后未按规定在被抽检经营场所显著位置公示相关不合格产品信息</w:t>
            </w:r>
          </w:p>
        </w:tc>
        <w:tc>
          <w:tcPr>
            <w:tcW w:w="2487" w:type="dxa"/>
            <w:vMerge w:val="restart"/>
            <w:tcBorders>
              <w:tl2br w:val="nil"/>
              <w:tr2bl w:val="nil"/>
            </w:tcBorders>
            <w:noWrap w:val="0"/>
            <w:vAlign w:val="center"/>
          </w:tcPr>
          <w:p w14:paraId="43D74EC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2D676F8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《食品安全抽样检验管理办法》第四十二条：“食品经营者收到监督抽检不合格检验结论后，应当按照国家市场监督管理总局的规定在被抽检经营场所显著位置公示相关不合格产品信息。”</w:t>
            </w:r>
          </w:p>
        </w:tc>
      </w:tr>
      <w:tr w14:paraId="27B531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655" w:type="dxa"/>
            <w:vMerge w:val="continue"/>
            <w:tcBorders>
              <w:tl2br w:val="nil"/>
              <w:tr2bl w:val="nil"/>
            </w:tcBorders>
            <w:noWrap w:val="0"/>
            <w:vAlign w:val="center"/>
          </w:tcPr>
          <w:p w14:paraId="06845BFA">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3B5DADEC">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7444AA06">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76DF3E4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安全抽样检验管理办法》第四十七条第三款：“违反本办法第四十二条的规定，食品经营者未按规定公示相关不合格产品信息的，由市场监督管理部门责令改正；拒不改正的，给予警告，并处2000元以上3万元以下罚款。”</w:t>
            </w:r>
          </w:p>
        </w:tc>
      </w:tr>
      <w:tr w14:paraId="125124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655" w:type="dxa"/>
            <w:tcBorders>
              <w:tl2br w:val="nil"/>
              <w:tr2bl w:val="nil"/>
            </w:tcBorders>
            <w:noWrap w:val="0"/>
            <w:vAlign w:val="center"/>
          </w:tcPr>
          <w:p w14:paraId="1ABDF97B">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21</w:t>
            </w:r>
          </w:p>
        </w:tc>
        <w:tc>
          <w:tcPr>
            <w:tcW w:w="2167" w:type="dxa"/>
            <w:tcBorders>
              <w:tl2br w:val="nil"/>
              <w:tr2bl w:val="nil"/>
            </w:tcBorders>
            <w:noWrap w:val="0"/>
            <w:vAlign w:val="center"/>
          </w:tcPr>
          <w:p w14:paraId="0EA8168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食盐零售单位销售散装食盐</w:t>
            </w:r>
          </w:p>
        </w:tc>
        <w:tc>
          <w:tcPr>
            <w:tcW w:w="2487" w:type="dxa"/>
            <w:tcBorders>
              <w:tl2br w:val="nil"/>
              <w:tr2bl w:val="nil"/>
            </w:tcBorders>
            <w:noWrap w:val="0"/>
            <w:vAlign w:val="center"/>
          </w:tcPr>
          <w:p w14:paraId="4AA3D85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42C2C4E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盐质量安全监督管理办法》第二十四条：“违反本办法第八条第二款，食盐零售单位销售散装食盐，或者餐饮服务提供者采购、贮存、使用散装食盐的，由县级以上市场监督管理部门责令改正；拒不改正的，给予警告，并处5000元以上3万元以下罚款。”</w:t>
            </w:r>
          </w:p>
        </w:tc>
      </w:tr>
      <w:tr w14:paraId="3D9254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0" w:hRule="atLeast"/>
          <w:jc w:val="center"/>
        </w:trPr>
        <w:tc>
          <w:tcPr>
            <w:tcW w:w="655" w:type="dxa"/>
            <w:tcBorders>
              <w:tl2br w:val="nil"/>
              <w:tr2bl w:val="nil"/>
            </w:tcBorders>
            <w:noWrap w:val="0"/>
            <w:vAlign w:val="center"/>
          </w:tcPr>
          <w:p w14:paraId="54330C59">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22</w:t>
            </w:r>
          </w:p>
        </w:tc>
        <w:tc>
          <w:tcPr>
            <w:tcW w:w="2167" w:type="dxa"/>
            <w:tcBorders>
              <w:tl2br w:val="nil"/>
              <w:tr2bl w:val="nil"/>
            </w:tcBorders>
            <w:noWrap w:val="0"/>
            <w:vAlign w:val="center"/>
          </w:tcPr>
          <w:p w14:paraId="0471A72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餐饮服务提供者采购、贮存、使用散装食盐</w:t>
            </w:r>
          </w:p>
        </w:tc>
        <w:tc>
          <w:tcPr>
            <w:tcW w:w="2487" w:type="dxa"/>
            <w:tcBorders>
              <w:tl2br w:val="nil"/>
              <w:tr2bl w:val="nil"/>
            </w:tcBorders>
            <w:noWrap w:val="0"/>
            <w:vAlign w:val="center"/>
          </w:tcPr>
          <w:p w14:paraId="6BDBDA8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79118F3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盐质量安全监督管理办法》第二十四条：“违反本办法第八条第二款，食盐零售单位销售散装食盐，或者餐饮服务提供者采购、贮存、使用散装食盐的，由县级以上市场监督管理部门责令改正；拒不改正的，给予警告，并处5000元以上3万元以下罚款。”</w:t>
            </w:r>
          </w:p>
        </w:tc>
      </w:tr>
      <w:tr w14:paraId="60E41C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655" w:type="dxa"/>
            <w:tcBorders>
              <w:tl2br w:val="nil"/>
              <w:tr2bl w:val="nil"/>
            </w:tcBorders>
            <w:noWrap w:val="0"/>
            <w:vAlign w:val="center"/>
          </w:tcPr>
          <w:p w14:paraId="51BF0398">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23</w:t>
            </w:r>
          </w:p>
        </w:tc>
        <w:tc>
          <w:tcPr>
            <w:tcW w:w="2167" w:type="dxa"/>
            <w:tcBorders>
              <w:tl2br w:val="nil"/>
              <w:tr2bl w:val="nil"/>
            </w:tcBorders>
            <w:noWrap w:val="0"/>
            <w:vAlign w:val="center"/>
          </w:tcPr>
          <w:p w14:paraId="107311C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未加碘食盐的标签未在显著位置标注“未加碘”字样</w:t>
            </w:r>
          </w:p>
        </w:tc>
        <w:tc>
          <w:tcPr>
            <w:tcW w:w="2487" w:type="dxa"/>
            <w:tcBorders>
              <w:tl2br w:val="nil"/>
              <w:tr2bl w:val="nil"/>
            </w:tcBorders>
            <w:noWrap w:val="0"/>
            <w:vAlign w:val="center"/>
          </w:tcPr>
          <w:p w14:paraId="78487A6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4C26A0D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盐质量安全监督管理办法》第二十五条第二款：“违反本办法第九条第三款，未加碘食盐的标签未在显著位置标注‘未加碘’字样的，由县级以上市场监督管理部门责令改正；拒不改正的，给予警告，并处5000元以上3万元以下罚款。”</w:t>
            </w:r>
          </w:p>
        </w:tc>
      </w:tr>
      <w:tr w14:paraId="52E2B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1" w:hRule="atLeast"/>
          <w:jc w:val="center"/>
        </w:trPr>
        <w:tc>
          <w:tcPr>
            <w:tcW w:w="655" w:type="dxa"/>
            <w:tcBorders>
              <w:tl2br w:val="nil"/>
              <w:tr2bl w:val="nil"/>
            </w:tcBorders>
            <w:noWrap w:val="0"/>
            <w:vAlign w:val="center"/>
          </w:tcPr>
          <w:p w14:paraId="5A73C53A">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24</w:t>
            </w:r>
          </w:p>
        </w:tc>
        <w:tc>
          <w:tcPr>
            <w:tcW w:w="2167" w:type="dxa"/>
            <w:tcBorders>
              <w:tl2br w:val="nil"/>
              <w:tr2bl w:val="nil"/>
            </w:tcBorders>
            <w:noWrap w:val="0"/>
            <w:vAlign w:val="center"/>
          </w:tcPr>
          <w:p w14:paraId="5255398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学校食堂（或者供餐单位）未查验或者留存食用农产品生产者、集中交易市场开办者或者经营者的社会信用代码或者身份证复印件或者购货凭证、合格证明文件</w:t>
            </w:r>
          </w:p>
        </w:tc>
        <w:tc>
          <w:tcPr>
            <w:tcW w:w="2487" w:type="dxa"/>
            <w:tcBorders>
              <w:tl2br w:val="nil"/>
              <w:tr2bl w:val="nil"/>
            </w:tcBorders>
            <w:noWrap w:val="0"/>
            <w:vAlign w:val="center"/>
          </w:tcPr>
          <w:p w14:paraId="5837FF1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00A9F78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学校食品安全与营养健康管理规定》第五十四条第二款：“违反本规定第三十四条第（三）项、第（四）项，学校食堂（或者供餐单位）未查验或者留存食用农产品生产者、集中交易市场开办者或者经营者的社会信用代码或者身份证复印件或者购货凭证、合格证明文件的，由县级以上人民政府食品安全监督管理部门责令改正；拒不改正的，给予警告，并处5000元以上3万元以下罚款。”</w:t>
            </w:r>
          </w:p>
        </w:tc>
      </w:tr>
      <w:tr w14:paraId="3DC820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restart"/>
            <w:tcBorders>
              <w:tl2br w:val="nil"/>
              <w:tr2bl w:val="nil"/>
            </w:tcBorders>
            <w:noWrap w:val="0"/>
            <w:vAlign w:val="center"/>
          </w:tcPr>
          <w:p w14:paraId="7C0EDFE1">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25</w:t>
            </w:r>
          </w:p>
        </w:tc>
        <w:tc>
          <w:tcPr>
            <w:tcW w:w="2167" w:type="dxa"/>
            <w:vMerge w:val="restart"/>
            <w:tcBorders>
              <w:tl2br w:val="nil"/>
              <w:tr2bl w:val="nil"/>
            </w:tcBorders>
            <w:noWrap w:val="0"/>
            <w:vAlign w:val="center"/>
          </w:tcPr>
          <w:p w14:paraId="72F6007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食品经营者未及时处理超过保质期的食品</w:t>
            </w:r>
          </w:p>
        </w:tc>
        <w:tc>
          <w:tcPr>
            <w:tcW w:w="2487" w:type="dxa"/>
            <w:vMerge w:val="restart"/>
            <w:tcBorders>
              <w:tl2br w:val="nil"/>
              <w:tr2bl w:val="nil"/>
            </w:tcBorders>
            <w:noWrap w:val="0"/>
            <w:vAlign w:val="center"/>
          </w:tcPr>
          <w:p w14:paraId="614C47EB">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被发现实施此类违法行为，超过保质期的食品、食品添加剂数量少而且未销售，没有违法所得，已自行改正或者在市场监管部门规定的期限内改正，不含餐饮经营者</w:t>
            </w:r>
          </w:p>
        </w:tc>
        <w:tc>
          <w:tcPr>
            <w:tcW w:w="9017" w:type="dxa"/>
            <w:tcBorders>
              <w:tl2br w:val="nil"/>
              <w:tr2bl w:val="nil"/>
            </w:tcBorders>
            <w:noWrap w:val="0"/>
            <w:vAlign w:val="center"/>
          </w:tcPr>
          <w:p w14:paraId="6C6C917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796B13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jc w:val="center"/>
        </w:trPr>
        <w:tc>
          <w:tcPr>
            <w:tcW w:w="655" w:type="dxa"/>
            <w:vMerge w:val="continue"/>
            <w:tcBorders>
              <w:tl2br w:val="nil"/>
              <w:tr2bl w:val="nil"/>
            </w:tcBorders>
            <w:noWrap w:val="0"/>
            <w:vAlign w:val="center"/>
          </w:tcPr>
          <w:p w14:paraId="39748092">
            <w:pPr>
              <w:widowControl/>
              <w:spacing w:line="320" w:lineRule="exact"/>
              <w:jc w:val="center"/>
              <w:textAlignment w:val="center"/>
              <w:rPr>
                <w:rFonts w:hint="eastAsia" w:ascii="宋体" w:hAnsi="宋体" w:cs="宋体"/>
                <w:spacing w:val="-11"/>
                <w:kern w:val="0"/>
                <w:szCs w:val="21"/>
                <w:lang w:bidi="ar"/>
              </w:rPr>
            </w:pPr>
          </w:p>
        </w:tc>
        <w:tc>
          <w:tcPr>
            <w:tcW w:w="2167" w:type="dxa"/>
            <w:vMerge w:val="continue"/>
            <w:tcBorders>
              <w:tl2br w:val="nil"/>
              <w:tr2bl w:val="nil"/>
            </w:tcBorders>
            <w:noWrap w:val="0"/>
            <w:vAlign w:val="center"/>
          </w:tcPr>
          <w:p w14:paraId="4C9C9FEB">
            <w:pPr>
              <w:widowControl/>
              <w:spacing w:line="320" w:lineRule="exact"/>
              <w:textAlignment w:val="center"/>
              <w:rPr>
                <w:rFonts w:hint="eastAsia" w:ascii="宋体" w:hAnsi="宋体" w:cs="宋体"/>
                <w:spacing w:val="-11"/>
                <w:kern w:val="0"/>
                <w:szCs w:val="21"/>
                <w:lang w:bidi="ar"/>
              </w:rPr>
            </w:pPr>
          </w:p>
        </w:tc>
        <w:tc>
          <w:tcPr>
            <w:tcW w:w="2487" w:type="dxa"/>
            <w:vMerge w:val="continue"/>
            <w:tcBorders>
              <w:tl2br w:val="nil"/>
              <w:tr2bl w:val="nil"/>
            </w:tcBorders>
            <w:noWrap w:val="0"/>
            <w:vAlign w:val="center"/>
          </w:tcPr>
          <w:p w14:paraId="728B7806">
            <w:pPr>
              <w:widowControl/>
              <w:spacing w:line="320" w:lineRule="exact"/>
              <w:textAlignment w:val="center"/>
              <w:rPr>
                <w:rFonts w:hint="eastAsia" w:ascii="宋体" w:hAnsi="宋体" w:cs="宋体"/>
                <w:spacing w:val="-11"/>
                <w:kern w:val="0"/>
                <w:szCs w:val="21"/>
                <w:lang w:bidi="ar"/>
              </w:rPr>
            </w:pPr>
          </w:p>
        </w:tc>
        <w:tc>
          <w:tcPr>
            <w:tcW w:w="9017" w:type="dxa"/>
            <w:tcBorders>
              <w:tl2br w:val="nil"/>
              <w:tr2bl w:val="nil"/>
            </w:tcBorders>
            <w:noWrap w:val="0"/>
            <w:vAlign w:val="center"/>
          </w:tcPr>
          <w:p w14:paraId="76C42961">
            <w:pPr>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《食品安全法实施条例》第六十九条：“</w:t>
            </w:r>
            <w:r>
              <w:rPr>
                <w:rFonts w:hint="eastAsia" w:ascii="宋体" w:hAnsi="宋体" w:cs="宋体"/>
                <w:spacing w:val="-11"/>
                <w:szCs w:val="21"/>
              </w:rPr>
              <w:t>有下列情形之一的，依照食品安全法第一百二十六条第一款、本条例第七十五条的规定给予处罚：……（三）食品生产经营者未按照规定对变质、超过保质期或者回收的食品进行标示或者存放，或者未及时对上述食品采取无害化处理、销毁等措施并如实记录；……</w:t>
            </w:r>
            <w:r>
              <w:rPr>
                <w:rFonts w:hint="eastAsia" w:ascii="宋体" w:hAnsi="宋体" w:cs="宋体"/>
                <w:spacing w:val="-11"/>
                <w:kern w:val="0"/>
                <w:szCs w:val="21"/>
                <w:lang w:bidi="ar"/>
              </w:rPr>
              <w:t>”</w:t>
            </w:r>
          </w:p>
        </w:tc>
      </w:tr>
      <w:tr w14:paraId="63A75C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 w:hRule="atLeast"/>
          <w:jc w:val="center"/>
        </w:trPr>
        <w:tc>
          <w:tcPr>
            <w:tcW w:w="655" w:type="dxa"/>
            <w:vMerge w:val="continue"/>
            <w:tcBorders>
              <w:tl2br w:val="nil"/>
              <w:tr2bl w:val="nil"/>
            </w:tcBorders>
            <w:noWrap w:val="0"/>
            <w:vAlign w:val="center"/>
          </w:tcPr>
          <w:p w14:paraId="390E7890">
            <w:pPr>
              <w:widowControl/>
              <w:spacing w:line="320" w:lineRule="exact"/>
              <w:jc w:val="center"/>
              <w:textAlignment w:val="center"/>
              <w:rPr>
                <w:rFonts w:hint="eastAsia" w:ascii="宋体" w:hAnsi="宋体" w:cs="宋体"/>
                <w:spacing w:val="-11"/>
                <w:kern w:val="0"/>
                <w:szCs w:val="21"/>
                <w:lang w:bidi="ar"/>
              </w:rPr>
            </w:pPr>
          </w:p>
        </w:tc>
        <w:tc>
          <w:tcPr>
            <w:tcW w:w="2167" w:type="dxa"/>
            <w:vMerge w:val="continue"/>
            <w:tcBorders>
              <w:tl2br w:val="nil"/>
              <w:tr2bl w:val="nil"/>
            </w:tcBorders>
            <w:noWrap w:val="0"/>
            <w:vAlign w:val="center"/>
          </w:tcPr>
          <w:p w14:paraId="3E018E87">
            <w:pPr>
              <w:widowControl/>
              <w:spacing w:line="320" w:lineRule="exact"/>
              <w:textAlignment w:val="center"/>
              <w:rPr>
                <w:rFonts w:hint="eastAsia" w:ascii="宋体" w:hAnsi="宋体" w:cs="宋体"/>
                <w:spacing w:val="-11"/>
                <w:kern w:val="0"/>
                <w:szCs w:val="21"/>
                <w:lang w:bidi="ar"/>
              </w:rPr>
            </w:pPr>
          </w:p>
        </w:tc>
        <w:tc>
          <w:tcPr>
            <w:tcW w:w="2487" w:type="dxa"/>
            <w:vMerge w:val="continue"/>
            <w:tcBorders>
              <w:tl2br w:val="nil"/>
              <w:tr2bl w:val="nil"/>
            </w:tcBorders>
            <w:noWrap w:val="0"/>
            <w:vAlign w:val="center"/>
          </w:tcPr>
          <w:p w14:paraId="4DC8395F">
            <w:pPr>
              <w:widowControl/>
              <w:spacing w:line="320" w:lineRule="exact"/>
              <w:textAlignment w:val="center"/>
              <w:rPr>
                <w:rFonts w:hint="eastAsia" w:ascii="宋体" w:hAnsi="宋体" w:cs="宋体"/>
                <w:spacing w:val="-11"/>
                <w:kern w:val="0"/>
                <w:szCs w:val="21"/>
                <w:lang w:bidi="ar"/>
              </w:rPr>
            </w:pPr>
          </w:p>
        </w:tc>
        <w:tc>
          <w:tcPr>
            <w:tcW w:w="9017" w:type="dxa"/>
            <w:tcBorders>
              <w:tl2br w:val="nil"/>
              <w:tr2bl w:val="nil"/>
            </w:tcBorders>
            <w:noWrap w:val="0"/>
            <w:vAlign w:val="center"/>
          </w:tcPr>
          <w:p w14:paraId="5B14E051">
            <w:pPr>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eastAsia="zh-CN" w:bidi="ar"/>
              </w:rPr>
              <w:t>《中华人民共和国食品安全法》</w:t>
            </w:r>
            <w:r>
              <w:rPr>
                <w:rFonts w:hint="eastAsia" w:ascii="宋体" w:hAnsi="宋体" w:cs="宋体"/>
                <w:spacing w:val="-11"/>
                <w:kern w:val="0"/>
                <w:szCs w:val="21"/>
                <w:lang w:bidi="ar"/>
              </w:rPr>
              <w:t>第一百二十六条第一款：“</w:t>
            </w:r>
            <w:r>
              <w:rPr>
                <w:rFonts w:hint="eastAsia" w:ascii="宋体" w:hAnsi="宋体" w:cs="宋体"/>
                <w:spacing w:val="-11"/>
                <w:szCs w:val="21"/>
              </w:rPr>
              <w:t>违反本法规定，有下列情形之一的，由县级以上人民政府食品安全监督管理部门责令改正，给予警告；拒不改正的，处五千元以上五万元以下罚款；情节严重的，责令停产停业，直至吊销许可证：……</w:t>
            </w:r>
            <w:r>
              <w:rPr>
                <w:rFonts w:hint="eastAsia" w:ascii="宋体" w:hAnsi="宋体" w:cs="宋体"/>
                <w:spacing w:val="-11"/>
                <w:kern w:val="0"/>
                <w:szCs w:val="21"/>
                <w:lang w:bidi="ar"/>
              </w:rPr>
              <w:t>”</w:t>
            </w:r>
          </w:p>
        </w:tc>
      </w:tr>
      <w:tr w14:paraId="4BF2DF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0" w:hRule="atLeast"/>
          <w:jc w:val="center"/>
        </w:trPr>
        <w:tc>
          <w:tcPr>
            <w:tcW w:w="655" w:type="dxa"/>
            <w:tcBorders>
              <w:tl2br w:val="nil"/>
              <w:tr2bl w:val="nil"/>
            </w:tcBorders>
            <w:noWrap w:val="0"/>
            <w:vAlign w:val="center"/>
          </w:tcPr>
          <w:p w14:paraId="598A04B9">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26</w:t>
            </w:r>
          </w:p>
        </w:tc>
        <w:tc>
          <w:tcPr>
            <w:tcW w:w="2167" w:type="dxa"/>
            <w:tcBorders>
              <w:tl2br w:val="nil"/>
              <w:tr2bl w:val="nil"/>
            </w:tcBorders>
            <w:noWrap w:val="0"/>
            <w:vAlign w:val="center"/>
          </w:tcPr>
          <w:p w14:paraId="335AD46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食品小摊贩未取得备案卡从事食品经营活动</w:t>
            </w:r>
          </w:p>
        </w:tc>
        <w:tc>
          <w:tcPr>
            <w:tcW w:w="2487" w:type="dxa"/>
            <w:tcBorders>
              <w:tl2br w:val="nil"/>
              <w:tr2bl w:val="nil"/>
            </w:tcBorders>
            <w:noWrap w:val="0"/>
            <w:vAlign w:val="center"/>
          </w:tcPr>
          <w:p w14:paraId="663A103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3FFC1A2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江西省食品小作坊小餐饮小食杂店小摊贩管理条例》第四十五条第二款：“违反本条例规定，食品小摊贩未取得备案卡从事食品经营活动的，由市场监督管理部门责令改正；拒不改正的，没收违法所得和违法经营的食品，并处二百元以上五百元以下罚款；情节严重的，没收用于违法经营的工具、设备、原料等物品。”</w:t>
            </w:r>
          </w:p>
        </w:tc>
      </w:tr>
      <w:tr w14:paraId="7528A2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5F76C46E">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四</w:t>
            </w:r>
          </w:p>
        </w:tc>
        <w:tc>
          <w:tcPr>
            <w:tcW w:w="13671" w:type="dxa"/>
            <w:gridSpan w:val="3"/>
            <w:tcBorders>
              <w:tl2br w:val="nil"/>
              <w:tr2bl w:val="nil"/>
            </w:tcBorders>
            <w:noWrap w:val="0"/>
            <w:vAlign w:val="center"/>
          </w:tcPr>
          <w:p w14:paraId="2F14F5AD">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违反网络商品交易有关规定的行为</w:t>
            </w:r>
          </w:p>
        </w:tc>
      </w:tr>
      <w:tr w14:paraId="423FD8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restart"/>
            <w:tcBorders>
              <w:tl2br w:val="nil"/>
              <w:tr2bl w:val="nil"/>
            </w:tcBorders>
            <w:noWrap w:val="0"/>
            <w:vAlign w:val="center"/>
          </w:tcPr>
          <w:p w14:paraId="02793619">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27</w:t>
            </w:r>
          </w:p>
        </w:tc>
        <w:tc>
          <w:tcPr>
            <w:tcW w:w="2167" w:type="dxa"/>
            <w:vMerge w:val="restart"/>
            <w:tcBorders>
              <w:tl2br w:val="nil"/>
              <w:tr2bl w:val="nil"/>
            </w:tcBorders>
            <w:noWrap w:val="0"/>
            <w:vAlign w:val="center"/>
          </w:tcPr>
          <w:p w14:paraId="26C85E9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电子商务经营者未在首页显著位置公示营业执照信息、行政许可信息、属于不需要办理市场主体登记情形等信息或者上述信息的链接标识</w:t>
            </w:r>
          </w:p>
        </w:tc>
        <w:tc>
          <w:tcPr>
            <w:tcW w:w="2487" w:type="dxa"/>
            <w:vMerge w:val="restart"/>
            <w:tcBorders>
              <w:tl2br w:val="nil"/>
              <w:tr2bl w:val="nil"/>
            </w:tcBorders>
            <w:noWrap w:val="0"/>
            <w:vAlign w:val="center"/>
          </w:tcPr>
          <w:p w14:paraId="2FFBEC5A">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被发现实施此类违法行为，危害后果轻微，已自行改正或者在市场监管部门规定的期限内改正</w:t>
            </w:r>
          </w:p>
        </w:tc>
        <w:tc>
          <w:tcPr>
            <w:tcW w:w="9017" w:type="dxa"/>
            <w:tcBorders>
              <w:tl2br w:val="nil"/>
              <w:tr2bl w:val="nil"/>
            </w:tcBorders>
            <w:noWrap w:val="0"/>
            <w:vAlign w:val="center"/>
          </w:tcPr>
          <w:p w14:paraId="356918E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4AAC00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continue"/>
            <w:tcBorders>
              <w:tl2br w:val="nil"/>
              <w:tr2bl w:val="nil"/>
            </w:tcBorders>
            <w:noWrap w:val="0"/>
            <w:vAlign w:val="center"/>
          </w:tcPr>
          <w:p w14:paraId="40731AF3">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16699199">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39170675">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6E44547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《中华人民共和国电子商务法》</w:t>
            </w:r>
            <w:r>
              <w:rPr>
                <w:rFonts w:hint="eastAsia" w:ascii="宋体" w:hAnsi="宋体" w:cs="宋体"/>
                <w:spacing w:val="-11"/>
                <w:kern w:val="0"/>
                <w:szCs w:val="21"/>
                <w:lang w:bidi="ar"/>
              </w:rPr>
              <w:t>第七十六条第一款：“电子商务经营者违反本法规定，有下列行为之一的，由市场监督管理部门责令限期改正，可以处一万元以下的罚款，对其中的电子商务平台经营者，依照本法第八十一条第一款的规定处罚：（一） 未在首页显著位置公示营业执照信息、行政许可信息、属于不需要办理市场主体登记情形等信息</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或者上述信息的链接标识的；……”</w:t>
            </w:r>
          </w:p>
        </w:tc>
      </w:tr>
      <w:tr w14:paraId="6DDAD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jc w:val="center"/>
        </w:trPr>
        <w:tc>
          <w:tcPr>
            <w:tcW w:w="655" w:type="dxa"/>
            <w:vMerge w:val="restart"/>
            <w:tcBorders>
              <w:tl2br w:val="nil"/>
              <w:tr2bl w:val="nil"/>
            </w:tcBorders>
            <w:noWrap w:val="0"/>
            <w:vAlign w:val="center"/>
          </w:tcPr>
          <w:p w14:paraId="43764709">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28</w:t>
            </w:r>
          </w:p>
        </w:tc>
        <w:tc>
          <w:tcPr>
            <w:tcW w:w="2167" w:type="dxa"/>
            <w:vMerge w:val="restart"/>
            <w:tcBorders>
              <w:tl2br w:val="nil"/>
              <w:tr2bl w:val="nil"/>
            </w:tcBorders>
            <w:noWrap w:val="0"/>
            <w:vAlign w:val="center"/>
          </w:tcPr>
          <w:p w14:paraId="70E09D6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电子商务经营者自行终止从事电子商务，未提前三十天在首页显著位置持续公示有关信息</w:t>
            </w:r>
          </w:p>
        </w:tc>
        <w:tc>
          <w:tcPr>
            <w:tcW w:w="2487" w:type="dxa"/>
            <w:vMerge w:val="restart"/>
            <w:tcBorders>
              <w:tl2br w:val="nil"/>
              <w:tr2bl w:val="nil"/>
            </w:tcBorders>
            <w:noWrap w:val="0"/>
            <w:vAlign w:val="center"/>
          </w:tcPr>
          <w:p w14:paraId="3E3FF761">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被发现实施此类违法行为，危害后果轻微，已自行改正或者在市场监管部门规定的期限内改正</w:t>
            </w:r>
          </w:p>
        </w:tc>
        <w:tc>
          <w:tcPr>
            <w:tcW w:w="9017" w:type="dxa"/>
            <w:tcBorders>
              <w:tl2br w:val="nil"/>
              <w:tr2bl w:val="nil"/>
            </w:tcBorders>
            <w:noWrap w:val="0"/>
            <w:vAlign w:val="center"/>
          </w:tcPr>
          <w:p w14:paraId="093F96A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49A503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2" w:hRule="atLeast"/>
          <w:jc w:val="center"/>
        </w:trPr>
        <w:tc>
          <w:tcPr>
            <w:tcW w:w="655" w:type="dxa"/>
            <w:vMerge w:val="continue"/>
            <w:tcBorders>
              <w:tl2br w:val="nil"/>
              <w:tr2bl w:val="nil"/>
            </w:tcBorders>
            <w:noWrap w:val="0"/>
            <w:vAlign w:val="center"/>
          </w:tcPr>
          <w:p w14:paraId="1C8A7007">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7607169">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1CD23F1D">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588E50C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《中华人民共和国电子商务法》</w:t>
            </w:r>
            <w:r>
              <w:rPr>
                <w:rFonts w:hint="eastAsia" w:ascii="宋体" w:hAnsi="宋体" w:cs="宋体"/>
                <w:spacing w:val="-11"/>
                <w:kern w:val="0"/>
                <w:szCs w:val="21"/>
                <w:lang w:bidi="ar"/>
              </w:rPr>
              <w:t>第十六条：“电子商务经营者自行终止从事电子商务的，应当提前三十日在首页显著位置持续公示有关信息。”</w:t>
            </w:r>
          </w:p>
        </w:tc>
      </w:tr>
      <w:tr w14:paraId="6D973A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atLeast"/>
          <w:jc w:val="center"/>
        </w:trPr>
        <w:tc>
          <w:tcPr>
            <w:tcW w:w="655" w:type="dxa"/>
            <w:vMerge w:val="continue"/>
            <w:tcBorders>
              <w:tl2br w:val="nil"/>
              <w:tr2bl w:val="nil"/>
            </w:tcBorders>
            <w:noWrap w:val="0"/>
            <w:vAlign w:val="center"/>
          </w:tcPr>
          <w:p w14:paraId="64A4EDA8">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383ECDDD">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5A6E43B3">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0F33921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《中华人民共和国电子商务法》</w:t>
            </w:r>
            <w:r>
              <w:rPr>
                <w:rFonts w:hint="eastAsia" w:ascii="宋体" w:hAnsi="宋体" w:cs="宋体"/>
                <w:spacing w:val="-11"/>
                <w:kern w:val="0"/>
                <w:szCs w:val="21"/>
                <w:lang w:bidi="ar"/>
              </w:rPr>
              <w:t>第七十六条第一款：“电子商务经营者违反本法规定，有下列行为之一的，由市场监督管理部门责令限期改正，可以处一万元以下的罚款，对其中的电子商务平台经营者，依照本法第八十一条第一款的规定处罚：……（二） 未在首页显著位置持续公示终止电子商务的有关信息的；……”</w:t>
            </w:r>
          </w:p>
        </w:tc>
      </w:tr>
      <w:tr w14:paraId="693BF1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restart"/>
            <w:tcBorders>
              <w:tl2br w:val="nil"/>
              <w:tr2bl w:val="nil"/>
            </w:tcBorders>
            <w:noWrap w:val="0"/>
            <w:vAlign w:val="center"/>
          </w:tcPr>
          <w:p w14:paraId="1E3567DB">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29</w:t>
            </w:r>
          </w:p>
        </w:tc>
        <w:tc>
          <w:tcPr>
            <w:tcW w:w="2167" w:type="dxa"/>
            <w:vMerge w:val="restart"/>
            <w:tcBorders>
              <w:tl2br w:val="nil"/>
              <w:tr2bl w:val="nil"/>
            </w:tcBorders>
            <w:noWrap w:val="0"/>
            <w:vAlign w:val="center"/>
          </w:tcPr>
          <w:p w14:paraId="27C97F7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电子商务经营者未向消费者明示押金退还的方式、程序</w:t>
            </w:r>
          </w:p>
        </w:tc>
        <w:tc>
          <w:tcPr>
            <w:tcW w:w="2487" w:type="dxa"/>
            <w:vMerge w:val="restart"/>
            <w:tcBorders>
              <w:tl2br w:val="nil"/>
              <w:tr2bl w:val="nil"/>
            </w:tcBorders>
            <w:noWrap w:val="0"/>
            <w:vAlign w:val="center"/>
          </w:tcPr>
          <w:p w14:paraId="32E1F3C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向消费者提示了押金退还的方式、程序，但标注不明显，没有违法所得，已自行改正或者在市场监管部门规定的期限内改正</w:t>
            </w:r>
          </w:p>
        </w:tc>
        <w:tc>
          <w:tcPr>
            <w:tcW w:w="9017" w:type="dxa"/>
            <w:tcBorders>
              <w:tl2br w:val="nil"/>
              <w:tr2bl w:val="nil"/>
            </w:tcBorders>
            <w:noWrap w:val="0"/>
            <w:vAlign w:val="center"/>
          </w:tcPr>
          <w:p w14:paraId="434C687C">
            <w:pPr>
              <w:widowControl/>
              <w:spacing w:line="320" w:lineRule="exact"/>
              <w:textAlignment w:val="center"/>
              <w:rPr>
                <w:rFonts w:hint="eastAsia" w:ascii="宋体" w:hAnsi="宋体" w:cs="宋体"/>
                <w:bCs/>
                <w:spacing w:val="-11"/>
                <w:szCs w:val="21"/>
              </w:rPr>
            </w:pPr>
            <w:r>
              <w:rPr>
                <w:rFonts w:hint="eastAsia" w:ascii="宋体" w:hAnsi="宋体" w:cs="宋体"/>
                <w:bCs/>
                <w:spacing w:val="-11"/>
                <w:kern w:val="0"/>
                <w:szCs w:val="21"/>
                <w:lang w:eastAsia="zh-CN" w:bidi="ar"/>
              </w:rPr>
              <w:t>《中华人民共和国行政处罚法》</w:t>
            </w:r>
            <w:r>
              <w:rPr>
                <w:rFonts w:hint="eastAsia" w:ascii="宋体" w:hAnsi="宋体" w:cs="宋体"/>
                <w:bCs/>
                <w:spacing w:val="-11"/>
                <w:kern w:val="0"/>
                <w:szCs w:val="21"/>
                <w:lang w:bidi="ar"/>
              </w:rPr>
              <w:t>第三十三条第一款：“违法行为轻微并及时改正，没有造成危害后果的，不予行政处罚。初次违法且危害后果轻微并及时改正的，可以不予行政处罚。”</w:t>
            </w:r>
          </w:p>
        </w:tc>
      </w:tr>
      <w:tr w14:paraId="1FE78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5" w:hRule="atLeast"/>
          <w:jc w:val="center"/>
        </w:trPr>
        <w:tc>
          <w:tcPr>
            <w:tcW w:w="655" w:type="dxa"/>
            <w:vMerge w:val="continue"/>
            <w:tcBorders>
              <w:tl2br w:val="nil"/>
              <w:tr2bl w:val="nil"/>
            </w:tcBorders>
            <w:noWrap w:val="0"/>
            <w:vAlign w:val="center"/>
          </w:tcPr>
          <w:p w14:paraId="12DFF224">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0F45526B">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74E4886C">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0162AE3B">
            <w:pPr>
              <w:widowControl/>
              <w:spacing w:line="320" w:lineRule="exact"/>
              <w:textAlignment w:val="center"/>
              <w:rPr>
                <w:rFonts w:hint="eastAsia" w:ascii="宋体" w:hAnsi="宋体" w:cs="宋体"/>
                <w:bCs/>
                <w:spacing w:val="-11"/>
                <w:szCs w:val="21"/>
              </w:rPr>
            </w:pPr>
            <w:r>
              <w:rPr>
                <w:rFonts w:hint="eastAsia" w:ascii="宋体" w:hAnsi="宋体" w:cs="宋体"/>
                <w:bCs/>
                <w:spacing w:val="-11"/>
                <w:kern w:val="0"/>
                <w:szCs w:val="21"/>
                <w:lang w:eastAsia="zh-CN" w:bidi="ar"/>
              </w:rPr>
              <w:t>《中华人民共和国电子商务法》</w:t>
            </w:r>
            <w:r>
              <w:rPr>
                <w:rFonts w:hint="eastAsia" w:ascii="宋体" w:hAnsi="宋体" w:cs="宋体"/>
                <w:bCs/>
                <w:spacing w:val="-11"/>
                <w:kern w:val="0"/>
                <w:szCs w:val="21"/>
                <w:lang w:bidi="ar"/>
              </w:rPr>
              <w:t>第七十八条：“电子商务经营者违反本法第二十一条规定，未向消费者明示押金退还的方式、程序，……由有关主管部门责令限期改正，可以处五万元以上二十万元以下的罚款；情节严重的，处二十万元以上五十万元以下的罚款。”</w:t>
            </w:r>
          </w:p>
        </w:tc>
      </w:tr>
      <w:tr w14:paraId="45D6C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jc w:val="center"/>
        </w:trPr>
        <w:tc>
          <w:tcPr>
            <w:tcW w:w="655" w:type="dxa"/>
            <w:vMerge w:val="restart"/>
            <w:tcBorders>
              <w:tl2br w:val="nil"/>
              <w:tr2bl w:val="nil"/>
            </w:tcBorders>
            <w:noWrap w:val="0"/>
            <w:vAlign w:val="center"/>
          </w:tcPr>
          <w:p w14:paraId="3B31E22B">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30</w:t>
            </w:r>
          </w:p>
        </w:tc>
        <w:tc>
          <w:tcPr>
            <w:tcW w:w="2167" w:type="dxa"/>
            <w:vMerge w:val="restart"/>
            <w:tcBorders>
              <w:tl2br w:val="nil"/>
              <w:tr2bl w:val="nil"/>
            </w:tcBorders>
            <w:noWrap w:val="0"/>
            <w:vAlign w:val="center"/>
          </w:tcPr>
          <w:p w14:paraId="2B818CD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电子商务平台经营者未按规定履行核验、登记义务</w:t>
            </w:r>
          </w:p>
        </w:tc>
        <w:tc>
          <w:tcPr>
            <w:tcW w:w="2487" w:type="dxa"/>
            <w:vMerge w:val="restart"/>
            <w:tcBorders>
              <w:tl2br w:val="nil"/>
              <w:tr2bl w:val="nil"/>
            </w:tcBorders>
            <w:noWrap w:val="0"/>
            <w:vAlign w:val="center"/>
          </w:tcPr>
          <w:p w14:paraId="46D96D0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092C67E9">
            <w:pPr>
              <w:widowControl/>
              <w:spacing w:line="320" w:lineRule="exact"/>
              <w:textAlignment w:val="center"/>
              <w:rPr>
                <w:rFonts w:hint="eastAsia" w:ascii="宋体" w:hAnsi="宋体" w:cs="宋体"/>
                <w:bCs/>
                <w:spacing w:val="-11"/>
                <w:szCs w:val="21"/>
              </w:rPr>
            </w:pPr>
            <w:r>
              <w:rPr>
                <w:rFonts w:hint="eastAsia" w:ascii="宋体" w:hAnsi="宋体" w:cs="宋体"/>
                <w:bCs/>
                <w:spacing w:val="-11"/>
                <w:kern w:val="0"/>
                <w:szCs w:val="21"/>
                <w:lang w:eastAsia="zh-CN" w:bidi="ar"/>
              </w:rPr>
              <w:t>《中华人民共和国电子商务法》</w:t>
            </w:r>
            <w:r>
              <w:rPr>
                <w:rFonts w:hint="eastAsia" w:ascii="宋体" w:hAnsi="宋体" w:cs="宋体"/>
                <w:bCs/>
                <w:spacing w:val="-11"/>
                <w:kern w:val="0"/>
                <w:szCs w:val="21"/>
                <w:lang w:bidi="ar"/>
              </w:rPr>
              <w:t>第八十条：“电子商务平台经营者有下列行为之一的，由有关主管部门责令限期改正；逾期不改正的，处二万元以上十万元以下的罚款；情节严重的，责令停业整顿，并处十万元以上五十万元以下的罚款：（一） 不履行本法第二十七条规定的核验、登记义务的；……”</w:t>
            </w:r>
          </w:p>
        </w:tc>
      </w:tr>
      <w:tr w14:paraId="7BFAD8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9" w:hRule="atLeast"/>
          <w:jc w:val="center"/>
        </w:trPr>
        <w:tc>
          <w:tcPr>
            <w:tcW w:w="655" w:type="dxa"/>
            <w:vMerge w:val="continue"/>
            <w:tcBorders>
              <w:tl2br w:val="nil"/>
              <w:tr2bl w:val="nil"/>
            </w:tcBorders>
            <w:noWrap w:val="0"/>
            <w:vAlign w:val="center"/>
          </w:tcPr>
          <w:p w14:paraId="536FF137">
            <w:pPr>
              <w:widowControl/>
              <w:spacing w:line="320" w:lineRule="exact"/>
              <w:jc w:val="center"/>
              <w:textAlignment w:val="center"/>
              <w:rPr>
                <w:rFonts w:hint="eastAsia" w:ascii="宋体" w:hAnsi="宋体" w:cs="宋体"/>
                <w:spacing w:val="-11"/>
                <w:kern w:val="0"/>
                <w:szCs w:val="21"/>
                <w:lang w:bidi="ar"/>
              </w:rPr>
            </w:pPr>
          </w:p>
        </w:tc>
        <w:tc>
          <w:tcPr>
            <w:tcW w:w="2167" w:type="dxa"/>
            <w:vMerge w:val="continue"/>
            <w:tcBorders>
              <w:tl2br w:val="nil"/>
              <w:tr2bl w:val="nil"/>
            </w:tcBorders>
            <w:noWrap w:val="0"/>
            <w:vAlign w:val="center"/>
          </w:tcPr>
          <w:p w14:paraId="1F19542B">
            <w:pPr>
              <w:widowControl/>
              <w:spacing w:line="320" w:lineRule="exact"/>
              <w:textAlignment w:val="center"/>
              <w:rPr>
                <w:rFonts w:hint="eastAsia" w:ascii="宋体" w:hAnsi="宋体" w:cs="宋体"/>
                <w:spacing w:val="-11"/>
                <w:kern w:val="0"/>
                <w:szCs w:val="21"/>
                <w:lang w:bidi="ar"/>
              </w:rPr>
            </w:pPr>
          </w:p>
        </w:tc>
        <w:tc>
          <w:tcPr>
            <w:tcW w:w="2487" w:type="dxa"/>
            <w:vMerge w:val="continue"/>
            <w:tcBorders>
              <w:tl2br w:val="nil"/>
              <w:tr2bl w:val="nil"/>
            </w:tcBorders>
            <w:noWrap w:val="0"/>
            <w:vAlign w:val="center"/>
          </w:tcPr>
          <w:p w14:paraId="3D923FEA">
            <w:pPr>
              <w:widowControl/>
              <w:spacing w:line="320" w:lineRule="exact"/>
              <w:textAlignment w:val="center"/>
              <w:rPr>
                <w:rFonts w:hint="eastAsia" w:ascii="宋体" w:hAnsi="宋体" w:cs="宋体"/>
                <w:spacing w:val="-11"/>
                <w:kern w:val="0"/>
                <w:szCs w:val="21"/>
                <w:lang w:bidi="ar"/>
              </w:rPr>
            </w:pPr>
          </w:p>
        </w:tc>
        <w:tc>
          <w:tcPr>
            <w:tcW w:w="9017" w:type="dxa"/>
            <w:tcBorders>
              <w:tl2br w:val="nil"/>
              <w:tr2bl w:val="nil"/>
            </w:tcBorders>
            <w:noWrap w:val="0"/>
            <w:vAlign w:val="center"/>
          </w:tcPr>
          <w:p w14:paraId="31B8998E">
            <w:pPr>
              <w:widowControl/>
              <w:spacing w:line="320" w:lineRule="exact"/>
              <w:textAlignment w:val="center"/>
              <w:rPr>
                <w:rFonts w:hint="eastAsia" w:ascii="宋体" w:hAnsi="宋体" w:cs="宋体"/>
                <w:bCs/>
                <w:spacing w:val="-11"/>
                <w:kern w:val="0"/>
                <w:szCs w:val="21"/>
                <w:lang w:bidi="ar"/>
              </w:rPr>
            </w:pPr>
            <w:r>
              <w:rPr>
                <w:rFonts w:hint="eastAsia" w:ascii="宋体" w:hAnsi="宋体" w:cs="宋体"/>
                <w:bCs/>
                <w:spacing w:val="-11"/>
                <w:kern w:val="0"/>
                <w:szCs w:val="21"/>
                <w:lang w:bidi="ar"/>
              </w:rPr>
              <w:t>《网络交易监督管理办法》第四十七条：“ 网络交易平台经营者违反本办法第二十四条第一款、第二十五条第二款、第三十一条，不履行法定核验、登记义务，有关信息报送义务，商品和服务信息、交易信息保存义务的，依照《中华人民共和国电子商务法》第八十条的规定进行处罚。”</w:t>
            </w:r>
          </w:p>
        </w:tc>
      </w:tr>
      <w:tr w14:paraId="0AC7CA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3" w:hRule="atLeast"/>
          <w:jc w:val="center"/>
        </w:trPr>
        <w:tc>
          <w:tcPr>
            <w:tcW w:w="655" w:type="dxa"/>
            <w:vMerge w:val="restart"/>
            <w:tcBorders>
              <w:tl2br w:val="nil"/>
              <w:tr2bl w:val="nil"/>
            </w:tcBorders>
            <w:noWrap w:val="0"/>
            <w:vAlign w:val="center"/>
          </w:tcPr>
          <w:p w14:paraId="69D08EDE">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31</w:t>
            </w:r>
          </w:p>
        </w:tc>
        <w:tc>
          <w:tcPr>
            <w:tcW w:w="2167" w:type="dxa"/>
            <w:vMerge w:val="restart"/>
            <w:tcBorders>
              <w:tl2br w:val="nil"/>
              <w:tr2bl w:val="nil"/>
            </w:tcBorders>
            <w:noWrap w:val="0"/>
            <w:vAlign w:val="center"/>
          </w:tcPr>
          <w:p w14:paraId="4B545C9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电子商务平台经营者未按规定向市场监督管理部门报送有关信息</w:t>
            </w:r>
          </w:p>
        </w:tc>
        <w:tc>
          <w:tcPr>
            <w:tcW w:w="2487" w:type="dxa"/>
            <w:vMerge w:val="restart"/>
            <w:tcBorders>
              <w:tl2br w:val="nil"/>
              <w:tr2bl w:val="nil"/>
            </w:tcBorders>
            <w:noWrap w:val="0"/>
            <w:vAlign w:val="center"/>
          </w:tcPr>
          <w:p w14:paraId="6968431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15213964">
            <w:pPr>
              <w:widowControl/>
              <w:spacing w:line="320" w:lineRule="exact"/>
              <w:textAlignment w:val="center"/>
              <w:rPr>
                <w:rFonts w:hint="eastAsia" w:ascii="宋体" w:hAnsi="宋体" w:cs="宋体"/>
                <w:bCs/>
                <w:spacing w:val="-11"/>
                <w:szCs w:val="21"/>
              </w:rPr>
            </w:pPr>
            <w:r>
              <w:rPr>
                <w:rFonts w:hint="eastAsia" w:ascii="宋体" w:hAnsi="宋体" w:cs="宋体"/>
                <w:bCs/>
                <w:spacing w:val="-11"/>
                <w:kern w:val="0"/>
                <w:szCs w:val="21"/>
                <w:lang w:eastAsia="zh-CN" w:bidi="ar"/>
              </w:rPr>
              <w:t>《中华人民共和国电子商务法》</w:t>
            </w:r>
            <w:r>
              <w:rPr>
                <w:rFonts w:hint="eastAsia" w:ascii="宋体" w:hAnsi="宋体" w:cs="宋体"/>
                <w:bCs/>
                <w:spacing w:val="-11"/>
                <w:kern w:val="0"/>
                <w:szCs w:val="21"/>
                <w:lang w:bidi="ar"/>
              </w:rPr>
              <w:t>第八十条：“电子商务平台经营者有下列行为之一的，由有关主管部门责令限期改正；逾期不改正的，处二万元以上十万元以下的罚款；情节严重的，责令停业整顿，并处十万元以上五十万元以下的罚款：……（二） 不按照本法第二十八条规定向市场监督管理部门、税务部门报送有关信息的；……”</w:t>
            </w:r>
          </w:p>
        </w:tc>
      </w:tr>
      <w:tr w14:paraId="793CF2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655" w:type="dxa"/>
            <w:vMerge w:val="continue"/>
            <w:tcBorders>
              <w:tl2br w:val="nil"/>
              <w:tr2bl w:val="nil"/>
            </w:tcBorders>
            <w:noWrap w:val="0"/>
            <w:vAlign w:val="center"/>
          </w:tcPr>
          <w:p w14:paraId="4CC0B3F2">
            <w:pPr>
              <w:widowControl/>
              <w:spacing w:line="320" w:lineRule="exact"/>
              <w:jc w:val="center"/>
              <w:textAlignment w:val="center"/>
              <w:rPr>
                <w:rFonts w:hint="eastAsia" w:ascii="宋体" w:hAnsi="宋体" w:cs="宋体"/>
                <w:spacing w:val="-11"/>
                <w:kern w:val="0"/>
                <w:szCs w:val="21"/>
                <w:lang w:bidi="ar"/>
              </w:rPr>
            </w:pPr>
          </w:p>
        </w:tc>
        <w:tc>
          <w:tcPr>
            <w:tcW w:w="2167" w:type="dxa"/>
            <w:vMerge w:val="continue"/>
            <w:tcBorders>
              <w:tl2br w:val="nil"/>
              <w:tr2bl w:val="nil"/>
            </w:tcBorders>
            <w:noWrap w:val="0"/>
            <w:vAlign w:val="center"/>
          </w:tcPr>
          <w:p w14:paraId="00A647BA">
            <w:pPr>
              <w:widowControl/>
              <w:spacing w:line="320" w:lineRule="exact"/>
              <w:textAlignment w:val="center"/>
              <w:rPr>
                <w:rFonts w:hint="eastAsia" w:ascii="宋体" w:hAnsi="宋体" w:cs="宋体"/>
                <w:spacing w:val="-11"/>
                <w:kern w:val="0"/>
                <w:szCs w:val="21"/>
                <w:lang w:bidi="ar"/>
              </w:rPr>
            </w:pPr>
          </w:p>
        </w:tc>
        <w:tc>
          <w:tcPr>
            <w:tcW w:w="2487" w:type="dxa"/>
            <w:vMerge w:val="continue"/>
            <w:tcBorders>
              <w:tl2br w:val="nil"/>
              <w:tr2bl w:val="nil"/>
            </w:tcBorders>
            <w:noWrap w:val="0"/>
            <w:vAlign w:val="center"/>
          </w:tcPr>
          <w:p w14:paraId="4D28BCE3">
            <w:pPr>
              <w:widowControl/>
              <w:spacing w:line="320" w:lineRule="exact"/>
              <w:textAlignment w:val="center"/>
              <w:rPr>
                <w:rFonts w:hint="eastAsia" w:ascii="宋体" w:hAnsi="宋体" w:cs="宋体"/>
                <w:spacing w:val="-11"/>
                <w:kern w:val="0"/>
                <w:szCs w:val="21"/>
                <w:lang w:bidi="ar"/>
              </w:rPr>
            </w:pPr>
          </w:p>
        </w:tc>
        <w:tc>
          <w:tcPr>
            <w:tcW w:w="9017" w:type="dxa"/>
            <w:tcBorders>
              <w:tl2br w:val="nil"/>
              <w:tr2bl w:val="nil"/>
            </w:tcBorders>
            <w:noWrap w:val="0"/>
            <w:vAlign w:val="center"/>
          </w:tcPr>
          <w:p w14:paraId="7E3C53C4">
            <w:pPr>
              <w:widowControl/>
              <w:spacing w:line="320" w:lineRule="exact"/>
              <w:textAlignment w:val="center"/>
              <w:rPr>
                <w:rFonts w:hint="eastAsia" w:ascii="宋体" w:hAnsi="宋体" w:cs="宋体"/>
                <w:bCs/>
                <w:spacing w:val="-11"/>
                <w:kern w:val="0"/>
                <w:szCs w:val="21"/>
                <w:lang w:bidi="ar"/>
              </w:rPr>
            </w:pPr>
            <w:r>
              <w:rPr>
                <w:rFonts w:hint="eastAsia" w:ascii="宋体" w:hAnsi="宋体" w:cs="宋体"/>
                <w:bCs/>
                <w:spacing w:val="-11"/>
                <w:kern w:val="0"/>
                <w:szCs w:val="21"/>
                <w:lang w:bidi="ar"/>
              </w:rPr>
              <w:t>《网络交易监督管理办法》第四十七条：“ 网络交易平台经营者违反本办法第二十四条第一款、第二十五条第二款、第三十一条，不履行法定核验、登记义务，有关信息报送义务，商品和服务信息、交易信息保存义务的，依照《中华人民共和国电子商务法》第八十条的规定进行处罚。”</w:t>
            </w:r>
          </w:p>
        </w:tc>
      </w:tr>
      <w:tr w14:paraId="6649B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restart"/>
            <w:tcBorders>
              <w:tl2br w:val="nil"/>
              <w:tr2bl w:val="nil"/>
            </w:tcBorders>
            <w:noWrap w:val="0"/>
            <w:vAlign w:val="center"/>
          </w:tcPr>
          <w:p w14:paraId="6B5E735E">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32</w:t>
            </w:r>
          </w:p>
        </w:tc>
        <w:tc>
          <w:tcPr>
            <w:tcW w:w="2167" w:type="dxa"/>
            <w:vMerge w:val="restart"/>
            <w:tcBorders>
              <w:tl2br w:val="nil"/>
              <w:tr2bl w:val="nil"/>
            </w:tcBorders>
            <w:noWrap w:val="0"/>
            <w:vAlign w:val="center"/>
          </w:tcPr>
          <w:p w14:paraId="19D9F7B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电子商务平台经营者未按</w:t>
            </w:r>
            <w:r>
              <w:rPr>
                <w:rFonts w:hint="eastAsia" w:ascii="宋体" w:hAnsi="宋体" w:cs="宋体"/>
                <w:spacing w:val="-11"/>
                <w:kern w:val="0"/>
                <w:szCs w:val="21"/>
                <w:lang w:eastAsia="zh-CN" w:bidi="ar"/>
              </w:rPr>
              <w:t>规定</w:t>
            </w:r>
            <w:r>
              <w:rPr>
                <w:rFonts w:hint="eastAsia" w:ascii="宋体" w:hAnsi="宋体" w:cs="宋体"/>
                <w:spacing w:val="-11"/>
                <w:kern w:val="0"/>
                <w:szCs w:val="21"/>
                <w:lang w:bidi="ar"/>
              </w:rPr>
              <w:t>对违法情形采取必要的处置措施，或者未向有关主管部门报告</w:t>
            </w:r>
          </w:p>
        </w:tc>
        <w:tc>
          <w:tcPr>
            <w:tcW w:w="2487" w:type="dxa"/>
            <w:vMerge w:val="restart"/>
            <w:tcBorders>
              <w:tl2br w:val="nil"/>
              <w:tr2bl w:val="nil"/>
            </w:tcBorders>
            <w:noWrap w:val="0"/>
            <w:vAlign w:val="center"/>
          </w:tcPr>
          <w:p w14:paraId="2B4C7DC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424E6BCD">
            <w:pPr>
              <w:widowControl/>
              <w:spacing w:line="320" w:lineRule="exact"/>
              <w:textAlignment w:val="center"/>
              <w:rPr>
                <w:rFonts w:hint="eastAsia" w:ascii="宋体" w:hAnsi="宋体" w:cs="宋体"/>
                <w:bCs/>
                <w:spacing w:val="-11"/>
                <w:szCs w:val="21"/>
              </w:rPr>
            </w:pPr>
            <w:r>
              <w:rPr>
                <w:rFonts w:hint="eastAsia" w:ascii="宋体" w:hAnsi="宋体" w:cs="宋体"/>
                <w:bCs/>
                <w:spacing w:val="-11"/>
                <w:kern w:val="0"/>
                <w:szCs w:val="21"/>
                <w:lang w:eastAsia="zh-CN" w:bidi="ar"/>
              </w:rPr>
              <w:t>《中华人民共和国电子商务法》</w:t>
            </w:r>
            <w:r>
              <w:rPr>
                <w:rFonts w:hint="eastAsia" w:ascii="宋体" w:hAnsi="宋体" w:cs="宋体"/>
                <w:bCs/>
                <w:spacing w:val="-11"/>
                <w:kern w:val="0"/>
                <w:szCs w:val="21"/>
                <w:lang w:bidi="ar"/>
              </w:rPr>
              <w:t>第八十条：“电子商务平台经营者有下列行为之一的，由有关主管部门责令限期改正；逾期不改正的，处二万元以上十万元以下的罚款；情节严重的，责令停业整顿，并处十万元以上五十万元以下的罚款：……（三） 不按照本法第二十九条规定对违法情形采取必要的处置措施，或者未向有关主管部门报告的；……”</w:t>
            </w:r>
          </w:p>
        </w:tc>
      </w:tr>
      <w:tr w14:paraId="57956E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atLeast"/>
          <w:jc w:val="center"/>
        </w:trPr>
        <w:tc>
          <w:tcPr>
            <w:tcW w:w="655" w:type="dxa"/>
            <w:vMerge w:val="continue"/>
            <w:tcBorders>
              <w:tl2br w:val="nil"/>
              <w:tr2bl w:val="nil"/>
            </w:tcBorders>
            <w:noWrap w:val="0"/>
            <w:vAlign w:val="center"/>
          </w:tcPr>
          <w:p w14:paraId="367B0CE5">
            <w:pPr>
              <w:widowControl/>
              <w:spacing w:line="320" w:lineRule="exact"/>
              <w:jc w:val="center"/>
              <w:textAlignment w:val="center"/>
              <w:rPr>
                <w:rFonts w:hint="eastAsia" w:ascii="宋体" w:hAnsi="宋体" w:cs="宋体"/>
                <w:spacing w:val="-11"/>
                <w:kern w:val="0"/>
                <w:szCs w:val="21"/>
                <w:lang w:bidi="ar"/>
              </w:rPr>
            </w:pPr>
          </w:p>
        </w:tc>
        <w:tc>
          <w:tcPr>
            <w:tcW w:w="2167" w:type="dxa"/>
            <w:vMerge w:val="continue"/>
            <w:tcBorders>
              <w:tl2br w:val="nil"/>
              <w:tr2bl w:val="nil"/>
            </w:tcBorders>
            <w:noWrap w:val="0"/>
            <w:vAlign w:val="center"/>
          </w:tcPr>
          <w:p w14:paraId="4D304649">
            <w:pPr>
              <w:widowControl/>
              <w:spacing w:line="320" w:lineRule="exact"/>
              <w:textAlignment w:val="center"/>
              <w:rPr>
                <w:rFonts w:hint="eastAsia" w:ascii="宋体" w:hAnsi="宋体" w:cs="宋体"/>
                <w:spacing w:val="-11"/>
                <w:kern w:val="0"/>
                <w:szCs w:val="21"/>
                <w:lang w:bidi="ar"/>
              </w:rPr>
            </w:pPr>
          </w:p>
        </w:tc>
        <w:tc>
          <w:tcPr>
            <w:tcW w:w="2487" w:type="dxa"/>
            <w:vMerge w:val="continue"/>
            <w:tcBorders>
              <w:tl2br w:val="nil"/>
              <w:tr2bl w:val="nil"/>
            </w:tcBorders>
            <w:noWrap w:val="0"/>
            <w:vAlign w:val="center"/>
          </w:tcPr>
          <w:p w14:paraId="16B3B824">
            <w:pPr>
              <w:widowControl/>
              <w:spacing w:line="320" w:lineRule="exact"/>
              <w:textAlignment w:val="center"/>
              <w:rPr>
                <w:rFonts w:hint="eastAsia" w:ascii="宋体" w:hAnsi="宋体" w:cs="宋体"/>
                <w:spacing w:val="-11"/>
                <w:kern w:val="0"/>
                <w:szCs w:val="21"/>
                <w:lang w:bidi="ar"/>
              </w:rPr>
            </w:pPr>
          </w:p>
        </w:tc>
        <w:tc>
          <w:tcPr>
            <w:tcW w:w="9017" w:type="dxa"/>
            <w:tcBorders>
              <w:tl2br w:val="nil"/>
              <w:tr2bl w:val="nil"/>
            </w:tcBorders>
            <w:noWrap w:val="0"/>
            <w:vAlign w:val="center"/>
          </w:tcPr>
          <w:p w14:paraId="53C0B685">
            <w:pPr>
              <w:widowControl/>
              <w:spacing w:line="320" w:lineRule="exact"/>
              <w:textAlignment w:val="center"/>
              <w:rPr>
                <w:rFonts w:hint="eastAsia" w:ascii="宋体" w:hAnsi="宋体" w:cs="宋体"/>
                <w:bCs/>
                <w:spacing w:val="-11"/>
                <w:kern w:val="0"/>
                <w:szCs w:val="21"/>
                <w:lang w:bidi="ar"/>
              </w:rPr>
            </w:pPr>
            <w:r>
              <w:rPr>
                <w:rFonts w:hint="eastAsia" w:ascii="宋体" w:hAnsi="宋体" w:cs="宋体"/>
                <w:bCs/>
                <w:spacing w:val="-11"/>
                <w:kern w:val="0"/>
                <w:szCs w:val="21"/>
                <w:lang w:bidi="ar"/>
              </w:rPr>
              <w:t>《网络交易监督管理办法》第二十九条：“ 网络交易平台经营者应当对平台内经营者及其发布的商品或者服务信息建立检查监控制度。网络交易平台经营者发现平台内的商品或者服务信息有违反市场监督管理法律、法规、规章，损害国家利益和社会公共利益，违背公序良俗的，应当依法采取必要的处置措施，保存有关记录，并向平台住所地县级以上市场监督管理部门报告。”第四十九条：“网络交易平台经营者违反本办法第二十九条，法律、行政法规有规定的，依照其规定；法律、行政法规没有规定的，由市场监督管理部门依职责责令限期改正，可以处一万元以上三万元以下罚款。”</w:t>
            </w:r>
          </w:p>
        </w:tc>
      </w:tr>
      <w:tr w14:paraId="5DE11A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6" w:hRule="atLeast"/>
          <w:jc w:val="center"/>
        </w:trPr>
        <w:tc>
          <w:tcPr>
            <w:tcW w:w="655" w:type="dxa"/>
            <w:vMerge w:val="restart"/>
            <w:tcBorders>
              <w:tl2br w:val="nil"/>
              <w:tr2bl w:val="nil"/>
            </w:tcBorders>
            <w:noWrap w:val="0"/>
            <w:vAlign w:val="center"/>
          </w:tcPr>
          <w:p w14:paraId="541A95F6">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33</w:t>
            </w:r>
          </w:p>
        </w:tc>
        <w:tc>
          <w:tcPr>
            <w:tcW w:w="2167" w:type="dxa"/>
            <w:vMerge w:val="restart"/>
            <w:tcBorders>
              <w:tl2br w:val="nil"/>
              <w:tr2bl w:val="nil"/>
            </w:tcBorders>
            <w:noWrap w:val="0"/>
            <w:vAlign w:val="center"/>
          </w:tcPr>
          <w:p w14:paraId="6A6B24E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电子商务平台经营者未按规定履行商品和服务信息、交易信息保存义务</w:t>
            </w:r>
          </w:p>
        </w:tc>
        <w:tc>
          <w:tcPr>
            <w:tcW w:w="2487" w:type="dxa"/>
            <w:vMerge w:val="restart"/>
            <w:tcBorders>
              <w:tl2br w:val="nil"/>
              <w:tr2bl w:val="nil"/>
            </w:tcBorders>
            <w:noWrap w:val="0"/>
            <w:vAlign w:val="center"/>
          </w:tcPr>
          <w:p w14:paraId="057C3D3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5C277CB8">
            <w:pPr>
              <w:widowControl/>
              <w:spacing w:line="320" w:lineRule="exact"/>
              <w:textAlignment w:val="center"/>
              <w:rPr>
                <w:rFonts w:hint="eastAsia" w:ascii="宋体" w:hAnsi="宋体" w:cs="宋体"/>
                <w:bCs/>
                <w:spacing w:val="-11"/>
                <w:szCs w:val="21"/>
              </w:rPr>
            </w:pPr>
            <w:r>
              <w:rPr>
                <w:rFonts w:hint="eastAsia" w:ascii="宋体" w:hAnsi="宋体" w:cs="宋体"/>
                <w:bCs/>
                <w:spacing w:val="-11"/>
                <w:kern w:val="0"/>
                <w:szCs w:val="21"/>
                <w:lang w:eastAsia="zh-CN" w:bidi="ar"/>
              </w:rPr>
              <w:t>《中华人民共和国电子商务法》</w:t>
            </w:r>
            <w:r>
              <w:rPr>
                <w:rFonts w:hint="eastAsia" w:ascii="宋体" w:hAnsi="宋体" w:cs="宋体"/>
                <w:bCs/>
                <w:spacing w:val="-11"/>
                <w:kern w:val="0"/>
                <w:szCs w:val="21"/>
                <w:lang w:bidi="ar"/>
              </w:rPr>
              <w:t>第八十条：“电子商务平台经营者有下列行为之一的，由有关主管部门责令限期改正；逾期不改正的，处二万元以上十万元以下的罚款；情节严重的，责令停业整顿，并处十万元以上五十万元以下的罚款：……（四） 不履行本法第三十一条规定的商品和服务信息、交易信息保存义务的。……”</w:t>
            </w:r>
          </w:p>
        </w:tc>
      </w:tr>
      <w:tr w14:paraId="7B7BD2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655" w:type="dxa"/>
            <w:vMerge w:val="continue"/>
            <w:tcBorders>
              <w:tl2br w:val="nil"/>
              <w:tr2bl w:val="nil"/>
            </w:tcBorders>
            <w:noWrap w:val="0"/>
            <w:vAlign w:val="center"/>
          </w:tcPr>
          <w:p w14:paraId="30097388">
            <w:pPr>
              <w:widowControl/>
              <w:spacing w:line="320" w:lineRule="exact"/>
              <w:jc w:val="center"/>
              <w:textAlignment w:val="center"/>
              <w:rPr>
                <w:rFonts w:hint="eastAsia" w:ascii="宋体" w:hAnsi="宋体" w:cs="宋体"/>
                <w:spacing w:val="-11"/>
                <w:kern w:val="0"/>
                <w:szCs w:val="21"/>
                <w:lang w:bidi="ar"/>
              </w:rPr>
            </w:pPr>
          </w:p>
        </w:tc>
        <w:tc>
          <w:tcPr>
            <w:tcW w:w="2167" w:type="dxa"/>
            <w:vMerge w:val="continue"/>
            <w:tcBorders>
              <w:tl2br w:val="nil"/>
              <w:tr2bl w:val="nil"/>
            </w:tcBorders>
            <w:noWrap w:val="0"/>
            <w:vAlign w:val="center"/>
          </w:tcPr>
          <w:p w14:paraId="7F9F1353">
            <w:pPr>
              <w:widowControl/>
              <w:spacing w:line="320" w:lineRule="exact"/>
              <w:textAlignment w:val="center"/>
              <w:rPr>
                <w:rFonts w:hint="eastAsia" w:ascii="宋体" w:hAnsi="宋体" w:cs="宋体"/>
                <w:spacing w:val="-11"/>
                <w:kern w:val="0"/>
                <w:szCs w:val="21"/>
                <w:lang w:bidi="ar"/>
              </w:rPr>
            </w:pPr>
          </w:p>
        </w:tc>
        <w:tc>
          <w:tcPr>
            <w:tcW w:w="2487" w:type="dxa"/>
            <w:vMerge w:val="continue"/>
            <w:tcBorders>
              <w:tl2br w:val="nil"/>
              <w:tr2bl w:val="nil"/>
            </w:tcBorders>
            <w:noWrap w:val="0"/>
            <w:vAlign w:val="center"/>
          </w:tcPr>
          <w:p w14:paraId="692998E4">
            <w:pPr>
              <w:widowControl/>
              <w:spacing w:line="320" w:lineRule="exact"/>
              <w:textAlignment w:val="center"/>
              <w:rPr>
                <w:rFonts w:hint="eastAsia" w:ascii="宋体" w:hAnsi="宋体" w:cs="宋体"/>
                <w:spacing w:val="-11"/>
                <w:kern w:val="0"/>
                <w:szCs w:val="21"/>
                <w:lang w:bidi="ar"/>
              </w:rPr>
            </w:pPr>
          </w:p>
        </w:tc>
        <w:tc>
          <w:tcPr>
            <w:tcW w:w="9017" w:type="dxa"/>
            <w:tcBorders>
              <w:tl2br w:val="nil"/>
              <w:tr2bl w:val="nil"/>
            </w:tcBorders>
            <w:noWrap w:val="0"/>
            <w:vAlign w:val="center"/>
          </w:tcPr>
          <w:p w14:paraId="1FE87BE3">
            <w:pPr>
              <w:widowControl/>
              <w:spacing w:line="320" w:lineRule="exact"/>
              <w:textAlignment w:val="center"/>
              <w:rPr>
                <w:rFonts w:hint="eastAsia" w:ascii="宋体" w:hAnsi="宋体" w:cs="宋体"/>
                <w:bCs/>
                <w:spacing w:val="-11"/>
                <w:kern w:val="0"/>
                <w:szCs w:val="21"/>
                <w:lang w:bidi="ar"/>
              </w:rPr>
            </w:pPr>
            <w:r>
              <w:rPr>
                <w:rFonts w:hint="eastAsia" w:ascii="宋体" w:hAnsi="宋体" w:cs="宋体"/>
                <w:bCs/>
                <w:spacing w:val="-11"/>
                <w:kern w:val="0"/>
                <w:szCs w:val="21"/>
                <w:lang w:bidi="ar"/>
              </w:rPr>
              <w:t>《网络交易监督管理办法》第四十七条：“ 网络交易平台经营者违反本办法第二十四条第一款、第二十五条第二款、第三十一条，不履行法定核验、登记义务，有关信息报送义务，商品和服务信息、交易信息保存义务的，依照《中华人民共和国电子商务法》第八十条的规定进行处罚。”</w:t>
            </w:r>
          </w:p>
        </w:tc>
      </w:tr>
      <w:tr w14:paraId="71AE05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 w:hRule="atLeast"/>
          <w:jc w:val="center"/>
        </w:trPr>
        <w:tc>
          <w:tcPr>
            <w:tcW w:w="655" w:type="dxa"/>
            <w:vMerge w:val="restart"/>
            <w:tcBorders>
              <w:tl2br w:val="nil"/>
              <w:tr2bl w:val="nil"/>
            </w:tcBorders>
            <w:noWrap w:val="0"/>
            <w:vAlign w:val="center"/>
          </w:tcPr>
          <w:p w14:paraId="40FBFA76">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34</w:t>
            </w:r>
          </w:p>
        </w:tc>
        <w:tc>
          <w:tcPr>
            <w:tcW w:w="2167" w:type="dxa"/>
            <w:vMerge w:val="restart"/>
            <w:tcBorders>
              <w:tl2br w:val="nil"/>
              <w:tr2bl w:val="nil"/>
            </w:tcBorders>
            <w:noWrap w:val="0"/>
            <w:vAlign w:val="center"/>
          </w:tcPr>
          <w:p w14:paraId="6130005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电子商务平台经营者未在首页显著位置持续公示平台服务协议、交易规则信息或者上述信息的链接标识</w:t>
            </w:r>
          </w:p>
        </w:tc>
        <w:tc>
          <w:tcPr>
            <w:tcW w:w="2487" w:type="dxa"/>
            <w:vMerge w:val="restart"/>
            <w:tcBorders>
              <w:tl2br w:val="nil"/>
              <w:tr2bl w:val="nil"/>
            </w:tcBorders>
            <w:noWrap w:val="0"/>
            <w:vAlign w:val="center"/>
          </w:tcPr>
          <w:p w14:paraId="0350927D">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被发现实施此类违法行为，危害后果轻微，已自行改正或者在市场监管部门规定的期限内改正</w:t>
            </w:r>
          </w:p>
        </w:tc>
        <w:tc>
          <w:tcPr>
            <w:tcW w:w="9017" w:type="dxa"/>
            <w:tcBorders>
              <w:tl2br w:val="nil"/>
              <w:tr2bl w:val="nil"/>
            </w:tcBorders>
            <w:noWrap w:val="0"/>
            <w:vAlign w:val="center"/>
          </w:tcPr>
          <w:p w14:paraId="22EAF00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1BCADD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655" w:type="dxa"/>
            <w:vMerge w:val="continue"/>
            <w:tcBorders>
              <w:tl2br w:val="nil"/>
              <w:tr2bl w:val="nil"/>
            </w:tcBorders>
            <w:noWrap w:val="0"/>
            <w:vAlign w:val="center"/>
          </w:tcPr>
          <w:p w14:paraId="176E8397">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EBFB56C">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32C56884">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1D213D9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《中华人民共和国电子商务法》</w:t>
            </w:r>
            <w:r>
              <w:rPr>
                <w:rFonts w:hint="eastAsia" w:ascii="宋体" w:hAnsi="宋体" w:cs="宋体"/>
                <w:spacing w:val="-11"/>
                <w:kern w:val="0"/>
                <w:szCs w:val="21"/>
                <w:lang w:bidi="ar"/>
              </w:rPr>
              <w:t>第八十一条第一款：“电子商务平台经营者违反本法规定，有下列行为之一的，由市场监督管理部门责令限期改正，可以处二万元以上十万元以下的罚款；情节严重的，处十万元以上五十万元以下的罚款：（一） 未在首页显著位置持续公示平台服务协议、交易规则信息或者上述信息的链接标识的；……”</w:t>
            </w:r>
          </w:p>
        </w:tc>
      </w:tr>
      <w:tr w14:paraId="6DB504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restart"/>
            <w:tcBorders>
              <w:tl2br w:val="nil"/>
              <w:tr2bl w:val="nil"/>
            </w:tcBorders>
            <w:noWrap w:val="0"/>
            <w:vAlign w:val="center"/>
          </w:tcPr>
          <w:p w14:paraId="013EA75E">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35</w:t>
            </w:r>
          </w:p>
        </w:tc>
        <w:tc>
          <w:tcPr>
            <w:tcW w:w="2167" w:type="dxa"/>
            <w:vMerge w:val="restart"/>
            <w:tcBorders>
              <w:tl2br w:val="nil"/>
              <w:tr2bl w:val="nil"/>
            </w:tcBorders>
            <w:noWrap w:val="0"/>
            <w:vAlign w:val="center"/>
          </w:tcPr>
          <w:p w14:paraId="630D31DD">
            <w:pPr>
              <w:spacing w:line="320" w:lineRule="exact"/>
              <w:rPr>
                <w:rFonts w:hint="eastAsia" w:ascii="宋体" w:hAnsi="宋体" w:cs="宋体"/>
                <w:spacing w:val="-11"/>
                <w:szCs w:val="21"/>
              </w:rPr>
            </w:pPr>
            <w:r>
              <w:rPr>
                <w:rFonts w:hint="eastAsia" w:ascii="宋体" w:hAnsi="宋体" w:cs="宋体"/>
                <w:spacing w:val="-11"/>
                <w:szCs w:val="21"/>
              </w:rPr>
              <w:t>电子商务平台经营者未以显著方式区分标记自营业务和平台内经营者开展的业务</w:t>
            </w:r>
          </w:p>
        </w:tc>
        <w:tc>
          <w:tcPr>
            <w:tcW w:w="2487" w:type="dxa"/>
            <w:vMerge w:val="restart"/>
            <w:tcBorders>
              <w:tl2br w:val="nil"/>
              <w:tr2bl w:val="nil"/>
            </w:tcBorders>
            <w:noWrap w:val="0"/>
            <w:vAlign w:val="center"/>
          </w:tcPr>
          <w:p w14:paraId="7755EDF8">
            <w:pPr>
              <w:spacing w:line="320" w:lineRule="exact"/>
              <w:rPr>
                <w:rFonts w:hint="eastAsia" w:ascii="宋体" w:hAnsi="宋体" w:cs="宋体"/>
                <w:spacing w:val="-11"/>
                <w:szCs w:val="21"/>
              </w:rPr>
            </w:pPr>
            <w:r>
              <w:rPr>
                <w:rFonts w:ascii="宋体" w:hAnsi="宋体" w:cs="宋体"/>
                <w:spacing w:val="-11"/>
                <w:szCs w:val="21"/>
                <w:lang w:val="en"/>
              </w:rPr>
              <w:t>初次</w:t>
            </w:r>
            <w:r>
              <w:rPr>
                <w:rFonts w:hint="eastAsia" w:ascii="宋体" w:hAnsi="宋体" w:cs="宋体"/>
                <w:spacing w:val="-11"/>
                <w:szCs w:val="21"/>
              </w:rPr>
              <w:t>被发现实施此类违法行为，危害后果轻微，已自行改正或者在市场监管部门规定的期限内改正</w:t>
            </w:r>
          </w:p>
        </w:tc>
        <w:tc>
          <w:tcPr>
            <w:tcW w:w="9017" w:type="dxa"/>
            <w:tcBorders>
              <w:tl2br w:val="nil"/>
              <w:tr2bl w:val="nil"/>
            </w:tcBorders>
            <w:noWrap w:val="0"/>
            <w:vAlign w:val="center"/>
          </w:tcPr>
          <w:p w14:paraId="236EA2B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6263F8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continue"/>
            <w:tcBorders>
              <w:tl2br w:val="nil"/>
              <w:tr2bl w:val="nil"/>
            </w:tcBorders>
            <w:noWrap w:val="0"/>
            <w:vAlign w:val="center"/>
          </w:tcPr>
          <w:p w14:paraId="593883C8">
            <w:pPr>
              <w:widowControl/>
              <w:spacing w:line="320" w:lineRule="exact"/>
              <w:jc w:val="center"/>
              <w:textAlignment w:val="center"/>
              <w:rPr>
                <w:rFonts w:hint="eastAsia" w:ascii="宋体" w:hAnsi="宋体" w:cs="宋体"/>
                <w:spacing w:val="-11"/>
                <w:szCs w:val="21"/>
              </w:rPr>
            </w:pPr>
          </w:p>
        </w:tc>
        <w:tc>
          <w:tcPr>
            <w:tcW w:w="2167" w:type="dxa"/>
            <w:vMerge w:val="continue"/>
            <w:tcBorders>
              <w:tl2br w:val="nil"/>
              <w:tr2bl w:val="nil"/>
            </w:tcBorders>
            <w:noWrap w:val="0"/>
            <w:vAlign w:val="center"/>
          </w:tcPr>
          <w:p w14:paraId="2FCB167A">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2C167440">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7AD3118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《中华人民共和国电子商务法》</w:t>
            </w:r>
            <w:r>
              <w:rPr>
                <w:rFonts w:hint="eastAsia" w:ascii="宋体" w:hAnsi="宋体" w:cs="宋体"/>
                <w:spacing w:val="-11"/>
                <w:kern w:val="0"/>
                <w:szCs w:val="21"/>
                <w:lang w:bidi="ar"/>
              </w:rPr>
              <w:t>第八十一条第一款：“电子商务平台经营者违反本法规定，有下列行为之一的，由市场监督管理部门责令限期改正，可以处二万元以上十万元以下的罚款；情节严重的，处十万元以上五十万元以下的罚款：……（三） 未以显著方式区分标记自营业务和平台内经营者开展的业务的；……”</w:t>
            </w:r>
          </w:p>
        </w:tc>
      </w:tr>
      <w:tr w14:paraId="369773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655" w:type="dxa"/>
            <w:vMerge w:val="restart"/>
            <w:tcBorders>
              <w:tl2br w:val="nil"/>
              <w:tr2bl w:val="nil"/>
            </w:tcBorders>
            <w:noWrap w:val="0"/>
            <w:vAlign w:val="center"/>
          </w:tcPr>
          <w:p w14:paraId="6FBC5D23">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36</w:t>
            </w:r>
          </w:p>
        </w:tc>
        <w:tc>
          <w:tcPr>
            <w:tcW w:w="2167" w:type="dxa"/>
            <w:vMerge w:val="restart"/>
            <w:tcBorders>
              <w:tl2br w:val="nil"/>
              <w:tr2bl w:val="nil"/>
            </w:tcBorders>
            <w:noWrap w:val="0"/>
            <w:vAlign w:val="center"/>
          </w:tcPr>
          <w:p w14:paraId="5673719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电子商务平台经营者未为消费者提供对平台内销售的商品或者提供的服务进行评价的途径，或者擅自删除消费者的评价</w:t>
            </w:r>
          </w:p>
        </w:tc>
        <w:tc>
          <w:tcPr>
            <w:tcW w:w="2487" w:type="dxa"/>
            <w:vMerge w:val="restart"/>
            <w:tcBorders>
              <w:tl2br w:val="nil"/>
              <w:tr2bl w:val="nil"/>
            </w:tcBorders>
            <w:noWrap w:val="0"/>
            <w:vAlign w:val="center"/>
          </w:tcPr>
          <w:p w14:paraId="09CCA2F4">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被发现实施此类违法行为，危害后果轻微，已自行改正或者在市场监管部门规定的期限内改正</w:t>
            </w:r>
          </w:p>
        </w:tc>
        <w:tc>
          <w:tcPr>
            <w:tcW w:w="9017" w:type="dxa"/>
            <w:tcBorders>
              <w:tl2br w:val="nil"/>
              <w:tr2bl w:val="nil"/>
            </w:tcBorders>
            <w:noWrap w:val="0"/>
            <w:vAlign w:val="center"/>
          </w:tcPr>
          <w:p w14:paraId="315C183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0BE9FB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0" w:hRule="atLeast"/>
          <w:jc w:val="center"/>
        </w:trPr>
        <w:tc>
          <w:tcPr>
            <w:tcW w:w="655" w:type="dxa"/>
            <w:vMerge w:val="continue"/>
            <w:tcBorders>
              <w:tl2br w:val="nil"/>
              <w:tr2bl w:val="nil"/>
            </w:tcBorders>
            <w:noWrap w:val="0"/>
            <w:vAlign w:val="center"/>
          </w:tcPr>
          <w:p w14:paraId="5F19C76D">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3D00B586">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1F89028D">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143556B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《中华人民共和国电子商务法》</w:t>
            </w:r>
            <w:r>
              <w:rPr>
                <w:rFonts w:hint="eastAsia" w:ascii="宋体" w:hAnsi="宋体" w:cs="宋体"/>
                <w:spacing w:val="-11"/>
                <w:kern w:val="0"/>
                <w:szCs w:val="21"/>
                <w:lang w:bidi="ar"/>
              </w:rPr>
              <w:t>第八十一条第一款：“电子商务平台经营者违反本法规定，有下列行为之一的，由市场监督管理部门责令限期改正，可以处二万元以上十万元以下的罚款；情节严重的，处十万元以上五十万元以下的罚款：……（四） 未为消费者提供对平台内销售的商品或者提供的服务进行评价的途径，或者擅自删除消费者的评价的。”</w:t>
            </w:r>
          </w:p>
        </w:tc>
      </w:tr>
      <w:tr w14:paraId="169A1E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jc w:val="center"/>
        </w:trPr>
        <w:tc>
          <w:tcPr>
            <w:tcW w:w="655" w:type="dxa"/>
            <w:tcBorders>
              <w:tl2br w:val="nil"/>
              <w:tr2bl w:val="nil"/>
            </w:tcBorders>
            <w:noWrap w:val="0"/>
            <w:vAlign w:val="center"/>
          </w:tcPr>
          <w:p w14:paraId="2CE2B17B">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37</w:t>
            </w:r>
          </w:p>
        </w:tc>
        <w:tc>
          <w:tcPr>
            <w:tcW w:w="2167" w:type="dxa"/>
            <w:tcBorders>
              <w:tl2br w:val="nil"/>
              <w:tr2bl w:val="nil"/>
            </w:tcBorders>
            <w:noWrap w:val="0"/>
            <w:vAlign w:val="center"/>
          </w:tcPr>
          <w:p w14:paraId="77FB733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电子商务平台经营者对平台内经营者实施侵犯知识产权行为未依法采取必要措施</w:t>
            </w:r>
          </w:p>
        </w:tc>
        <w:tc>
          <w:tcPr>
            <w:tcW w:w="2487" w:type="dxa"/>
            <w:tcBorders>
              <w:tl2br w:val="nil"/>
              <w:tr2bl w:val="nil"/>
            </w:tcBorders>
            <w:noWrap w:val="0"/>
            <w:vAlign w:val="center"/>
          </w:tcPr>
          <w:p w14:paraId="59CADC5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0E2F56F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《中华人民共和国电子商务法》</w:t>
            </w:r>
            <w:r>
              <w:rPr>
                <w:rFonts w:hint="eastAsia" w:ascii="宋体" w:hAnsi="宋体" w:cs="宋体"/>
                <w:spacing w:val="-11"/>
                <w:kern w:val="0"/>
                <w:szCs w:val="21"/>
                <w:lang w:bidi="ar"/>
              </w:rPr>
              <w:t>第八十四条：“电子商务平台经营者违反本法第四十二条、第四十五条规定，对平台内经营者实施侵犯知识产权行为未依法采取必要措施的，由有关知识产权行政部门责令限期改正；逾期不改正的，处五万元以上五十万元以下的罚款；情节严重的，处五十万元以上二百万元以下的罚款。”</w:t>
            </w:r>
          </w:p>
        </w:tc>
      </w:tr>
      <w:tr w14:paraId="29CD4F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9" w:hRule="atLeast"/>
          <w:jc w:val="center"/>
        </w:trPr>
        <w:tc>
          <w:tcPr>
            <w:tcW w:w="655" w:type="dxa"/>
            <w:tcBorders>
              <w:tl2br w:val="nil"/>
              <w:tr2bl w:val="nil"/>
            </w:tcBorders>
            <w:noWrap w:val="0"/>
            <w:vAlign w:val="center"/>
          </w:tcPr>
          <w:p w14:paraId="44973B09">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38</w:t>
            </w:r>
          </w:p>
        </w:tc>
        <w:tc>
          <w:tcPr>
            <w:tcW w:w="2167" w:type="dxa"/>
            <w:tcBorders>
              <w:tl2br w:val="nil"/>
              <w:tr2bl w:val="nil"/>
            </w:tcBorders>
            <w:noWrap w:val="0"/>
            <w:vAlign w:val="center"/>
          </w:tcPr>
          <w:p w14:paraId="2B87B75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网络交易平台经营者拒不为入驻的平台内经营者出具网络经营场所相关材料</w:t>
            </w:r>
          </w:p>
        </w:tc>
        <w:tc>
          <w:tcPr>
            <w:tcW w:w="2487" w:type="dxa"/>
            <w:tcBorders>
              <w:tl2br w:val="nil"/>
              <w:tr2bl w:val="nil"/>
            </w:tcBorders>
            <w:noWrap w:val="0"/>
            <w:vAlign w:val="center"/>
          </w:tcPr>
          <w:p w14:paraId="7D8F4D0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3A11848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四十条：“网络交易平台经营者违反本办法第十条，拒不为入驻的平台内经营者出具网络经营场所相关材料的，由市场监督管理部门责令限期改正；逾期不改正的，处一万元以上三万元以下罚款。”</w:t>
            </w:r>
          </w:p>
        </w:tc>
      </w:tr>
      <w:tr w14:paraId="131037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jc w:val="center"/>
        </w:trPr>
        <w:tc>
          <w:tcPr>
            <w:tcW w:w="655" w:type="dxa"/>
            <w:vMerge w:val="restart"/>
            <w:tcBorders>
              <w:tl2br w:val="nil"/>
              <w:tr2bl w:val="nil"/>
            </w:tcBorders>
            <w:noWrap w:val="0"/>
            <w:vAlign w:val="center"/>
          </w:tcPr>
          <w:p w14:paraId="2483DDCC">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39</w:t>
            </w:r>
          </w:p>
        </w:tc>
        <w:tc>
          <w:tcPr>
            <w:tcW w:w="2167" w:type="dxa"/>
            <w:vMerge w:val="restart"/>
            <w:tcBorders>
              <w:tl2br w:val="nil"/>
              <w:tr2bl w:val="nil"/>
            </w:tcBorders>
            <w:noWrap w:val="0"/>
            <w:vAlign w:val="center"/>
          </w:tcPr>
          <w:p w14:paraId="363A981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网络交易经营者未经消费者同意或请求向其发送商业性信息</w:t>
            </w:r>
          </w:p>
        </w:tc>
        <w:tc>
          <w:tcPr>
            <w:tcW w:w="2487" w:type="dxa"/>
            <w:vMerge w:val="restart"/>
            <w:tcBorders>
              <w:tl2br w:val="nil"/>
              <w:tr2bl w:val="nil"/>
            </w:tcBorders>
            <w:noWrap w:val="0"/>
            <w:vAlign w:val="center"/>
          </w:tcPr>
          <w:p w14:paraId="27ADC90C">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被发现实施此类违法行为，危害后果轻微，已自行改正或者在市场监管部门规定的期限内改正</w:t>
            </w:r>
          </w:p>
        </w:tc>
        <w:tc>
          <w:tcPr>
            <w:tcW w:w="9017" w:type="dxa"/>
            <w:tcBorders>
              <w:tl2br w:val="nil"/>
              <w:tr2bl w:val="nil"/>
            </w:tcBorders>
            <w:noWrap w:val="0"/>
            <w:vAlign w:val="center"/>
          </w:tcPr>
          <w:p w14:paraId="0A22A6B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5F615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 w:hRule="atLeast"/>
          <w:jc w:val="center"/>
        </w:trPr>
        <w:tc>
          <w:tcPr>
            <w:tcW w:w="655" w:type="dxa"/>
            <w:vMerge w:val="continue"/>
            <w:tcBorders>
              <w:tl2br w:val="nil"/>
              <w:tr2bl w:val="nil"/>
            </w:tcBorders>
            <w:noWrap w:val="0"/>
            <w:vAlign w:val="center"/>
          </w:tcPr>
          <w:p w14:paraId="0B2FB035">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7D68C66">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0EB94D05">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D944C2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《网络交易监督管理办法》第十六条第一款：“网络交易经营者未经消费者同意或者请求，不得向其发送商业性信息。”</w:t>
            </w:r>
          </w:p>
        </w:tc>
      </w:tr>
      <w:tr w14:paraId="0E62D7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655" w:type="dxa"/>
            <w:vMerge w:val="continue"/>
            <w:tcBorders>
              <w:tl2br w:val="nil"/>
              <w:tr2bl w:val="nil"/>
            </w:tcBorders>
            <w:noWrap w:val="0"/>
            <w:vAlign w:val="center"/>
          </w:tcPr>
          <w:p w14:paraId="6FFAA36C">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A723AB3">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3840769B">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1E90D3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四十一条：“网络交易经营者违反本办法…第十六条…法律、行政法规有规定的，依照其规定；法律、行政法规没有规定的，由市场监督管理部门依职责责令限期改正，可以处五千元以上三万元以下罚款。”</w:t>
            </w:r>
          </w:p>
        </w:tc>
      </w:tr>
      <w:tr w14:paraId="002841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jc w:val="center"/>
        </w:trPr>
        <w:tc>
          <w:tcPr>
            <w:tcW w:w="655" w:type="dxa"/>
            <w:vMerge w:val="restart"/>
            <w:tcBorders>
              <w:tl2br w:val="nil"/>
              <w:tr2bl w:val="nil"/>
            </w:tcBorders>
            <w:noWrap w:val="0"/>
            <w:vAlign w:val="center"/>
          </w:tcPr>
          <w:p w14:paraId="7D827BEF">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40</w:t>
            </w:r>
          </w:p>
        </w:tc>
        <w:tc>
          <w:tcPr>
            <w:tcW w:w="2167" w:type="dxa"/>
            <w:vMerge w:val="restart"/>
            <w:tcBorders>
              <w:tl2br w:val="nil"/>
              <w:tr2bl w:val="nil"/>
            </w:tcBorders>
            <w:noWrap w:val="0"/>
            <w:vAlign w:val="center"/>
          </w:tcPr>
          <w:p w14:paraId="198D315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网络交易经营者提供的自动展期、自动续费等服务不符合规定</w:t>
            </w:r>
          </w:p>
        </w:tc>
        <w:tc>
          <w:tcPr>
            <w:tcW w:w="2487" w:type="dxa"/>
            <w:vMerge w:val="restart"/>
            <w:tcBorders>
              <w:tl2br w:val="nil"/>
              <w:tr2bl w:val="nil"/>
            </w:tcBorders>
            <w:noWrap w:val="0"/>
            <w:vAlign w:val="center"/>
          </w:tcPr>
          <w:p w14:paraId="5BC948AA">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被发现实施此类违法行为，危害后果轻微，已自行改正或者在市场监管部门规定的期限内改正</w:t>
            </w:r>
          </w:p>
        </w:tc>
        <w:tc>
          <w:tcPr>
            <w:tcW w:w="9017" w:type="dxa"/>
            <w:tcBorders>
              <w:tl2br w:val="nil"/>
              <w:tr2bl w:val="nil"/>
            </w:tcBorders>
            <w:noWrap w:val="0"/>
            <w:vAlign w:val="center"/>
          </w:tcPr>
          <w:p w14:paraId="68B86A7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3E955C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9" w:hRule="atLeast"/>
          <w:jc w:val="center"/>
        </w:trPr>
        <w:tc>
          <w:tcPr>
            <w:tcW w:w="655" w:type="dxa"/>
            <w:vMerge w:val="continue"/>
            <w:tcBorders>
              <w:tl2br w:val="nil"/>
              <w:tr2bl w:val="nil"/>
            </w:tcBorders>
            <w:noWrap w:val="0"/>
            <w:vAlign w:val="center"/>
          </w:tcPr>
          <w:p w14:paraId="092B9766">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73FD04E4">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491863BF">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C79850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十八条：“网络交易经营者采取自动展期、自动续费等方式提供服务的，应当在消费者接受服务前和自动展期、自动续费等日期前五日，以显著方式提请消费者注意，由消费者自主选择；在服务期间内，应当为消费者提供显著、简便的随时取消或者变更的选项，并不得收取不合理费用。”</w:t>
            </w:r>
          </w:p>
        </w:tc>
      </w:tr>
      <w:tr w14:paraId="23637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jc w:val="center"/>
        </w:trPr>
        <w:tc>
          <w:tcPr>
            <w:tcW w:w="655" w:type="dxa"/>
            <w:vMerge w:val="continue"/>
            <w:tcBorders>
              <w:tl2br w:val="nil"/>
              <w:tr2bl w:val="nil"/>
            </w:tcBorders>
            <w:noWrap w:val="0"/>
            <w:vAlign w:val="center"/>
          </w:tcPr>
          <w:p w14:paraId="279D1A52">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83161A8">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0DC3016C">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E88681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四十一条：“网络交易经营者违反本办法……第十八条，法律、行政法规有规定的，依照其规定；法律、行政法规没有规定的，由市场监督管理部门依职责责令限期改正，可以处五千元以上三万元以下罚款。”</w:t>
            </w:r>
          </w:p>
        </w:tc>
      </w:tr>
      <w:tr w14:paraId="36F220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jc w:val="center"/>
        </w:trPr>
        <w:tc>
          <w:tcPr>
            <w:tcW w:w="655" w:type="dxa"/>
            <w:vMerge w:val="restart"/>
            <w:tcBorders>
              <w:tl2br w:val="nil"/>
              <w:tr2bl w:val="nil"/>
            </w:tcBorders>
            <w:noWrap w:val="0"/>
            <w:vAlign w:val="center"/>
          </w:tcPr>
          <w:p w14:paraId="21E41FA5">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41</w:t>
            </w:r>
          </w:p>
        </w:tc>
        <w:tc>
          <w:tcPr>
            <w:tcW w:w="2167" w:type="dxa"/>
            <w:vMerge w:val="restart"/>
            <w:tcBorders>
              <w:tl2br w:val="nil"/>
              <w:tr2bl w:val="nil"/>
            </w:tcBorders>
            <w:noWrap w:val="0"/>
            <w:vAlign w:val="center"/>
          </w:tcPr>
          <w:p w14:paraId="6CDBE2B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网络直播服务提供者对网络交易活动的直播视频保存时间少于三年</w:t>
            </w:r>
          </w:p>
        </w:tc>
        <w:tc>
          <w:tcPr>
            <w:tcW w:w="2487" w:type="dxa"/>
            <w:vMerge w:val="restart"/>
            <w:tcBorders>
              <w:tl2br w:val="nil"/>
              <w:tr2bl w:val="nil"/>
            </w:tcBorders>
            <w:noWrap w:val="0"/>
            <w:vAlign w:val="center"/>
          </w:tcPr>
          <w:p w14:paraId="2AD85B3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1EB0CD3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《网络交易监督管理办法》第二十条第二款：“网络直播服务提供者对网络交易活动的直播视频保存时间自直播结束之日起不少于三年。”</w:t>
            </w:r>
          </w:p>
        </w:tc>
      </w:tr>
      <w:tr w14:paraId="0C7F6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5" w:hRule="atLeast"/>
          <w:jc w:val="center"/>
        </w:trPr>
        <w:tc>
          <w:tcPr>
            <w:tcW w:w="655" w:type="dxa"/>
            <w:vMerge w:val="continue"/>
            <w:tcBorders>
              <w:tl2br w:val="nil"/>
              <w:tr2bl w:val="nil"/>
            </w:tcBorders>
            <w:noWrap w:val="0"/>
            <w:vAlign w:val="center"/>
          </w:tcPr>
          <w:p w14:paraId="5AA5E8B3">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2DE7CCE6">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6EE5557A">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63166DE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四十五条：“网络交易经营者违反本办法第二十条，法律、行政法规有规定的，依照其规定；法律、行政法规没有规定的，由市场监督管理部门责令限期改正；逾期不改正的，处一万元以下罚款。”</w:t>
            </w:r>
          </w:p>
        </w:tc>
      </w:tr>
      <w:tr w14:paraId="75F36F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2" w:hRule="atLeast"/>
          <w:jc w:val="center"/>
        </w:trPr>
        <w:tc>
          <w:tcPr>
            <w:tcW w:w="655" w:type="dxa"/>
            <w:vMerge w:val="restart"/>
            <w:tcBorders>
              <w:tl2br w:val="nil"/>
              <w:tr2bl w:val="nil"/>
            </w:tcBorders>
            <w:noWrap w:val="0"/>
            <w:vAlign w:val="center"/>
          </w:tcPr>
          <w:p w14:paraId="416599A5">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42</w:t>
            </w:r>
          </w:p>
        </w:tc>
        <w:tc>
          <w:tcPr>
            <w:tcW w:w="2167" w:type="dxa"/>
            <w:vMerge w:val="restart"/>
            <w:tcBorders>
              <w:tl2br w:val="nil"/>
              <w:tr2bl w:val="nil"/>
            </w:tcBorders>
            <w:noWrap w:val="0"/>
            <w:vAlign w:val="center"/>
          </w:tcPr>
          <w:p w14:paraId="1057D52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网络交易经营者未按照市场监督管理部门的要求，提供特定时段、特定品类、特定区域的商品或者服务的价格、销量、销售额等数据信息</w:t>
            </w:r>
          </w:p>
        </w:tc>
        <w:tc>
          <w:tcPr>
            <w:tcW w:w="2487" w:type="dxa"/>
            <w:vMerge w:val="restart"/>
            <w:tcBorders>
              <w:tl2br w:val="nil"/>
              <w:tr2bl w:val="nil"/>
            </w:tcBorders>
            <w:noWrap w:val="0"/>
            <w:vAlign w:val="center"/>
          </w:tcPr>
          <w:p w14:paraId="3A0E70A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53C9EB5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二十二条：“网络交易经营者应当按照国家市场监督管理总局及其授权的省级市场监督管理部门的要求，提供特定时段、特定品类、特定区域的商品或者服务的价格、销量、销售额等数据信息。”</w:t>
            </w:r>
          </w:p>
        </w:tc>
      </w:tr>
      <w:tr w14:paraId="6C89DE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655" w:type="dxa"/>
            <w:vMerge w:val="continue"/>
            <w:tcBorders>
              <w:tl2br w:val="nil"/>
              <w:tr2bl w:val="nil"/>
            </w:tcBorders>
            <w:noWrap w:val="0"/>
            <w:vAlign w:val="center"/>
          </w:tcPr>
          <w:p w14:paraId="216C54AC">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158AF65F">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435334B2">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09E459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《网络交易监督管理办法》第四十六条：“网络交易经营者违反本办法第二十二条的，由市场监督管理部门责令限期改正；逾期不改正的，处五千元以上三万元以下罚款。”</w:t>
            </w:r>
          </w:p>
        </w:tc>
      </w:tr>
      <w:tr w14:paraId="6D9DE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0" w:hRule="atLeast"/>
          <w:jc w:val="center"/>
        </w:trPr>
        <w:tc>
          <w:tcPr>
            <w:tcW w:w="655" w:type="dxa"/>
            <w:vMerge w:val="restart"/>
            <w:tcBorders>
              <w:tl2br w:val="nil"/>
              <w:tr2bl w:val="nil"/>
            </w:tcBorders>
            <w:noWrap w:val="0"/>
            <w:vAlign w:val="center"/>
          </w:tcPr>
          <w:p w14:paraId="2A4D80A1">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43</w:t>
            </w:r>
          </w:p>
        </w:tc>
        <w:tc>
          <w:tcPr>
            <w:tcW w:w="2167" w:type="dxa"/>
            <w:vMerge w:val="restart"/>
            <w:tcBorders>
              <w:tl2br w:val="nil"/>
              <w:tr2bl w:val="nil"/>
            </w:tcBorders>
            <w:noWrap w:val="0"/>
            <w:vAlign w:val="center"/>
          </w:tcPr>
          <w:p w14:paraId="033F35F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网络交易平台经营者未以显著方式区分标记已办理市场主体登记的经营者和未办理市场主体登记的经营者</w:t>
            </w:r>
          </w:p>
        </w:tc>
        <w:tc>
          <w:tcPr>
            <w:tcW w:w="2487" w:type="dxa"/>
            <w:vMerge w:val="restart"/>
            <w:tcBorders>
              <w:tl2br w:val="nil"/>
              <w:tr2bl w:val="nil"/>
            </w:tcBorders>
            <w:noWrap w:val="0"/>
            <w:vAlign w:val="center"/>
          </w:tcPr>
          <w:p w14:paraId="649B65A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2746B9C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《网络交易监督管理办法》第二十七条：“网络交易平台经营者应当以显著方式区分标记已办理市场主体登记的经营者和未办理市场主体登记的经营者，确保消费者能够清晰辨认。”</w:t>
            </w:r>
          </w:p>
        </w:tc>
      </w:tr>
      <w:tr w14:paraId="7E519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jc w:val="center"/>
        </w:trPr>
        <w:tc>
          <w:tcPr>
            <w:tcW w:w="655" w:type="dxa"/>
            <w:vMerge w:val="continue"/>
            <w:tcBorders>
              <w:tl2br w:val="nil"/>
              <w:tr2bl w:val="nil"/>
            </w:tcBorders>
            <w:noWrap w:val="0"/>
            <w:vAlign w:val="center"/>
          </w:tcPr>
          <w:p w14:paraId="59B07A7A">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2A7647F">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6AAC4863">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36600E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《网络交易监督管理办法》第四十八条：“网络交易平台经营者违反本办法第二十七条…，由市场监督管理部门责令限期改正；逾期不改正的，处一万元以上三万元以下罚款。”</w:t>
            </w:r>
          </w:p>
        </w:tc>
      </w:tr>
      <w:tr w14:paraId="77AE2D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6" w:hRule="atLeast"/>
          <w:jc w:val="center"/>
        </w:trPr>
        <w:tc>
          <w:tcPr>
            <w:tcW w:w="655" w:type="dxa"/>
            <w:vMerge w:val="restart"/>
            <w:tcBorders>
              <w:tl2br w:val="nil"/>
              <w:tr2bl w:val="nil"/>
            </w:tcBorders>
            <w:noWrap w:val="0"/>
            <w:vAlign w:val="center"/>
          </w:tcPr>
          <w:p w14:paraId="364F046E">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44</w:t>
            </w:r>
          </w:p>
        </w:tc>
        <w:tc>
          <w:tcPr>
            <w:tcW w:w="2167" w:type="dxa"/>
            <w:vMerge w:val="restart"/>
            <w:tcBorders>
              <w:tl2br w:val="nil"/>
              <w:tr2bl w:val="nil"/>
            </w:tcBorders>
            <w:noWrap w:val="0"/>
            <w:vAlign w:val="center"/>
          </w:tcPr>
          <w:p w14:paraId="35AD46A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网络交易平台经营者修改平台服务协议和交易规则的，未完整保存修改后的版本生效之日前三年的全部历史版本</w:t>
            </w:r>
          </w:p>
        </w:tc>
        <w:tc>
          <w:tcPr>
            <w:tcW w:w="2487" w:type="dxa"/>
            <w:vMerge w:val="restart"/>
            <w:tcBorders>
              <w:tl2br w:val="nil"/>
              <w:tr2bl w:val="nil"/>
            </w:tcBorders>
            <w:noWrap w:val="0"/>
            <w:vAlign w:val="center"/>
          </w:tcPr>
          <w:p w14:paraId="5551427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15567C9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二十八条：“网络交易平台经营者修改平台服务协议和交易规则的，应当完整保存修改后的版本生效之日前三年的全部历史版本，并保证经营者和消费者能够便利、完整地阅览和下载”</w:t>
            </w:r>
          </w:p>
        </w:tc>
      </w:tr>
      <w:tr w14:paraId="7C0E94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0" w:hRule="atLeast"/>
          <w:jc w:val="center"/>
        </w:trPr>
        <w:tc>
          <w:tcPr>
            <w:tcW w:w="655" w:type="dxa"/>
            <w:vMerge w:val="continue"/>
            <w:tcBorders>
              <w:tl2br w:val="nil"/>
              <w:tr2bl w:val="nil"/>
            </w:tcBorders>
            <w:noWrap w:val="0"/>
            <w:vAlign w:val="center"/>
          </w:tcPr>
          <w:p w14:paraId="33106EE9">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0202996B">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30DA4553">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0846365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《网络交易监督管理办法》第四十八条：“网络交易平台经营者违反本办法…第二十八条…，由市场监督管理部门责令限期改正；逾期不改正的，处一万元以上三万元以下罚款。”</w:t>
            </w:r>
          </w:p>
        </w:tc>
      </w:tr>
      <w:tr w14:paraId="44BC9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jc w:val="center"/>
        </w:trPr>
        <w:tc>
          <w:tcPr>
            <w:tcW w:w="655" w:type="dxa"/>
            <w:vMerge w:val="restart"/>
            <w:tcBorders>
              <w:tl2br w:val="nil"/>
              <w:tr2bl w:val="nil"/>
            </w:tcBorders>
            <w:noWrap w:val="0"/>
            <w:vAlign w:val="center"/>
          </w:tcPr>
          <w:p w14:paraId="2EA3DFFC">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45</w:t>
            </w:r>
          </w:p>
        </w:tc>
        <w:tc>
          <w:tcPr>
            <w:tcW w:w="2167" w:type="dxa"/>
            <w:vMerge w:val="restart"/>
            <w:tcBorders>
              <w:tl2br w:val="nil"/>
              <w:tr2bl w:val="nil"/>
            </w:tcBorders>
            <w:noWrap w:val="0"/>
            <w:vAlign w:val="center"/>
          </w:tcPr>
          <w:p w14:paraId="24E5AE9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网络交易平台经营者未按规定公示对平台内经营者违法行为的处理措施</w:t>
            </w:r>
          </w:p>
        </w:tc>
        <w:tc>
          <w:tcPr>
            <w:tcW w:w="2487" w:type="dxa"/>
            <w:vMerge w:val="restart"/>
            <w:tcBorders>
              <w:tl2br w:val="nil"/>
              <w:tr2bl w:val="nil"/>
            </w:tcBorders>
            <w:noWrap w:val="0"/>
            <w:vAlign w:val="center"/>
          </w:tcPr>
          <w:p w14:paraId="7F3388D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3E1BA52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三十条：“网络交易平台经营者依据法律、法规、规章的规定或者平台服务协议和交易规则对平台内经营者违法行为采取警示、暂停或者终止服务等处理措施的，应当自决定作出处理措施之日起一个工作日内予以公示，载明平台内经营者的网店名称、违法行为、处理措施等信息。警示、暂停服务等短期处理措施的相关信息应当持续公示至处理措施实施期满之日止。”</w:t>
            </w:r>
          </w:p>
        </w:tc>
      </w:tr>
      <w:tr w14:paraId="6C203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jc w:val="center"/>
        </w:trPr>
        <w:tc>
          <w:tcPr>
            <w:tcW w:w="655" w:type="dxa"/>
            <w:vMerge w:val="continue"/>
            <w:tcBorders>
              <w:tl2br w:val="nil"/>
              <w:tr2bl w:val="nil"/>
            </w:tcBorders>
            <w:noWrap w:val="0"/>
            <w:vAlign w:val="center"/>
          </w:tcPr>
          <w:p w14:paraId="710FDFB1">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4AD4F489">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63C8F398">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385A5F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《网络交易监督管理办法》第四十八条：“网络交易平台经营者违反本办法…第三十条的，由市场监督管理部门责令限期改正；逾期不改正的，处一万元以上三万元以下罚款。”</w:t>
            </w:r>
          </w:p>
        </w:tc>
      </w:tr>
      <w:tr w14:paraId="173EF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655" w:type="dxa"/>
            <w:vMerge w:val="restart"/>
            <w:tcBorders>
              <w:tl2br w:val="nil"/>
              <w:tr2bl w:val="nil"/>
            </w:tcBorders>
            <w:noWrap w:val="0"/>
            <w:vAlign w:val="center"/>
          </w:tcPr>
          <w:p w14:paraId="5CD37946">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46</w:t>
            </w:r>
          </w:p>
        </w:tc>
        <w:tc>
          <w:tcPr>
            <w:tcW w:w="2167" w:type="dxa"/>
            <w:vMerge w:val="restart"/>
            <w:tcBorders>
              <w:tl2br w:val="nil"/>
              <w:tr2bl w:val="nil"/>
            </w:tcBorders>
            <w:noWrap w:val="0"/>
            <w:vAlign w:val="center"/>
          </w:tcPr>
          <w:p w14:paraId="2995E10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网络交易平台经营者未对平台内经营者及其发布的商品或者服务信息建立检查监控制度</w:t>
            </w:r>
          </w:p>
        </w:tc>
        <w:tc>
          <w:tcPr>
            <w:tcW w:w="2487" w:type="dxa"/>
            <w:vMerge w:val="restart"/>
            <w:tcBorders>
              <w:tl2br w:val="nil"/>
              <w:tr2bl w:val="nil"/>
            </w:tcBorders>
            <w:noWrap w:val="0"/>
            <w:vAlign w:val="center"/>
          </w:tcPr>
          <w:p w14:paraId="1D80396E">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被发现实施此类违法行为，尚未造成危害后果，已自行改正或者在市场监管部门规定的期限内改正</w:t>
            </w:r>
          </w:p>
        </w:tc>
        <w:tc>
          <w:tcPr>
            <w:tcW w:w="9017" w:type="dxa"/>
            <w:tcBorders>
              <w:tl2br w:val="nil"/>
              <w:tr2bl w:val="nil"/>
            </w:tcBorders>
            <w:noWrap w:val="0"/>
            <w:vAlign w:val="center"/>
          </w:tcPr>
          <w:p w14:paraId="7DD57EB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540067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655" w:type="dxa"/>
            <w:vMerge w:val="continue"/>
            <w:tcBorders>
              <w:tl2br w:val="nil"/>
              <w:tr2bl w:val="nil"/>
            </w:tcBorders>
            <w:noWrap w:val="0"/>
            <w:vAlign w:val="center"/>
          </w:tcPr>
          <w:p w14:paraId="06687ACF">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453746D0">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079EC83F">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FEEDB8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《网络交易监督管理办法》第二十九条：“网络交易平台经营者应当对平台内经营者及其发布的商品或者服务信息建立检查监控制度。”</w:t>
            </w:r>
          </w:p>
        </w:tc>
      </w:tr>
      <w:tr w14:paraId="34B870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6" w:hRule="atLeast"/>
          <w:jc w:val="center"/>
        </w:trPr>
        <w:tc>
          <w:tcPr>
            <w:tcW w:w="655" w:type="dxa"/>
            <w:vMerge w:val="continue"/>
            <w:tcBorders>
              <w:tl2br w:val="nil"/>
              <w:tr2bl w:val="nil"/>
            </w:tcBorders>
            <w:noWrap w:val="0"/>
            <w:vAlign w:val="center"/>
          </w:tcPr>
          <w:p w14:paraId="19F94F94">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1BA2305A">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154131A8">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2E36DB7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网络交易监督管理办法》第四十九条：“网络交易平台经营者违反本办法第二十九条，法律、行政法规有规定的，依照其规定；法律、行政法规没有规定的，由市场监督管理部门依职责责令限期改正，可以处一万元以上三万元以下罚款。”</w:t>
            </w:r>
          </w:p>
        </w:tc>
      </w:tr>
      <w:tr w14:paraId="399DA0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2652D24E">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五</w:t>
            </w:r>
          </w:p>
        </w:tc>
        <w:tc>
          <w:tcPr>
            <w:tcW w:w="13671" w:type="dxa"/>
            <w:gridSpan w:val="3"/>
            <w:tcBorders>
              <w:tl2br w:val="nil"/>
              <w:tr2bl w:val="nil"/>
            </w:tcBorders>
            <w:noWrap w:val="0"/>
            <w:vAlign w:val="center"/>
          </w:tcPr>
          <w:p w14:paraId="4E91FC3A">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合同违法行为</w:t>
            </w:r>
          </w:p>
        </w:tc>
      </w:tr>
      <w:tr w14:paraId="52087D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55" w:type="dxa"/>
            <w:tcBorders>
              <w:tl2br w:val="nil"/>
              <w:tr2bl w:val="nil"/>
            </w:tcBorders>
            <w:noWrap w:val="0"/>
            <w:vAlign w:val="center"/>
          </w:tcPr>
          <w:p w14:paraId="0C78300A">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47</w:t>
            </w:r>
          </w:p>
        </w:tc>
        <w:tc>
          <w:tcPr>
            <w:tcW w:w="2167" w:type="dxa"/>
            <w:tcBorders>
              <w:tl2br w:val="nil"/>
              <w:tr2bl w:val="nil"/>
            </w:tcBorders>
            <w:noWrap w:val="0"/>
            <w:vAlign w:val="center"/>
          </w:tcPr>
          <w:p w14:paraId="02CCD5E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经营者未将含有格式条款的合同文本报市场监管部门备案</w:t>
            </w:r>
          </w:p>
        </w:tc>
        <w:tc>
          <w:tcPr>
            <w:tcW w:w="2487" w:type="dxa"/>
            <w:tcBorders>
              <w:tl2br w:val="nil"/>
              <w:tr2bl w:val="nil"/>
            </w:tcBorders>
            <w:noWrap w:val="0"/>
            <w:vAlign w:val="center"/>
          </w:tcPr>
          <w:p w14:paraId="72452C2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54F9924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江西省合同格式条款监督办法》第二十一条：“违反本办法规定，经营者未将含有格式条款的合同文本报市场监督管理部门备案的，由市场监督管理部门责令限期改正；逾期拒不改正的，处一千元以上五千元以下罚款，并可以将有关情况向社会公告。”</w:t>
            </w:r>
          </w:p>
        </w:tc>
      </w:tr>
      <w:tr w14:paraId="699E14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09275B2E">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六</w:t>
            </w:r>
          </w:p>
        </w:tc>
        <w:tc>
          <w:tcPr>
            <w:tcW w:w="13671" w:type="dxa"/>
            <w:gridSpan w:val="3"/>
            <w:tcBorders>
              <w:tl2br w:val="nil"/>
              <w:tr2bl w:val="nil"/>
            </w:tcBorders>
            <w:noWrap w:val="0"/>
            <w:vAlign w:val="center"/>
          </w:tcPr>
          <w:p w14:paraId="08760B22">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违反商标管理有关规定的行为</w:t>
            </w:r>
          </w:p>
        </w:tc>
      </w:tr>
      <w:tr w14:paraId="4959B4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jc w:val="center"/>
        </w:trPr>
        <w:tc>
          <w:tcPr>
            <w:tcW w:w="655" w:type="dxa"/>
            <w:vMerge w:val="restart"/>
            <w:tcBorders>
              <w:tl2br w:val="nil"/>
              <w:tr2bl w:val="nil"/>
            </w:tcBorders>
            <w:noWrap w:val="0"/>
            <w:vAlign w:val="center"/>
          </w:tcPr>
          <w:p w14:paraId="36746964">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48</w:t>
            </w:r>
          </w:p>
        </w:tc>
        <w:tc>
          <w:tcPr>
            <w:tcW w:w="2167" w:type="dxa"/>
            <w:vMerge w:val="restart"/>
            <w:tcBorders>
              <w:tl2br w:val="nil"/>
              <w:tr2bl w:val="nil"/>
            </w:tcBorders>
            <w:noWrap w:val="0"/>
            <w:vAlign w:val="center"/>
          </w:tcPr>
          <w:p w14:paraId="3324DA0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将未注册商标冒充注册商标使用</w:t>
            </w:r>
          </w:p>
        </w:tc>
        <w:tc>
          <w:tcPr>
            <w:tcW w:w="2487" w:type="dxa"/>
            <w:vMerge w:val="restart"/>
            <w:tcBorders>
              <w:tl2br w:val="nil"/>
              <w:tr2bl w:val="nil"/>
            </w:tcBorders>
            <w:noWrap w:val="0"/>
            <w:vAlign w:val="center"/>
          </w:tcPr>
          <w:p w14:paraId="3D5184D7">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被发现实施此类违法行为，没有造成不良社会影响，没有违法经营额或违法经营额不足一万元，已自行改正或者在市场监管部门规定的期限内改正</w:t>
            </w:r>
          </w:p>
        </w:tc>
        <w:tc>
          <w:tcPr>
            <w:tcW w:w="9017" w:type="dxa"/>
            <w:tcBorders>
              <w:tl2br w:val="nil"/>
              <w:tr2bl w:val="nil"/>
            </w:tcBorders>
            <w:noWrap w:val="0"/>
            <w:vAlign w:val="center"/>
          </w:tcPr>
          <w:p w14:paraId="027E5B7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1AEDA3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655" w:type="dxa"/>
            <w:vMerge w:val="continue"/>
            <w:tcBorders>
              <w:tl2br w:val="nil"/>
              <w:tr2bl w:val="nil"/>
            </w:tcBorders>
            <w:noWrap w:val="0"/>
            <w:vAlign w:val="center"/>
          </w:tcPr>
          <w:p w14:paraId="10159D5C">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4C4AA813">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1C6F6FBC">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0B6E992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《中华人民共和国商标法》</w:t>
            </w:r>
            <w:r>
              <w:rPr>
                <w:rFonts w:hint="eastAsia" w:ascii="宋体" w:hAnsi="宋体" w:cs="宋体"/>
                <w:spacing w:val="-11"/>
                <w:kern w:val="0"/>
                <w:szCs w:val="21"/>
                <w:lang w:bidi="ar"/>
              </w:rPr>
              <w:t>第五十二条：“将未注册商标冒充注册商标使用的，或者使用未注册商标违反本法第十条规定的，由地方工商行政管理部门予以制止，限期改正，并可以予以通报，违法经营额五万元以上的，可以处违法经营额百分之二十以下的罚款，没有违法经营额或者违法经营额不足五万元的，可以处一万元以下的罚款。”</w:t>
            </w:r>
          </w:p>
        </w:tc>
      </w:tr>
      <w:tr w14:paraId="3EB159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9" w:hRule="atLeast"/>
          <w:jc w:val="center"/>
        </w:trPr>
        <w:tc>
          <w:tcPr>
            <w:tcW w:w="655" w:type="dxa"/>
            <w:tcBorders>
              <w:tl2br w:val="nil"/>
              <w:tr2bl w:val="nil"/>
            </w:tcBorders>
            <w:noWrap w:val="0"/>
            <w:vAlign w:val="center"/>
          </w:tcPr>
          <w:p w14:paraId="165D175A">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49</w:t>
            </w:r>
          </w:p>
        </w:tc>
        <w:tc>
          <w:tcPr>
            <w:tcW w:w="2167" w:type="dxa"/>
            <w:tcBorders>
              <w:tl2br w:val="nil"/>
              <w:tr2bl w:val="nil"/>
            </w:tcBorders>
            <w:noWrap w:val="0"/>
            <w:vAlign w:val="center"/>
          </w:tcPr>
          <w:p w14:paraId="2A4F82F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销售不知道或不应当知道是侵犯注册商标专用权的商品</w:t>
            </w:r>
          </w:p>
        </w:tc>
        <w:tc>
          <w:tcPr>
            <w:tcW w:w="2487" w:type="dxa"/>
            <w:tcBorders>
              <w:tl2br w:val="nil"/>
              <w:tr2bl w:val="nil"/>
            </w:tcBorders>
            <w:noWrap w:val="0"/>
            <w:vAlign w:val="center"/>
          </w:tcPr>
          <w:p w14:paraId="79312EB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能证明该商品是自己合法取得并说明提供者，没有违法所得</w:t>
            </w:r>
          </w:p>
        </w:tc>
        <w:tc>
          <w:tcPr>
            <w:tcW w:w="9017" w:type="dxa"/>
            <w:tcBorders>
              <w:tl2br w:val="nil"/>
              <w:tr2bl w:val="nil"/>
            </w:tcBorders>
            <w:noWrap w:val="0"/>
            <w:vAlign w:val="center"/>
          </w:tcPr>
          <w:p w14:paraId="487D261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《中华人民共和国商标法》</w:t>
            </w:r>
            <w:r>
              <w:rPr>
                <w:rFonts w:hint="eastAsia" w:ascii="宋体" w:hAnsi="宋体" w:cs="宋体"/>
                <w:spacing w:val="-11"/>
                <w:kern w:val="0"/>
                <w:szCs w:val="21"/>
                <w:lang w:bidi="ar"/>
              </w:rPr>
              <w:t>第六十条第二款：“工商行政管理部门处理时，认定侵权行为成立的，责令立即停止侵权行为，没收、销毁侵权商品和主要用于制造侵权商品、伪造注册商标标识的工具，违法经营额五万元以上的，可以处违法经营额五倍以下的罚款，没有违法经营额或者违法经营额不足五万元的，可以处二十五万元以下的罚款。对五年内实施两次以上商标侵权行为或者有其他严重情节的，应当从重处罚。销售不知道是侵犯注册商标专用权的商品，能证明该商品是自己合法取得并说明提供者的，由工商行政管理部门责令停止销售。”</w:t>
            </w:r>
          </w:p>
        </w:tc>
      </w:tr>
      <w:tr w14:paraId="63AF24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655" w:type="dxa"/>
            <w:vMerge w:val="restart"/>
            <w:tcBorders>
              <w:tl2br w:val="nil"/>
              <w:tr2bl w:val="nil"/>
            </w:tcBorders>
            <w:noWrap w:val="0"/>
            <w:vAlign w:val="center"/>
          </w:tcPr>
          <w:p w14:paraId="44E0C625">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50</w:t>
            </w:r>
          </w:p>
        </w:tc>
        <w:tc>
          <w:tcPr>
            <w:tcW w:w="2167" w:type="dxa"/>
            <w:vMerge w:val="restart"/>
            <w:tcBorders>
              <w:tl2br w:val="nil"/>
              <w:tr2bl w:val="nil"/>
            </w:tcBorders>
            <w:noWrap w:val="0"/>
            <w:vAlign w:val="center"/>
          </w:tcPr>
          <w:p w14:paraId="2D0EC5A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经许可使用他人注册商标，未在使用该注册商标的商品上标明被许可人的名称和商品产地</w:t>
            </w:r>
          </w:p>
        </w:tc>
        <w:tc>
          <w:tcPr>
            <w:tcW w:w="2487" w:type="dxa"/>
            <w:vMerge w:val="restart"/>
            <w:tcBorders>
              <w:tl2br w:val="nil"/>
              <w:tr2bl w:val="nil"/>
            </w:tcBorders>
            <w:noWrap w:val="0"/>
            <w:vAlign w:val="center"/>
          </w:tcPr>
          <w:p w14:paraId="516BED7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6836338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《中华人民共和国商标法》</w:t>
            </w:r>
            <w:r>
              <w:rPr>
                <w:rFonts w:hint="eastAsia" w:ascii="宋体" w:hAnsi="宋体" w:cs="宋体"/>
                <w:spacing w:val="-11"/>
                <w:kern w:val="0"/>
                <w:szCs w:val="21"/>
                <w:lang w:bidi="ar"/>
              </w:rPr>
              <w:t>第四十三条第二款：“经许可使用他人注册商标的，必须在使用该注册商标的商品上标明被许可人的名称和商品产地。”</w:t>
            </w:r>
          </w:p>
        </w:tc>
      </w:tr>
      <w:tr w14:paraId="134795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5" w:hRule="atLeast"/>
          <w:jc w:val="center"/>
        </w:trPr>
        <w:tc>
          <w:tcPr>
            <w:tcW w:w="655" w:type="dxa"/>
            <w:vMerge w:val="continue"/>
            <w:tcBorders>
              <w:tl2br w:val="nil"/>
              <w:tr2bl w:val="nil"/>
            </w:tcBorders>
            <w:noWrap w:val="0"/>
            <w:vAlign w:val="center"/>
          </w:tcPr>
          <w:p w14:paraId="77D77CC5">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67BEB698">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7769F151">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2B5FF4F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《商标法实施条例》第七十一条：“违反商标法第四十三条第二款规定的，由工商行政管理部门责令限期改正；逾期不改正的，责令停止销售，拒不停止销售的，处10万元以下的罚款。”</w:t>
            </w:r>
          </w:p>
        </w:tc>
      </w:tr>
      <w:tr w14:paraId="38F9F4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jc w:val="center"/>
        </w:trPr>
        <w:tc>
          <w:tcPr>
            <w:tcW w:w="655" w:type="dxa"/>
            <w:vMerge w:val="restart"/>
            <w:tcBorders>
              <w:tl2br w:val="nil"/>
              <w:tr2bl w:val="nil"/>
            </w:tcBorders>
            <w:noWrap w:val="0"/>
            <w:vAlign w:val="center"/>
          </w:tcPr>
          <w:p w14:paraId="777EAB51">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51</w:t>
            </w:r>
          </w:p>
        </w:tc>
        <w:tc>
          <w:tcPr>
            <w:tcW w:w="2167" w:type="dxa"/>
            <w:vMerge w:val="restart"/>
            <w:tcBorders>
              <w:tl2br w:val="nil"/>
              <w:tr2bl w:val="nil"/>
            </w:tcBorders>
            <w:noWrap w:val="0"/>
            <w:vAlign w:val="center"/>
          </w:tcPr>
          <w:p w14:paraId="5B406BA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商标印制档案及商标标识出入库</w:t>
            </w:r>
            <w:r>
              <w:rPr>
                <w:rFonts w:hint="eastAsia" w:ascii="宋体" w:hAnsi="宋体" w:cs="宋体"/>
                <w:spacing w:val="-11"/>
                <w:kern w:val="0"/>
                <w:szCs w:val="21"/>
                <w:lang w:eastAsia="zh-CN" w:bidi="ar"/>
              </w:rPr>
              <w:t>台账</w:t>
            </w:r>
            <w:r>
              <w:rPr>
                <w:rFonts w:hint="eastAsia" w:ascii="宋体" w:hAnsi="宋体" w:cs="宋体"/>
                <w:spacing w:val="-11"/>
                <w:kern w:val="0"/>
                <w:szCs w:val="21"/>
                <w:lang w:bidi="ar"/>
              </w:rPr>
              <w:t>未按要求存档备查</w:t>
            </w:r>
          </w:p>
        </w:tc>
        <w:tc>
          <w:tcPr>
            <w:tcW w:w="2487" w:type="dxa"/>
            <w:vMerge w:val="restart"/>
            <w:tcBorders>
              <w:tl2br w:val="nil"/>
              <w:tr2bl w:val="nil"/>
            </w:tcBorders>
            <w:noWrap w:val="0"/>
            <w:vAlign w:val="center"/>
          </w:tcPr>
          <w:p w14:paraId="1BB0A8E1">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被发现实施此类违法行为，没有造成不良社会影响，已自行改正或者在市场监管部门规定的期限内改正</w:t>
            </w:r>
          </w:p>
        </w:tc>
        <w:tc>
          <w:tcPr>
            <w:tcW w:w="9017" w:type="dxa"/>
            <w:tcBorders>
              <w:tl2br w:val="nil"/>
              <w:tr2bl w:val="nil"/>
            </w:tcBorders>
            <w:noWrap w:val="0"/>
            <w:vAlign w:val="center"/>
          </w:tcPr>
          <w:p w14:paraId="592349A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2FB108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655" w:type="dxa"/>
            <w:vMerge w:val="continue"/>
            <w:tcBorders>
              <w:tl2br w:val="nil"/>
              <w:tr2bl w:val="nil"/>
            </w:tcBorders>
            <w:noWrap w:val="0"/>
            <w:vAlign w:val="center"/>
          </w:tcPr>
          <w:p w14:paraId="349CA072">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61780256">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5098D031">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312FDF0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《商标印制管理办法》第九条：“商标印制单位应当建立商标标识出入库制度，商标标识出入库应当</w:t>
            </w:r>
            <w:r>
              <w:rPr>
                <w:rFonts w:hint="eastAsia" w:ascii="宋体" w:hAnsi="宋体" w:cs="宋体"/>
                <w:spacing w:val="-11"/>
                <w:kern w:val="0"/>
                <w:szCs w:val="21"/>
                <w:lang w:eastAsia="zh-CN" w:bidi="ar"/>
              </w:rPr>
              <w:t>登记台账</w:t>
            </w:r>
            <w:r>
              <w:rPr>
                <w:rFonts w:hint="eastAsia" w:ascii="宋体" w:hAnsi="宋体" w:cs="宋体"/>
                <w:spacing w:val="-11"/>
                <w:kern w:val="0"/>
                <w:szCs w:val="21"/>
                <w:lang w:bidi="ar"/>
              </w:rPr>
              <w:t>。废次标识应当集中进行销毁，不得流入社会。”第十条：“商标印制档案及商标标识出入库</w:t>
            </w:r>
            <w:r>
              <w:rPr>
                <w:rFonts w:hint="eastAsia" w:ascii="宋体" w:hAnsi="宋体" w:cs="宋体"/>
                <w:spacing w:val="-11"/>
                <w:kern w:val="0"/>
                <w:szCs w:val="21"/>
                <w:lang w:eastAsia="zh-CN" w:bidi="ar"/>
              </w:rPr>
              <w:t>台账</w:t>
            </w:r>
            <w:r>
              <w:rPr>
                <w:rFonts w:hint="eastAsia" w:ascii="宋体" w:hAnsi="宋体" w:cs="宋体"/>
                <w:spacing w:val="-11"/>
                <w:kern w:val="0"/>
                <w:szCs w:val="21"/>
                <w:lang w:bidi="ar"/>
              </w:rPr>
              <w:t>应当存档备查，存查期为两年。”</w:t>
            </w:r>
          </w:p>
        </w:tc>
      </w:tr>
      <w:tr w14:paraId="5E8443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3" w:hRule="atLeast"/>
          <w:jc w:val="center"/>
        </w:trPr>
        <w:tc>
          <w:tcPr>
            <w:tcW w:w="655" w:type="dxa"/>
            <w:vMerge w:val="continue"/>
            <w:tcBorders>
              <w:tl2br w:val="nil"/>
              <w:tr2bl w:val="nil"/>
            </w:tcBorders>
            <w:noWrap w:val="0"/>
            <w:vAlign w:val="center"/>
          </w:tcPr>
          <w:p w14:paraId="4A5E5830">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65FB9BBF">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19D5EA90">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1E09D95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商标印制管理办法》第十一条：“商标印制单位违反本办法第七条至第十条规定的，由所在地工商行政管理局责令其限期改正，并视其情节予以警告，处以非法所得额三倍以下的罚款，但最高不超过三万元，没有违法所得的，可以处以一万元以下的罚款。”</w:t>
            </w:r>
          </w:p>
        </w:tc>
      </w:tr>
      <w:tr w14:paraId="002174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jc w:val="center"/>
        </w:trPr>
        <w:tc>
          <w:tcPr>
            <w:tcW w:w="655" w:type="dxa"/>
            <w:vMerge w:val="restart"/>
            <w:tcBorders>
              <w:tl2br w:val="nil"/>
              <w:tr2bl w:val="nil"/>
            </w:tcBorders>
            <w:noWrap w:val="0"/>
            <w:vAlign w:val="center"/>
          </w:tcPr>
          <w:p w14:paraId="1A2A2CC4">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52</w:t>
            </w:r>
          </w:p>
        </w:tc>
        <w:tc>
          <w:tcPr>
            <w:tcW w:w="2167" w:type="dxa"/>
            <w:vMerge w:val="restart"/>
            <w:tcBorders>
              <w:tl2br w:val="nil"/>
              <w:tr2bl w:val="nil"/>
            </w:tcBorders>
            <w:noWrap w:val="0"/>
            <w:vAlign w:val="center"/>
          </w:tcPr>
          <w:p w14:paraId="56960AC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驰名商标所有人陈述性使用“驰名商标”字样用于广告宣传</w:t>
            </w:r>
          </w:p>
        </w:tc>
        <w:tc>
          <w:tcPr>
            <w:tcW w:w="2487" w:type="dxa"/>
            <w:vMerge w:val="restart"/>
            <w:tcBorders>
              <w:tl2br w:val="nil"/>
              <w:tr2bl w:val="nil"/>
            </w:tcBorders>
            <w:noWrap w:val="0"/>
            <w:vAlign w:val="center"/>
          </w:tcPr>
          <w:p w14:paraId="7661C741">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被发现实施此类违法行为，在自有经营场所和自有新媒体（自建网站、微信公众号等）上使用，危害后果轻微，已自行改正或者在市场监管部门规定的期限内改正</w:t>
            </w:r>
          </w:p>
        </w:tc>
        <w:tc>
          <w:tcPr>
            <w:tcW w:w="9017" w:type="dxa"/>
            <w:tcBorders>
              <w:tl2br w:val="nil"/>
              <w:tr2bl w:val="nil"/>
            </w:tcBorders>
            <w:noWrap w:val="0"/>
            <w:vAlign w:val="center"/>
          </w:tcPr>
          <w:p w14:paraId="57DC365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779C81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jc w:val="center"/>
        </w:trPr>
        <w:tc>
          <w:tcPr>
            <w:tcW w:w="655" w:type="dxa"/>
            <w:vMerge w:val="continue"/>
            <w:tcBorders>
              <w:tl2br w:val="nil"/>
              <w:tr2bl w:val="nil"/>
            </w:tcBorders>
            <w:noWrap w:val="0"/>
            <w:vAlign w:val="center"/>
          </w:tcPr>
          <w:p w14:paraId="537836F5">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5125607">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035C461A">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3E5B2AD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《中华人民共和国商标法》</w:t>
            </w:r>
            <w:r>
              <w:rPr>
                <w:rFonts w:hint="eastAsia" w:ascii="宋体" w:hAnsi="宋体" w:cs="宋体"/>
                <w:spacing w:val="-11"/>
                <w:kern w:val="0"/>
                <w:szCs w:val="21"/>
                <w:lang w:bidi="ar"/>
              </w:rPr>
              <w:t>第十四条第五款：“生产、经营者不得将‘驰名商标’字样用于商品、商品包装或者容器上，或者用于广告宣传、展览以及其他商业活动中。”第五十三条：“违反本法第十四条第五款规定的，由地方工商行政管理部门责令改正，处十万元罚款。”</w:t>
            </w:r>
          </w:p>
        </w:tc>
      </w:tr>
      <w:tr w14:paraId="4C65B5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2E227EA6">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七</w:t>
            </w:r>
          </w:p>
        </w:tc>
        <w:tc>
          <w:tcPr>
            <w:tcW w:w="13671" w:type="dxa"/>
            <w:gridSpan w:val="3"/>
            <w:tcBorders>
              <w:tl2br w:val="nil"/>
              <w:tr2bl w:val="nil"/>
            </w:tcBorders>
            <w:noWrap w:val="0"/>
            <w:vAlign w:val="center"/>
          </w:tcPr>
          <w:p w14:paraId="566A1A79">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违反广告管理有关规定的行为</w:t>
            </w:r>
          </w:p>
        </w:tc>
      </w:tr>
      <w:tr w14:paraId="3B77FC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restart"/>
            <w:tcBorders>
              <w:tl2br w:val="nil"/>
              <w:tr2bl w:val="nil"/>
            </w:tcBorders>
            <w:noWrap w:val="0"/>
            <w:vAlign w:val="center"/>
          </w:tcPr>
          <w:p w14:paraId="3EF6D84D">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53</w:t>
            </w:r>
          </w:p>
        </w:tc>
        <w:tc>
          <w:tcPr>
            <w:tcW w:w="2167" w:type="dxa"/>
            <w:vMerge w:val="restart"/>
            <w:tcBorders>
              <w:tl2br w:val="nil"/>
              <w:tr2bl w:val="nil"/>
            </w:tcBorders>
            <w:noWrap w:val="0"/>
            <w:vAlign w:val="center"/>
          </w:tcPr>
          <w:p w14:paraId="4287225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广告主发布的广告使用“国家级”、“最高级”、“最佳”等绝对化用语</w:t>
            </w:r>
          </w:p>
        </w:tc>
        <w:tc>
          <w:tcPr>
            <w:tcW w:w="2487" w:type="dxa"/>
            <w:vMerge w:val="restart"/>
            <w:tcBorders>
              <w:tl2br w:val="nil"/>
              <w:tr2bl w:val="nil"/>
            </w:tcBorders>
            <w:noWrap w:val="0"/>
            <w:vAlign w:val="center"/>
          </w:tcPr>
          <w:p w14:paraId="750AD032">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被发现实施此类违法行为，在自有经营场所或自有新媒体（自建网站、微信公众号等）上发布，危害后果轻微，已自行改正或者在市场监管部门规定的期限内改正</w:t>
            </w:r>
          </w:p>
        </w:tc>
        <w:tc>
          <w:tcPr>
            <w:tcW w:w="9017" w:type="dxa"/>
            <w:tcBorders>
              <w:tl2br w:val="nil"/>
              <w:tr2bl w:val="nil"/>
            </w:tcBorders>
            <w:noWrap w:val="0"/>
            <w:vAlign w:val="center"/>
          </w:tcPr>
          <w:p w14:paraId="22E574A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44B5C6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2" w:hRule="atLeast"/>
          <w:jc w:val="center"/>
        </w:trPr>
        <w:tc>
          <w:tcPr>
            <w:tcW w:w="655" w:type="dxa"/>
            <w:vMerge w:val="continue"/>
            <w:tcBorders>
              <w:tl2br w:val="nil"/>
              <w:tr2bl w:val="nil"/>
            </w:tcBorders>
            <w:noWrap w:val="0"/>
            <w:vAlign w:val="center"/>
          </w:tcPr>
          <w:p w14:paraId="679C92EA">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3D18002E">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7C3BB374">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7B81D7D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《中华人民共和国广告法》</w:t>
            </w:r>
            <w:r>
              <w:rPr>
                <w:rFonts w:hint="eastAsia" w:ascii="宋体" w:hAnsi="宋体" w:cs="宋体"/>
                <w:spacing w:val="-11"/>
                <w:kern w:val="0"/>
                <w:szCs w:val="21"/>
                <w:lang w:bidi="ar"/>
              </w:rPr>
              <w:t>第九条第（三）项：“广告不得有下列情形：……（三）使用‘国家级’、‘最高级’、‘最佳’等用语；……”第五十七条：“有下列行为之一的，由市场监督管理部门责令停止发布广告，对广告主处二十万元以上一百万元以下的罚款，情节严重的，并可以吊销营业执照，由广告审查机关撤销广告审查批准文件、一年内不受理其广告审查申请；对广告经营者、广告发布者，由市场监督管理部门没收广告费用，处二十万元以上一百万元以下的罚款，情节严重的，并可以吊销营业执照：（一）发布有本法第九条、第十条规定的禁止情形的广告的；……”</w:t>
            </w:r>
          </w:p>
        </w:tc>
      </w:tr>
      <w:tr w14:paraId="228693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4" w:hRule="atLeast"/>
          <w:jc w:val="center"/>
        </w:trPr>
        <w:tc>
          <w:tcPr>
            <w:tcW w:w="655" w:type="dxa"/>
            <w:vMerge w:val="restart"/>
            <w:tcBorders>
              <w:tl2br w:val="nil"/>
              <w:tr2bl w:val="nil"/>
            </w:tcBorders>
            <w:noWrap w:val="0"/>
            <w:vAlign w:val="center"/>
          </w:tcPr>
          <w:p w14:paraId="25B2DD9D">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54</w:t>
            </w:r>
          </w:p>
        </w:tc>
        <w:tc>
          <w:tcPr>
            <w:tcW w:w="2167" w:type="dxa"/>
            <w:vMerge w:val="restart"/>
            <w:tcBorders>
              <w:tl2br w:val="nil"/>
              <w:tr2bl w:val="nil"/>
            </w:tcBorders>
            <w:noWrap w:val="0"/>
            <w:vAlign w:val="center"/>
          </w:tcPr>
          <w:p w14:paraId="6925737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广告使用数据、统计资料、调查结果、文摘、引用语等引证内容未标明出处</w:t>
            </w:r>
          </w:p>
        </w:tc>
        <w:tc>
          <w:tcPr>
            <w:tcW w:w="2487" w:type="dxa"/>
            <w:vMerge w:val="restart"/>
            <w:tcBorders>
              <w:tl2br w:val="nil"/>
              <w:tr2bl w:val="nil"/>
            </w:tcBorders>
            <w:noWrap w:val="0"/>
            <w:vAlign w:val="center"/>
          </w:tcPr>
          <w:p w14:paraId="3773DCA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引证内容真实准确合法有据，已自行改正或者在市场监管部门规定的期限内改正</w:t>
            </w:r>
          </w:p>
        </w:tc>
        <w:tc>
          <w:tcPr>
            <w:tcW w:w="9017" w:type="dxa"/>
            <w:tcBorders>
              <w:tl2br w:val="nil"/>
              <w:tr2bl w:val="nil"/>
            </w:tcBorders>
            <w:noWrap w:val="0"/>
            <w:vAlign w:val="center"/>
          </w:tcPr>
          <w:p w14:paraId="63C8C7A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798521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655" w:type="dxa"/>
            <w:vMerge w:val="continue"/>
            <w:tcBorders>
              <w:tl2br w:val="nil"/>
              <w:tr2bl w:val="nil"/>
            </w:tcBorders>
            <w:noWrap w:val="0"/>
            <w:vAlign w:val="center"/>
          </w:tcPr>
          <w:p w14:paraId="06C40C26">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AC30EA2">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72B942A4">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395DEE7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《中华人民共和国广告法》</w:t>
            </w:r>
            <w:r>
              <w:rPr>
                <w:rFonts w:hint="eastAsia" w:ascii="宋体" w:hAnsi="宋体" w:cs="宋体"/>
                <w:spacing w:val="-11"/>
                <w:kern w:val="0"/>
                <w:szCs w:val="21"/>
                <w:lang w:bidi="ar"/>
              </w:rPr>
              <w:t>第十一条第二款：“广告使用数据、统计资料、调查结果、文摘、引用语等引证内容的，应当真实、准确，并</w:t>
            </w:r>
            <w:r>
              <w:rPr>
                <w:rFonts w:hint="eastAsia" w:ascii="宋体" w:hAnsi="宋体" w:cs="宋体"/>
                <w:spacing w:val="-11"/>
                <w:kern w:val="0"/>
                <w:szCs w:val="21"/>
                <w:lang w:eastAsia="zh-CN" w:bidi="ar"/>
              </w:rPr>
              <w:t>标明</w:t>
            </w:r>
            <w:r>
              <w:rPr>
                <w:rFonts w:hint="eastAsia" w:ascii="宋体" w:hAnsi="宋体" w:cs="宋体"/>
                <w:spacing w:val="-11"/>
                <w:kern w:val="0"/>
                <w:szCs w:val="21"/>
                <w:lang w:bidi="ar"/>
              </w:rPr>
              <w:t>出处。引证内容有适用范围和有效期限的，应当明确表示。”第五十九条：“有下列行为之一的，由市场监督管理部门责令停止发布广告，对广告主处十万元以下的罚款：……　　（二）广告引证内容违反本法第十一条规定的；……广告经营者、广告发布者明知或者应知有前款规定违法行为仍设计、制作、代理、发布的，由市场监督管理部门处十万元以下的罚款。”</w:t>
            </w:r>
          </w:p>
        </w:tc>
      </w:tr>
      <w:tr w14:paraId="39A19E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jc w:val="center"/>
        </w:trPr>
        <w:tc>
          <w:tcPr>
            <w:tcW w:w="655" w:type="dxa"/>
            <w:vMerge w:val="restart"/>
            <w:tcBorders>
              <w:tl2br w:val="nil"/>
              <w:tr2bl w:val="nil"/>
            </w:tcBorders>
            <w:noWrap w:val="0"/>
            <w:vAlign w:val="center"/>
          </w:tcPr>
          <w:p w14:paraId="5391AD09">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55</w:t>
            </w:r>
          </w:p>
        </w:tc>
        <w:tc>
          <w:tcPr>
            <w:tcW w:w="2167" w:type="dxa"/>
            <w:vMerge w:val="restart"/>
            <w:tcBorders>
              <w:tl2br w:val="nil"/>
              <w:tr2bl w:val="nil"/>
            </w:tcBorders>
            <w:noWrap w:val="0"/>
            <w:vAlign w:val="center"/>
          </w:tcPr>
          <w:p w14:paraId="4F207CC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广告中涉及专利产品或者专利方法，未标明专利号和专利种类</w:t>
            </w:r>
          </w:p>
        </w:tc>
        <w:tc>
          <w:tcPr>
            <w:tcW w:w="2487" w:type="dxa"/>
            <w:vMerge w:val="restart"/>
            <w:tcBorders>
              <w:tl2br w:val="nil"/>
              <w:tr2bl w:val="nil"/>
            </w:tcBorders>
            <w:noWrap w:val="0"/>
            <w:vAlign w:val="center"/>
          </w:tcPr>
          <w:p w14:paraId="0D5B46E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具备合法有效专利证明，已自行改正或者在市场监管部门规定的期限内改正</w:t>
            </w:r>
          </w:p>
        </w:tc>
        <w:tc>
          <w:tcPr>
            <w:tcW w:w="9017" w:type="dxa"/>
            <w:tcBorders>
              <w:tl2br w:val="nil"/>
              <w:tr2bl w:val="nil"/>
            </w:tcBorders>
            <w:noWrap w:val="0"/>
            <w:vAlign w:val="center"/>
          </w:tcPr>
          <w:p w14:paraId="34D2A09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7202BA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5" w:hRule="atLeast"/>
          <w:jc w:val="center"/>
        </w:trPr>
        <w:tc>
          <w:tcPr>
            <w:tcW w:w="655" w:type="dxa"/>
            <w:vMerge w:val="continue"/>
            <w:tcBorders>
              <w:tl2br w:val="nil"/>
              <w:tr2bl w:val="nil"/>
            </w:tcBorders>
            <w:noWrap w:val="0"/>
            <w:vAlign w:val="center"/>
          </w:tcPr>
          <w:p w14:paraId="62418AA3">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0EE56C34">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5B2333EE">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03708C0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《中华人民共和国广告法》</w:t>
            </w:r>
            <w:r>
              <w:rPr>
                <w:rFonts w:hint="eastAsia" w:ascii="宋体" w:hAnsi="宋体" w:cs="宋体"/>
                <w:spacing w:val="-11"/>
                <w:kern w:val="0"/>
                <w:szCs w:val="21"/>
                <w:lang w:bidi="ar"/>
              </w:rPr>
              <w:t>第十二条第一款：“广告中涉及专利产品或者专利方法的，应当标明专利号和专利种类。”第五十九条：“有下列行为之一的，由市场监督管理部门责令停止发布广告，对广告主处十万元以下的罚款：……　　（三）涉及专利的广告违反本法第十二条规定的；……广告经营者、广告发布者明知或者应知有前款规定违法行为仍设计、制作、代理、发布的，由市场监督管理部门处十万元以下的罚款。”</w:t>
            </w:r>
          </w:p>
        </w:tc>
      </w:tr>
      <w:tr w14:paraId="5A685F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atLeast"/>
          <w:jc w:val="center"/>
        </w:trPr>
        <w:tc>
          <w:tcPr>
            <w:tcW w:w="655" w:type="dxa"/>
            <w:vMerge w:val="restart"/>
            <w:tcBorders>
              <w:tl2br w:val="nil"/>
              <w:tr2bl w:val="nil"/>
            </w:tcBorders>
            <w:noWrap w:val="0"/>
            <w:vAlign w:val="center"/>
          </w:tcPr>
          <w:p w14:paraId="255DEF24">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56</w:t>
            </w:r>
          </w:p>
        </w:tc>
        <w:tc>
          <w:tcPr>
            <w:tcW w:w="2167" w:type="dxa"/>
            <w:vMerge w:val="restart"/>
            <w:tcBorders>
              <w:tl2br w:val="nil"/>
              <w:tr2bl w:val="nil"/>
            </w:tcBorders>
            <w:noWrap w:val="0"/>
            <w:vAlign w:val="center"/>
          </w:tcPr>
          <w:p w14:paraId="0EECA41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通过大众传播媒介发布的广告未标注“广告”字样</w:t>
            </w:r>
          </w:p>
        </w:tc>
        <w:tc>
          <w:tcPr>
            <w:tcW w:w="2487" w:type="dxa"/>
            <w:vMerge w:val="restart"/>
            <w:tcBorders>
              <w:tl2br w:val="nil"/>
              <w:tr2bl w:val="nil"/>
            </w:tcBorders>
            <w:noWrap w:val="0"/>
            <w:vAlign w:val="center"/>
          </w:tcPr>
          <w:p w14:paraId="3247847E">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被发现实施此类违法行为，能使消费者辨明为广告，已自行改正或者在市场监管部门规定的期限内改正</w:t>
            </w:r>
          </w:p>
        </w:tc>
        <w:tc>
          <w:tcPr>
            <w:tcW w:w="9017" w:type="dxa"/>
            <w:tcBorders>
              <w:tl2br w:val="nil"/>
              <w:tr2bl w:val="nil"/>
            </w:tcBorders>
            <w:noWrap w:val="0"/>
            <w:vAlign w:val="center"/>
          </w:tcPr>
          <w:p w14:paraId="51F4FD1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54AF8F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continue"/>
            <w:tcBorders>
              <w:tl2br w:val="nil"/>
              <w:tr2bl w:val="nil"/>
            </w:tcBorders>
            <w:noWrap w:val="0"/>
            <w:vAlign w:val="center"/>
          </w:tcPr>
          <w:p w14:paraId="19A73D72">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2CA182B0">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4C9B1A5D">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19FC1C9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《中华人民共和国广告法》</w:t>
            </w:r>
            <w:r>
              <w:rPr>
                <w:rFonts w:hint="eastAsia" w:ascii="宋体" w:hAnsi="宋体" w:cs="宋体"/>
                <w:spacing w:val="-11"/>
                <w:kern w:val="0"/>
                <w:szCs w:val="21"/>
                <w:lang w:bidi="ar"/>
              </w:rPr>
              <w:t>第十四条第一、二款：“广告应当具有可识别性，能够使消费者辨明其为广告。大众传播媒介不得以新闻报道形式变相发布广告。通过大众传播媒介发布的广告应当显著标明“广告”，与其他非广告信息相区别，不得使消费者产生误解。”第五十九条第三款：“广告违反本法第十四条规定，不具有可识别性的，……由市场监督管理部门责令改正，对广告发布者处十万元以下的罚款。”</w:t>
            </w:r>
          </w:p>
        </w:tc>
      </w:tr>
      <w:tr w14:paraId="0F65C5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3" w:hRule="atLeast"/>
          <w:jc w:val="center"/>
        </w:trPr>
        <w:tc>
          <w:tcPr>
            <w:tcW w:w="655" w:type="dxa"/>
            <w:vMerge w:val="restart"/>
            <w:tcBorders>
              <w:tl2br w:val="nil"/>
              <w:tr2bl w:val="nil"/>
            </w:tcBorders>
            <w:noWrap w:val="0"/>
            <w:vAlign w:val="center"/>
          </w:tcPr>
          <w:p w14:paraId="70233990">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57</w:t>
            </w:r>
          </w:p>
        </w:tc>
        <w:tc>
          <w:tcPr>
            <w:tcW w:w="2167" w:type="dxa"/>
            <w:vMerge w:val="restart"/>
            <w:tcBorders>
              <w:tl2br w:val="nil"/>
              <w:tr2bl w:val="nil"/>
            </w:tcBorders>
            <w:noWrap w:val="0"/>
            <w:vAlign w:val="center"/>
          </w:tcPr>
          <w:p w14:paraId="53C83A9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未按照国家有关规定建立、健全广告业务管理制度，或者未对广告内容进行核对</w:t>
            </w:r>
          </w:p>
        </w:tc>
        <w:tc>
          <w:tcPr>
            <w:tcW w:w="2487" w:type="dxa"/>
            <w:vMerge w:val="restart"/>
            <w:tcBorders>
              <w:tl2br w:val="nil"/>
              <w:tr2bl w:val="nil"/>
            </w:tcBorders>
            <w:noWrap w:val="0"/>
            <w:vAlign w:val="center"/>
          </w:tcPr>
          <w:p w14:paraId="552A866F">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被发现实施此类违法行为，未发生违法广告，已自行改正或者在市场监管部门规定的期限内改正</w:t>
            </w:r>
          </w:p>
        </w:tc>
        <w:tc>
          <w:tcPr>
            <w:tcW w:w="9017" w:type="dxa"/>
            <w:tcBorders>
              <w:tl2br w:val="nil"/>
              <w:tr2bl w:val="nil"/>
            </w:tcBorders>
            <w:noWrap w:val="0"/>
            <w:vAlign w:val="center"/>
          </w:tcPr>
          <w:p w14:paraId="10AF25C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4B6B9D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8" w:hRule="atLeast"/>
          <w:jc w:val="center"/>
        </w:trPr>
        <w:tc>
          <w:tcPr>
            <w:tcW w:w="655" w:type="dxa"/>
            <w:vMerge w:val="continue"/>
            <w:tcBorders>
              <w:tl2br w:val="nil"/>
              <w:tr2bl w:val="nil"/>
            </w:tcBorders>
            <w:noWrap w:val="0"/>
            <w:vAlign w:val="center"/>
          </w:tcPr>
          <w:p w14:paraId="66D27A22">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7F3D233C">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1EC249BC">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1761874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《中华人民共和国广告法》</w:t>
            </w:r>
            <w:r>
              <w:rPr>
                <w:rFonts w:hint="eastAsia" w:ascii="宋体" w:hAnsi="宋体" w:cs="宋体"/>
                <w:spacing w:val="-11"/>
                <w:kern w:val="0"/>
                <w:szCs w:val="21"/>
                <w:lang w:bidi="ar"/>
              </w:rPr>
              <w:t>第六十条第一款：“违反本法第三十四条规定，广告经营者、广告发布者未按照国家有关规定建立、健全广告业务管理制度的，或者未对广告内容进行核对的，由市场监督管理部门责令改正，可以处五万元以下的罚款。”</w:t>
            </w:r>
          </w:p>
        </w:tc>
      </w:tr>
      <w:tr w14:paraId="14E46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 w:hRule="atLeast"/>
          <w:jc w:val="center"/>
        </w:trPr>
        <w:tc>
          <w:tcPr>
            <w:tcW w:w="655" w:type="dxa"/>
            <w:vMerge w:val="restart"/>
            <w:tcBorders>
              <w:tl2br w:val="nil"/>
              <w:tr2bl w:val="nil"/>
            </w:tcBorders>
            <w:noWrap w:val="0"/>
            <w:vAlign w:val="center"/>
          </w:tcPr>
          <w:p w14:paraId="2640D0F2">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58</w:t>
            </w:r>
          </w:p>
        </w:tc>
        <w:tc>
          <w:tcPr>
            <w:tcW w:w="2167" w:type="dxa"/>
            <w:vMerge w:val="restart"/>
            <w:tcBorders>
              <w:tl2br w:val="nil"/>
              <w:tr2bl w:val="nil"/>
            </w:tcBorders>
            <w:noWrap w:val="0"/>
            <w:vAlign w:val="center"/>
          </w:tcPr>
          <w:p w14:paraId="753900D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发布房地产预售、销售广告未载明开发商企业名称、预售或者销售许可证书号</w:t>
            </w:r>
          </w:p>
        </w:tc>
        <w:tc>
          <w:tcPr>
            <w:tcW w:w="2487" w:type="dxa"/>
            <w:vMerge w:val="restart"/>
            <w:tcBorders>
              <w:tl2br w:val="nil"/>
              <w:tr2bl w:val="nil"/>
            </w:tcBorders>
            <w:noWrap w:val="0"/>
            <w:vAlign w:val="center"/>
          </w:tcPr>
          <w:p w14:paraId="7C697AC6">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被发现实施此类违法行为，广告系通过广告主自有经营场所或者互联网自媒体发布，已取得预售或者销售许可证书，危害后果轻微，自行改正或者在市场监管部门规定的期限内改正</w:t>
            </w:r>
          </w:p>
        </w:tc>
        <w:tc>
          <w:tcPr>
            <w:tcW w:w="9017" w:type="dxa"/>
            <w:tcBorders>
              <w:tl2br w:val="nil"/>
              <w:tr2bl w:val="nil"/>
            </w:tcBorders>
            <w:noWrap w:val="0"/>
            <w:vAlign w:val="center"/>
          </w:tcPr>
          <w:p w14:paraId="0944C27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0F576B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3" w:hRule="atLeast"/>
          <w:jc w:val="center"/>
        </w:trPr>
        <w:tc>
          <w:tcPr>
            <w:tcW w:w="655" w:type="dxa"/>
            <w:vMerge w:val="continue"/>
            <w:tcBorders>
              <w:tl2br w:val="nil"/>
              <w:tr2bl w:val="nil"/>
            </w:tcBorders>
            <w:noWrap w:val="0"/>
            <w:vAlign w:val="center"/>
          </w:tcPr>
          <w:p w14:paraId="68707E58">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367ECDB0">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4A46610F">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2CDF765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《房地产广告发布规定》第七条第一款：“房地产预售、销售广告，必须载明以下事项：（一）开发企业名称；……（三）预售或者销售许可证书号。”第二十一条：“违反本规定发布广告，</w:t>
            </w:r>
            <w:r>
              <w:rPr>
                <w:rFonts w:hint="eastAsia" w:ascii="宋体" w:hAnsi="宋体" w:cs="宋体"/>
                <w:spacing w:val="-11"/>
                <w:kern w:val="0"/>
                <w:szCs w:val="21"/>
                <w:lang w:eastAsia="zh-CN" w:bidi="ar"/>
              </w:rPr>
              <w:t>《中华人民共和国广告法》</w:t>
            </w:r>
            <w:r>
              <w:rPr>
                <w:rFonts w:hint="eastAsia" w:ascii="宋体" w:hAnsi="宋体" w:cs="宋体"/>
                <w:spacing w:val="-11"/>
                <w:kern w:val="0"/>
                <w:szCs w:val="21"/>
                <w:lang w:bidi="ar"/>
              </w:rPr>
              <w:t>及其他法律法规有规定的，依照有关法律法规规定予以处罚。法律法规没有规定的，对负有责任的广告主、广告经营者、广告发布者，处以违法所得三倍以下但不超过三万元的罚款；没有违法所得的，处以一万元以下的罚款。”</w:t>
            </w:r>
          </w:p>
        </w:tc>
      </w:tr>
      <w:tr w14:paraId="49E8AE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4" w:hRule="atLeast"/>
          <w:jc w:val="center"/>
        </w:trPr>
        <w:tc>
          <w:tcPr>
            <w:tcW w:w="655" w:type="dxa"/>
            <w:vMerge w:val="restart"/>
            <w:tcBorders>
              <w:tl2br w:val="nil"/>
              <w:tr2bl w:val="nil"/>
            </w:tcBorders>
            <w:noWrap w:val="0"/>
            <w:vAlign w:val="center"/>
          </w:tcPr>
          <w:p w14:paraId="536807BE">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59</w:t>
            </w:r>
          </w:p>
        </w:tc>
        <w:tc>
          <w:tcPr>
            <w:tcW w:w="2167" w:type="dxa"/>
            <w:vMerge w:val="restart"/>
            <w:tcBorders>
              <w:tl2br w:val="nil"/>
              <w:tr2bl w:val="nil"/>
            </w:tcBorders>
            <w:noWrap w:val="0"/>
            <w:vAlign w:val="center"/>
          </w:tcPr>
          <w:p w14:paraId="172C218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发布农药广告未标明农药广告批准文号</w:t>
            </w:r>
          </w:p>
        </w:tc>
        <w:tc>
          <w:tcPr>
            <w:tcW w:w="2487" w:type="dxa"/>
            <w:vMerge w:val="restart"/>
            <w:tcBorders>
              <w:tl2br w:val="nil"/>
              <w:tr2bl w:val="nil"/>
            </w:tcBorders>
            <w:noWrap w:val="0"/>
            <w:vAlign w:val="center"/>
          </w:tcPr>
          <w:p w14:paraId="7496342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已取得批准文号并在有效期内，且发布的农药广告内容与批准内容相一致，已自行改正或者在市场监管部门规定的期限内改正</w:t>
            </w:r>
          </w:p>
        </w:tc>
        <w:tc>
          <w:tcPr>
            <w:tcW w:w="9017" w:type="dxa"/>
            <w:tcBorders>
              <w:tl2br w:val="nil"/>
              <w:tr2bl w:val="nil"/>
            </w:tcBorders>
            <w:noWrap w:val="0"/>
            <w:vAlign w:val="center"/>
          </w:tcPr>
          <w:p w14:paraId="5D3E671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6F20AA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continue"/>
            <w:tcBorders>
              <w:tl2br w:val="nil"/>
              <w:tr2bl w:val="nil"/>
            </w:tcBorders>
            <w:noWrap w:val="0"/>
            <w:vAlign w:val="center"/>
          </w:tcPr>
          <w:p w14:paraId="5CB61590">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A6197C6">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2BCBD615">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06C1DA6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《农药广告审查发布规定》第十一条：“农药广告的批准文号应当列为广告内容同时发布。”第十三条：“违反本规定发布广告，</w:t>
            </w:r>
            <w:r>
              <w:rPr>
                <w:rFonts w:hint="eastAsia" w:ascii="宋体" w:hAnsi="宋体" w:cs="宋体"/>
                <w:spacing w:val="-11"/>
                <w:kern w:val="0"/>
                <w:szCs w:val="21"/>
                <w:lang w:eastAsia="zh-CN" w:bidi="ar"/>
              </w:rPr>
              <w:t>《中华人民共和国广告法》</w:t>
            </w:r>
            <w:r>
              <w:rPr>
                <w:rFonts w:hint="eastAsia" w:ascii="宋体" w:hAnsi="宋体" w:cs="宋体"/>
                <w:spacing w:val="-11"/>
                <w:kern w:val="0"/>
                <w:szCs w:val="21"/>
                <w:lang w:bidi="ar"/>
              </w:rPr>
              <w:t>及其他法律法规有规定的，依照有关法律法规规定予以处罚。法律法规没有规定的，对负有责任的广告主、广告经营者、广告发布者，处以违法所得三倍以下但不超过三万元的罚款；没有违法所得的，处以一万元以下的罚款。”</w:t>
            </w:r>
          </w:p>
        </w:tc>
      </w:tr>
      <w:tr w14:paraId="7C6CB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7" w:hRule="atLeast"/>
          <w:jc w:val="center"/>
        </w:trPr>
        <w:tc>
          <w:tcPr>
            <w:tcW w:w="655" w:type="dxa"/>
            <w:vMerge w:val="restart"/>
            <w:tcBorders>
              <w:tl2br w:val="nil"/>
              <w:tr2bl w:val="nil"/>
            </w:tcBorders>
            <w:noWrap w:val="0"/>
            <w:vAlign w:val="center"/>
          </w:tcPr>
          <w:p w14:paraId="666EA1D3">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60</w:t>
            </w:r>
          </w:p>
        </w:tc>
        <w:tc>
          <w:tcPr>
            <w:tcW w:w="2167" w:type="dxa"/>
            <w:vMerge w:val="restart"/>
            <w:tcBorders>
              <w:tl2br w:val="nil"/>
              <w:tr2bl w:val="nil"/>
            </w:tcBorders>
            <w:noWrap w:val="0"/>
            <w:vAlign w:val="center"/>
          </w:tcPr>
          <w:p w14:paraId="57DD034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发布兽药广告未标明兽药广告批准文号</w:t>
            </w:r>
          </w:p>
        </w:tc>
        <w:tc>
          <w:tcPr>
            <w:tcW w:w="2487" w:type="dxa"/>
            <w:vMerge w:val="restart"/>
            <w:tcBorders>
              <w:tl2br w:val="nil"/>
              <w:tr2bl w:val="nil"/>
            </w:tcBorders>
            <w:noWrap w:val="0"/>
            <w:vAlign w:val="center"/>
          </w:tcPr>
          <w:p w14:paraId="74D91EC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已取得批准文号并在有效期内，且发布的兽药广告内容与批准内容相一致，已自行改正或者在市场监管部门规定的期限内改正</w:t>
            </w:r>
          </w:p>
        </w:tc>
        <w:tc>
          <w:tcPr>
            <w:tcW w:w="9017" w:type="dxa"/>
            <w:tcBorders>
              <w:tl2br w:val="nil"/>
              <w:tr2bl w:val="nil"/>
            </w:tcBorders>
            <w:noWrap w:val="0"/>
            <w:vAlign w:val="center"/>
          </w:tcPr>
          <w:p w14:paraId="5AC60A8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51943C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655" w:type="dxa"/>
            <w:vMerge w:val="continue"/>
            <w:tcBorders>
              <w:tl2br w:val="nil"/>
              <w:tr2bl w:val="nil"/>
            </w:tcBorders>
            <w:noWrap w:val="0"/>
            <w:vAlign w:val="center"/>
          </w:tcPr>
          <w:p w14:paraId="30C5BE02">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B537C27">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4033FA86">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7D5362F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《兽药广告审查发布规定》第十条：“兽药广告的批准文号应当列为广告内容同时发布。”第十二条：“违反本规定发布广告，</w:t>
            </w:r>
            <w:r>
              <w:rPr>
                <w:rFonts w:hint="eastAsia" w:ascii="宋体" w:hAnsi="宋体" w:cs="宋体"/>
                <w:spacing w:val="-11"/>
                <w:kern w:val="0"/>
                <w:szCs w:val="21"/>
                <w:lang w:eastAsia="zh-CN" w:bidi="ar"/>
              </w:rPr>
              <w:t>《中华人民共和国广告法》</w:t>
            </w:r>
            <w:r>
              <w:rPr>
                <w:rFonts w:hint="eastAsia" w:ascii="宋体" w:hAnsi="宋体" w:cs="宋体"/>
                <w:spacing w:val="-11"/>
                <w:kern w:val="0"/>
                <w:szCs w:val="21"/>
                <w:lang w:bidi="ar"/>
              </w:rPr>
              <w:t>及其他法律法规有规定的，依照有关法律法规规定予以处罚。法律法规没有规定的，对负有责任的广告主、广告经营者、广告发布者，处以违法所得三倍以下但不超过三万元的罚款；没有违法所得的，处以一万元以下的罚款。”</w:t>
            </w:r>
          </w:p>
        </w:tc>
      </w:tr>
      <w:tr w14:paraId="6D40FE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55" w:type="dxa"/>
            <w:vMerge w:val="restart"/>
            <w:tcBorders>
              <w:tl2br w:val="nil"/>
              <w:tr2bl w:val="nil"/>
            </w:tcBorders>
            <w:noWrap w:val="0"/>
            <w:vAlign w:val="center"/>
          </w:tcPr>
          <w:p w14:paraId="28B07072">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61</w:t>
            </w:r>
          </w:p>
        </w:tc>
        <w:tc>
          <w:tcPr>
            <w:tcW w:w="2167" w:type="dxa"/>
            <w:vMerge w:val="restart"/>
            <w:tcBorders>
              <w:tl2br w:val="nil"/>
              <w:tr2bl w:val="nil"/>
            </w:tcBorders>
            <w:noWrap w:val="0"/>
            <w:vAlign w:val="center"/>
          </w:tcPr>
          <w:p w14:paraId="3E45CC2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发布医疗广告未标注医疗机构第一名称和《医疗广告审查证明》文号</w:t>
            </w:r>
          </w:p>
        </w:tc>
        <w:tc>
          <w:tcPr>
            <w:tcW w:w="2487" w:type="dxa"/>
            <w:vMerge w:val="restart"/>
            <w:tcBorders>
              <w:tl2br w:val="nil"/>
              <w:tr2bl w:val="nil"/>
            </w:tcBorders>
            <w:noWrap w:val="0"/>
            <w:vAlign w:val="center"/>
          </w:tcPr>
          <w:p w14:paraId="50F706E5">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被发现实施此类违法行为，广告系通过广告主自有经营场所或者互联网自媒体发布，已取得《医疗广告审查证明》并在有效期内，已自行改正或者在市场监管部门规定的期限内改正</w:t>
            </w:r>
          </w:p>
        </w:tc>
        <w:tc>
          <w:tcPr>
            <w:tcW w:w="9017" w:type="dxa"/>
            <w:tcBorders>
              <w:tl2br w:val="nil"/>
              <w:tr2bl w:val="nil"/>
            </w:tcBorders>
            <w:noWrap w:val="0"/>
            <w:vAlign w:val="center"/>
          </w:tcPr>
          <w:p w14:paraId="2AB6AEA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06F6F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5" w:hRule="atLeast"/>
          <w:jc w:val="center"/>
        </w:trPr>
        <w:tc>
          <w:tcPr>
            <w:tcW w:w="655" w:type="dxa"/>
            <w:vMerge w:val="continue"/>
            <w:tcBorders>
              <w:tl2br w:val="nil"/>
              <w:tr2bl w:val="nil"/>
            </w:tcBorders>
            <w:noWrap w:val="0"/>
            <w:vAlign w:val="center"/>
          </w:tcPr>
          <w:p w14:paraId="7EAFAA0C">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4FD7C9A4">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70C116D2">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3CD187A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《医疗广告管理办法》第十四条：“发布医疗广告应当标注医疗机构第一名称和《医疗广告审查证明》文号。”第二十二条：“工商行政管理机关对违反本办法规定的广告主、广告经营者、广告发布者依据</w:t>
            </w:r>
            <w:r>
              <w:rPr>
                <w:rFonts w:hint="eastAsia" w:ascii="宋体" w:hAnsi="宋体" w:cs="宋体"/>
                <w:spacing w:val="-11"/>
                <w:kern w:val="0"/>
                <w:szCs w:val="21"/>
                <w:lang w:eastAsia="zh-CN" w:bidi="ar"/>
              </w:rPr>
              <w:t>《中华人民共和国广告法》</w:t>
            </w:r>
            <w:r>
              <w:rPr>
                <w:rFonts w:hint="eastAsia" w:ascii="宋体" w:hAnsi="宋体" w:cs="宋体"/>
                <w:spacing w:val="-11"/>
                <w:kern w:val="0"/>
                <w:szCs w:val="21"/>
                <w:lang w:bidi="ar"/>
              </w:rPr>
              <w:t>、</w:t>
            </w:r>
            <w:r>
              <w:rPr>
                <w:rFonts w:hint="eastAsia" w:ascii="宋体" w:hAnsi="宋体" w:cs="宋体"/>
                <w:spacing w:val="-11"/>
                <w:kern w:val="0"/>
                <w:szCs w:val="21"/>
                <w:lang w:eastAsia="zh-CN" w:bidi="ar"/>
              </w:rPr>
              <w:t>《中华人民共和国反不正当竞争法》</w:t>
            </w:r>
            <w:r>
              <w:rPr>
                <w:rFonts w:hint="eastAsia" w:ascii="宋体" w:hAnsi="宋体" w:cs="宋体"/>
                <w:spacing w:val="-11"/>
                <w:kern w:val="0"/>
                <w:szCs w:val="21"/>
                <w:lang w:bidi="ar"/>
              </w:rPr>
              <w:t>予以处罚，对情节严重，造成严重后果的，可以并处一至六个月暂停发布医疗广告</w:t>
            </w:r>
            <w:r>
              <w:rPr>
                <w:rFonts w:hint="eastAsia" w:ascii="宋体" w:hAnsi="宋体" w:cs="宋体"/>
                <w:spacing w:val="-11"/>
                <w:kern w:val="0"/>
                <w:szCs w:val="21"/>
                <w:lang w:eastAsia="zh-CN" w:bidi="ar"/>
              </w:rPr>
              <w:t>直至</w:t>
            </w:r>
            <w:r>
              <w:rPr>
                <w:rFonts w:hint="eastAsia" w:ascii="宋体" w:hAnsi="宋体" w:cs="宋体"/>
                <w:spacing w:val="-11"/>
                <w:kern w:val="0"/>
                <w:szCs w:val="21"/>
                <w:lang w:bidi="ar"/>
              </w:rPr>
              <w:t>取消广告经营者、广告发布者的医疗广告经营和发布资格的处罚。法律法规没有规定的，工商行政管理机关应当对负有责任的广告主、广告经营者、广告发布者给予警告或者处以一万元以上三万元以下的罚款；……”</w:t>
            </w:r>
          </w:p>
        </w:tc>
      </w:tr>
      <w:tr w14:paraId="3611D8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4CC0B249">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八</w:t>
            </w:r>
          </w:p>
        </w:tc>
        <w:tc>
          <w:tcPr>
            <w:tcW w:w="13671" w:type="dxa"/>
            <w:gridSpan w:val="3"/>
            <w:tcBorders>
              <w:tl2br w:val="nil"/>
              <w:tr2bl w:val="nil"/>
            </w:tcBorders>
            <w:noWrap w:val="0"/>
            <w:vAlign w:val="center"/>
          </w:tcPr>
          <w:p w14:paraId="73EECBC8">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违反商品包装、说明用字有关用语规范的行为</w:t>
            </w:r>
          </w:p>
        </w:tc>
      </w:tr>
      <w:tr w14:paraId="6037EC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7" w:hRule="atLeast"/>
          <w:jc w:val="center"/>
        </w:trPr>
        <w:tc>
          <w:tcPr>
            <w:tcW w:w="655" w:type="dxa"/>
            <w:tcBorders>
              <w:tl2br w:val="nil"/>
              <w:tr2bl w:val="nil"/>
            </w:tcBorders>
            <w:noWrap w:val="0"/>
            <w:vAlign w:val="center"/>
          </w:tcPr>
          <w:p w14:paraId="2EE00BAA">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62</w:t>
            </w:r>
          </w:p>
        </w:tc>
        <w:tc>
          <w:tcPr>
            <w:tcW w:w="2167" w:type="dxa"/>
            <w:tcBorders>
              <w:tl2br w:val="nil"/>
              <w:tr2bl w:val="nil"/>
            </w:tcBorders>
            <w:noWrap w:val="0"/>
            <w:vAlign w:val="center"/>
          </w:tcPr>
          <w:p w14:paraId="08E4F08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生产、销售定量包装商品未正确、清晰地标注净含量，或者未标注净含量</w:t>
            </w:r>
          </w:p>
        </w:tc>
        <w:tc>
          <w:tcPr>
            <w:tcW w:w="2487" w:type="dxa"/>
            <w:tcBorders>
              <w:tl2br w:val="nil"/>
              <w:tr2bl w:val="nil"/>
            </w:tcBorders>
            <w:noWrap w:val="0"/>
            <w:vAlign w:val="center"/>
          </w:tcPr>
          <w:p w14:paraId="2FC392F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7FAB628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定量包装商品计量监督管理办法》第十七条：“生产、销售定量包装商品违反本办法第五条、第六条、第七条规定，未正确、清晰地标注净含量的，责令改正；未标注净含量的，限期改正，逾期不改的，可处1000元以下罚款。”</w:t>
            </w:r>
          </w:p>
        </w:tc>
      </w:tr>
      <w:tr w14:paraId="6D8BEF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jc w:val="center"/>
        </w:trPr>
        <w:tc>
          <w:tcPr>
            <w:tcW w:w="655" w:type="dxa"/>
            <w:tcBorders>
              <w:tl2br w:val="nil"/>
              <w:tr2bl w:val="nil"/>
            </w:tcBorders>
            <w:noWrap w:val="0"/>
            <w:vAlign w:val="center"/>
          </w:tcPr>
          <w:p w14:paraId="75695DC4">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63</w:t>
            </w:r>
          </w:p>
        </w:tc>
        <w:tc>
          <w:tcPr>
            <w:tcW w:w="2167" w:type="dxa"/>
            <w:tcBorders>
              <w:tl2br w:val="nil"/>
              <w:tr2bl w:val="nil"/>
            </w:tcBorders>
            <w:noWrap w:val="0"/>
            <w:vAlign w:val="center"/>
          </w:tcPr>
          <w:p w14:paraId="1F28630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生产者未在规定时间内申请注册厂商识别代码并在其产品或者产品包装上使用商品条码</w:t>
            </w:r>
          </w:p>
        </w:tc>
        <w:tc>
          <w:tcPr>
            <w:tcW w:w="2487" w:type="dxa"/>
            <w:tcBorders>
              <w:tl2br w:val="nil"/>
              <w:tr2bl w:val="nil"/>
            </w:tcBorders>
            <w:noWrap w:val="0"/>
            <w:vAlign w:val="center"/>
          </w:tcPr>
          <w:p w14:paraId="5E81E33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4FD0A67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江西省商品条码管理办法》第十九条：“违反本办法第七条规定，生产者未在规定时间内申请注册厂商识别代码并在其产品或者产品包装上使用商品条码的，由市场监督管理部门责令其改正；逾期不改的，处以1000元以上3000元以下罚款。”</w:t>
            </w:r>
          </w:p>
        </w:tc>
      </w:tr>
      <w:tr w14:paraId="77BD7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1" w:hRule="atLeast"/>
          <w:jc w:val="center"/>
        </w:trPr>
        <w:tc>
          <w:tcPr>
            <w:tcW w:w="655" w:type="dxa"/>
            <w:tcBorders>
              <w:tl2br w:val="nil"/>
              <w:tr2bl w:val="nil"/>
            </w:tcBorders>
            <w:noWrap w:val="0"/>
            <w:vAlign w:val="center"/>
          </w:tcPr>
          <w:p w14:paraId="7966CC51">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64</w:t>
            </w:r>
          </w:p>
        </w:tc>
        <w:tc>
          <w:tcPr>
            <w:tcW w:w="2167" w:type="dxa"/>
            <w:tcBorders>
              <w:tl2br w:val="nil"/>
              <w:tr2bl w:val="nil"/>
            </w:tcBorders>
            <w:noWrap w:val="0"/>
            <w:vAlign w:val="center"/>
          </w:tcPr>
          <w:p w14:paraId="46B9BA2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系统成员的产品或者产品包装上商品条码标识不符合国家标准</w:t>
            </w:r>
          </w:p>
        </w:tc>
        <w:tc>
          <w:tcPr>
            <w:tcW w:w="2487" w:type="dxa"/>
            <w:tcBorders>
              <w:tl2br w:val="nil"/>
              <w:tr2bl w:val="nil"/>
            </w:tcBorders>
            <w:noWrap w:val="0"/>
            <w:vAlign w:val="center"/>
          </w:tcPr>
          <w:p w14:paraId="7BA4B98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50B2B92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《江西省商品条码管理办法》第二十条：“系统成员的产品或者产品包装上商品条码标识不符合国家标准的，由市场监督管理部门责令其改正；逾期不改的，处以500元以上1000元以下罚款。”</w:t>
            </w:r>
          </w:p>
        </w:tc>
      </w:tr>
      <w:tr w14:paraId="2823AA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1C0F2335">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九</w:t>
            </w:r>
          </w:p>
        </w:tc>
        <w:tc>
          <w:tcPr>
            <w:tcW w:w="13671" w:type="dxa"/>
            <w:gridSpan w:val="3"/>
            <w:tcBorders>
              <w:tl2br w:val="nil"/>
              <w:tr2bl w:val="nil"/>
            </w:tcBorders>
            <w:noWrap w:val="0"/>
            <w:vAlign w:val="center"/>
          </w:tcPr>
          <w:p w14:paraId="69077970">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违反专利有关规定的行为</w:t>
            </w:r>
          </w:p>
        </w:tc>
      </w:tr>
      <w:tr w14:paraId="7EA2D7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655" w:type="dxa"/>
            <w:vMerge w:val="restart"/>
            <w:tcBorders>
              <w:tl2br w:val="nil"/>
              <w:tr2bl w:val="nil"/>
            </w:tcBorders>
            <w:noWrap w:val="0"/>
            <w:vAlign w:val="center"/>
          </w:tcPr>
          <w:p w14:paraId="76F53025">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65</w:t>
            </w:r>
          </w:p>
        </w:tc>
        <w:tc>
          <w:tcPr>
            <w:tcW w:w="2167" w:type="dxa"/>
            <w:vMerge w:val="restart"/>
            <w:tcBorders>
              <w:tl2br w:val="nil"/>
              <w:tr2bl w:val="nil"/>
            </w:tcBorders>
            <w:noWrap w:val="0"/>
            <w:vAlign w:val="center"/>
          </w:tcPr>
          <w:p w14:paraId="0BAE686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销售不知道是假冒专利的产品</w:t>
            </w:r>
          </w:p>
        </w:tc>
        <w:tc>
          <w:tcPr>
            <w:tcW w:w="2487" w:type="dxa"/>
            <w:vMerge w:val="restart"/>
            <w:tcBorders>
              <w:tl2br w:val="nil"/>
              <w:tr2bl w:val="nil"/>
            </w:tcBorders>
            <w:noWrap w:val="0"/>
            <w:vAlign w:val="center"/>
          </w:tcPr>
          <w:p w14:paraId="31584F8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能够证明该产品合法来源的，没有违法所得</w:t>
            </w:r>
          </w:p>
        </w:tc>
        <w:tc>
          <w:tcPr>
            <w:tcW w:w="9017" w:type="dxa"/>
            <w:tcBorders>
              <w:tl2br w:val="nil"/>
              <w:tr2bl w:val="nil"/>
            </w:tcBorders>
            <w:noWrap w:val="0"/>
            <w:vAlign w:val="center"/>
          </w:tcPr>
          <w:p w14:paraId="03DDDD9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第三十三条第二款：“当事人有证据足以证明没有主观过错的，不予行政处罚。法律、行政法规另有规定的，从其规定。”</w:t>
            </w:r>
          </w:p>
        </w:tc>
      </w:tr>
      <w:tr w14:paraId="08C043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jc w:val="center"/>
        </w:trPr>
        <w:tc>
          <w:tcPr>
            <w:tcW w:w="655" w:type="dxa"/>
            <w:vMerge w:val="continue"/>
            <w:tcBorders>
              <w:tl2br w:val="nil"/>
              <w:tr2bl w:val="nil"/>
            </w:tcBorders>
            <w:noWrap w:val="0"/>
            <w:vAlign w:val="center"/>
          </w:tcPr>
          <w:p w14:paraId="673E579E">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620B2A8A">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4FFABF56">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1E9209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《专利法实施细则》第八十四条第三款：“销售不知道是假冒专利的产品，并且能够证明该产品合法来源的，由管理专利工作的部门责令停止销售，但免除罚款的处罚。”</w:t>
            </w:r>
          </w:p>
        </w:tc>
      </w:tr>
      <w:tr w14:paraId="0051C8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4" w:hRule="atLeast"/>
          <w:jc w:val="center"/>
        </w:trPr>
        <w:tc>
          <w:tcPr>
            <w:tcW w:w="655" w:type="dxa"/>
            <w:vMerge w:val="restart"/>
            <w:tcBorders>
              <w:tl2br w:val="nil"/>
              <w:tr2bl w:val="nil"/>
            </w:tcBorders>
            <w:noWrap w:val="0"/>
            <w:vAlign w:val="center"/>
          </w:tcPr>
          <w:p w14:paraId="033606FE">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66</w:t>
            </w:r>
          </w:p>
        </w:tc>
        <w:tc>
          <w:tcPr>
            <w:tcW w:w="2167" w:type="dxa"/>
            <w:vMerge w:val="restart"/>
            <w:tcBorders>
              <w:tl2br w:val="nil"/>
              <w:tr2bl w:val="nil"/>
            </w:tcBorders>
            <w:noWrap w:val="0"/>
            <w:vAlign w:val="center"/>
          </w:tcPr>
          <w:p w14:paraId="2900155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专利标识的标注不符合规定</w:t>
            </w:r>
          </w:p>
        </w:tc>
        <w:tc>
          <w:tcPr>
            <w:tcW w:w="2487" w:type="dxa"/>
            <w:vMerge w:val="restart"/>
            <w:tcBorders>
              <w:tl2br w:val="nil"/>
              <w:tr2bl w:val="nil"/>
            </w:tcBorders>
            <w:noWrap w:val="0"/>
            <w:vAlign w:val="center"/>
          </w:tcPr>
          <w:p w14:paraId="4EDB214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尚未构成假冒专利行为，已自行改正或者在市场监管部门规定的期限内改正</w:t>
            </w:r>
          </w:p>
        </w:tc>
        <w:tc>
          <w:tcPr>
            <w:tcW w:w="9017" w:type="dxa"/>
            <w:tcBorders>
              <w:tl2br w:val="nil"/>
              <w:tr2bl w:val="nil"/>
            </w:tcBorders>
            <w:noWrap w:val="0"/>
            <w:vAlign w:val="center"/>
          </w:tcPr>
          <w:p w14:paraId="05CA5B9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《专利标识标注办法》第五条：“标注专利标识的，应当标明下述内容：（一） 采用中文标明专利权的类别，例如中国发明专利、中国实用新型专利、中国外观设计专利；（二） 国家知识产权局授予专利权的专利号。除上述内容之外，可以附加其他文字、图形标记，但附加的文字、图形标记及其标注方式不得误导公众。”第六条：“在依照专利方法直接获得的产品、该产品的包装或者该产品的说明书等材料上标注专利标识的，应当采用中文标明该产品系依照专利方法所获得的产品。”第七条：“专利权被授予前在产品、该产品的包装或者该产品的说明书等材料上进行标注的，应当采用中文标明中国专利申请的类别、专利申请号，并标明‘专利申请，尚未授权’字样。”</w:t>
            </w:r>
          </w:p>
        </w:tc>
      </w:tr>
      <w:tr w14:paraId="4779E9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655" w:type="dxa"/>
            <w:vMerge w:val="continue"/>
            <w:tcBorders>
              <w:tl2br w:val="nil"/>
              <w:tr2bl w:val="nil"/>
            </w:tcBorders>
            <w:noWrap w:val="0"/>
            <w:vAlign w:val="center"/>
          </w:tcPr>
          <w:p w14:paraId="31BF3D21">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668B61E1">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62B75441">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42F4D3A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《专利标识标注办法》第八条：“专利标识的标注不符合本办法第五条、第六条或者第七条规定的，由管理专利工作的部门责令改正。”</w:t>
            </w:r>
          </w:p>
        </w:tc>
      </w:tr>
      <w:tr w14:paraId="35A211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8" w:hRule="atLeast"/>
          <w:jc w:val="center"/>
        </w:trPr>
        <w:tc>
          <w:tcPr>
            <w:tcW w:w="655" w:type="dxa"/>
            <w:tcBorders>
              <w:tl2br w:val="nil"/>
              <w:tr2bl w:val="nil"/>
            </w:tcBorders>
            <w:noWrap w:val="0"/>
            <w:vAlign w:val="center"/>
          </w:tcPr>
          <w:p w14:paraId="098C8788">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67</w:t>
            </w:r>
          </w:p>
        </w:tc>
        <w:tc>
          <w:tcPr>
            <w:tcW w:w="2167" w:type="dxa"/>
            <w:tcBorders>
              <w:tl2br w:val="nil"/>
              <w:tr2bl w:val="nil"/>
            </w:tcBorders>
            <w:noWrap w:val="0"/>
            <w:vAlign w:val="center"/>
          </w:tcPr>
          <w:p w14:paraId="37E375D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会展举办者允许未提供专利有效证明文件的产品或者技术以专利产品、专利技术名义参展</w:t>
            </w:r>
          </w:p>
        </w:tc>
        <w:tc>
          <w:tcPr>
            <w:tcW w:w="2487" w:type="dxa"/>
            <w:tcBorders>
              <w:tl2br w:val="nil"/>
              <w:tr2bl w:val="nil"/>
            </w:tcBorders>
            <w:noWrap w:val="0"/>
            <w:vAlign w:val="center"/>
          </w:tcPr>
          <w:p w14:paraId="4AB9609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32098F2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《江西省专利促进条例》第四十六条第一款</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“违反本条例第三十九条第一款规定</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会展的举办者允许未提供专利有效证明文件的产品或者技术以专利产品、专利技术名义参展的</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由管理专利工作的部门责令改正</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没收违法所得</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拒不改正的</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处两千元以上一万元以下罚款。”</w:t>
            </w:r>
          </w:p>
        </w:tc>
      </w:tr>
      <w:tr w14:paraId="7B28B0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3AAEF14A">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十</w:t>
            </w:r>
          </w:p>
        </w:tc>
        <w:tc>
          <w:tcPr>
            <w:tcW w:w="13671" w:type="dxa"/>
            <w:gridSpan w:val="3"/>
            <w:tcBorders>
              <w:tl2br w:val="nil"/>
              <w:tr2bl w:val="nil"/>
            </w:tcBorders>
            <w:noWrap w:val="0"/>
            <w:vAlign w:val="center"/>
          </w:tcPr>
          <w:p w14:paraId="5B0C848E">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违反工业产品生产许可证有关规定的行为</w:t>
            </w:r>
          </w:p>
        </w:tc>
      </w:tr>
      <w:tr w14:paraId="0A271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655" w:type="dxa"/>
            <w:tcBorders>
              <w:tl2br w:val="nil"/>
              <w:tr2bl w:val="nil"/>
            </w:tcBorders>
            <w:noWrap w:val="0"/>
            <w:vAlign w:val="center"/>
          </w:tcPr>
          <w:p w14:paraId="2C74E8A5">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68</w:t>
            </w:r>
          </w:p>
        </w:tc>
        <w:tc>
          <w:tcPr>
            <w:tcW w:w="2167" w:type="dxa"/>
            <w:tcBorders>
              <w:tl2br w:val="nil"/>
              <w:tr2bl w:val="nil"/>
            </w:tcBorders>
            <w:noWrap w:val="0"/>
            <w:vAlign w:val="center"/>
          </w:tcPr>
          <w:p w14:paraId="7D920B1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取得生产许可证的企业名称发生变化，未依照规定办理变更手续</w:t>
            </w:r>
          </w:p>
        </w:tc>
        <w:tc>
          <w:tcPr>
            <w:tcW w:w="2487" w:type="dxa"/>
            <w:tcBorders>
              <w:tl2br w:val="nil"/>
              <w:tr2bl w:val="nil"/>
            </w:tcBorders>
            <w:noWrap w:val="0"/>
            <w:vAlign w:val="center"/>
          </w:tcPr>
          <w:p w14:paraId="38AA33C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4F70F85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工业产品生产许可证管理条例》第四十六条第二款：“取得生产许可证的企业名称发生变化，未依照本条例规定办理变更手续的，责令限期办理相关手续；逾期仍未办理的，责令停止生产、销售，没收违法生产、销售的产品，并处违法生产、销售产品货值金额等值以下的罚款；有违法所得的，没收违法所得。”</w:t>
            </w:r>
          </w:p>
        </w:tc>
      </w:tr>
      <w:tr w14:paraId="445A73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 w:hRule="atLeast"/>
          <w:jc w:val="center"/>
        </w:trPr>
        <w:tc>
          <w:tcPr>
            <w:tcW w:w="655" w:type="dxa"/>
            <w:tcBorders>
              <w:tl2br w:val="nil"/>
              <w:tr2bl w:val="nil"/>
            </w:tcBorders>
            <w:noWrap w:val="0"/>
            <w:vAlign w:val="center"/>
          </w:tcPr>
          <w:p w14:paraId="3A01E773">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69</w:t>
            </w:r>
          </w:p>
        </w:tc>
        <w:tc>
          <w:tcPr>
            <w:tcW w:w="2167" w:type="dxa"/>
            <w:tcBorders>
              <w:tl2br w:val="nil"/>
              <w:tr2bl w:val="nil"/>
            </w:tcBorders>
            <w:noWrap w:val="0"/>
            <w:vAlign w:val="center"/>
          </w:tcPr>
          <w:p w14:paraId="38F727E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取得生产许可证的企业未依照规定在产品、包装或说明书上标注生产许可证标志和编号</w:t>
            </w:r>
          </w:p>
        </w:tc>
        <w:tc>
          <w:tcPr>
            <w:tcW w:w="2487" w:type="dxa"/>
            <w:tcBorders>
              <w:tl2br w:val="nil"/>
              <w:tr2bl w:val="nil"/>
            </w:tcBorders>
            <w:noWrap w:val="0"/>
            <w:vAlign w:val="center"/>
          </w:tcPr>
          <w:p w14:paraId="31BF58B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460B7C3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工业产品生产许可证管理条例》第四十七条：“取得生产许可证的企业未依照本条例规定在产品、包装或者说明书上标注生产许可证标志和编号的，责令限期改正；逾期仍未改正的，处违法生产、销售产品货值金额30％以下的罚款；有违法所得的，没收违法所得；情节严重的，吊销生产许可证。”</w:t>
            </w:r>
          </w:p>
        </w:tc>
      </w:tr>
      <w:tr w14:paraId="33307B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10FF5ABD">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十一</w:t>
            </w:r>
          </w:p>
        </w:tc>
        <w:tc>
          <w:tcPr>
            <w:tcW w:w="13671" w:type="dxa"/>
            <w:gridSpan w:val="3"/>
            <w:tcBorders>
              <w:tl2br w:val="nil"/>
              <w:tr2bl w:val="nil"/>
            </w:tcBorders>
            <w:noWrap w:val="0"/>
            <w:vAlign w:val="center"/>
          </w:tcPr>
          <w:p w14:paraId="6A889BDB">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违反特种设备有关规定的行为</w:t>
            </w:r>
          </w:p>
        </w:tc>
      </w:tr>
      <w:tr w14:paraId="5BC602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6" w:hRule="atLeast"/>
          <w:jc w:val="center"/>
        </w:trPr>
        <w:tc>
          <w:tcPr>
            <w:tcW w:w="655" w:type="dxa"/>
            <w:tcBorders>
              <w:tl2br w:val="nil"/>
              <w:tr2bl w:val="nil"/>
            </w:tcBorders>
            <w:noWrap w:val="0"/>
            <w:vAlign w:val="center"/>
          </w:tcPr>
          <w:p w14:paraId="5FD8EDC4">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70</w:t>
            </w:r>
          </w:p>
        </w:tc>
        <w:tc>
          <w:tcPr>
            <w:tcW w:w="2167" w:type="dxa"/>
            <w:tcBorders>
              <w:tl2br w:val="nil"/>
              <w:tr2bl w:val="nil"/>
            </w:tcBorders>
            <w:noWrap w:val="0"/>
            <w:vAlign w:val="center"/>
          </w:tcPr>
          <w:p w14:paraId="7D4FCCC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特种设备安装、改造、修理的施工单位在施工前未书面告知特种设备安全监督管理部门即行施工</w:t>
            </w:r>
          </w:p>
        </w:tc>
        <w:tc>
          <w:tcPr>
            <w:tcW w:w="2487" w:type="dxa"/>
            <w:tcBorders>
              <w:tl2br w:val="nil"/>
              <w:tr2bl w:val="nil"/>
            </w:tcBorders>
            <w:noWrap w:val="0"/>
            <w:vAlign w:val="center"/>
          </w:tcPr>
          <w:p w14:paraId="058AEE0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已自行改正或者在市场监管部门规定的期限内改正，没有造成实际危害后果</w:t>
            </w:r>
          </w:p>
        </w:tc>
        <w:tc>
          <w:tcPr>
            <w:tcW w:w="9017" w:type="dxa"/>
            <w:tcBorders>
              <w:tl2br w:val="nil"/>
              <w:tr2bl w:val="nil"/>
            </w:tcBorders>
            <w:noWrap w:val="0"/>
            <w:vAlign w:val="center"/>
          </w:tcPr>
          <w:p w14:paraId="4017E42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《中华人民共和国特种设备安全法》</w:t>
            </w:r>
            <w:r>
              <w:rPr>
                <w:rFonts w:hint="eastAsia" w:ascii="宋体" w:hAnsi="宋体" w:cs="宋体"/>
                <w:spacing w:val="-11"/>
                <w:kern w:val="0"/>
                <w:szCs w:val="21"/>
                <w:lang w:bidi="ar"/>
              </w:rPr>
              <w:t>第七十八条：“违反本法规定，特种设备安装、改造、修理的施工单位在施工前未书面告知负责特种设备安全监督管理的部门即行施工的，或者在验收后三十日内未将相关技术资料和文件移交特种设备使用单位的，责令限期改正；逾期未改正的，处一万元以上十万元以下罚款。”</w:t>
            </w:r>
          </w:p>
        </w:tc>
      </w:tr>
      <w:tr w14:paraId="09D44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5" w:hRule="atLeast"/>
          <w:jc w:val="center"/>
        </w:trPr>
        <w:tc>
          <w:tcPr>
            <w:tcW w:w="655" w:type="dxa"/>
            <w:tcBorders>
              <w:tl2br w:val="nil"/>
              <w:tr2bl w:val="nil"/>
            </w:tcBorders>
            <w:noWrap w:val="0"/>
            <w:vAlign w:val="center"/>
          </w:tcPr>
          <w:p w14:paraId="22E1E213">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71</w:t>
            </w:r>
          </w:p>
        </w:tc>
        <w:tc>
          <w:tcPr>
            <w:tcW w:w="2167" w:type="dxa"/>
            <w:tcBorders>
              <w:tl2br w:val="nil"/>
              <w:tr2bl w:val="nil"/>
            </w:tcBorders>
            <w:noWrap w:val="0"/>
            <w:vAlign w:val="center"/>
          </w:tcPr>
          <w:p w14:paraId="720F028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特种设备安装、改造、修理竣工验收后未及时将相关技术资料和文件移交特种设备使用单位</w:t>
            </w:r>
          </w:p>
        </w:tc>
        <w:tc>
          <w:tcPr>
            <w:tcW w:w="2487" w:type="dxa"/>
            <w:tcBorders>
              <w:tl2br w:val="nil"/>
              <w:tr2bl w:val="nil"/>
            </w:tcBorders>
            <w:noWrap w:val="0"/>
            <w:vAlign w:val="center"/>
          </w:tcPr>
          <w:p w14:paraId="168EB00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已自行改正或者在市场监管部门规定的期限内改正，没有造成实际危害后果</w:t>
            </w:r>
          </w:p>
        </w:tc>
        <w:tc>
          <w:tcPr>
            <w:tcW w:w="9017" w:type="dxa"/>
            <w:tcBorders>
              <w:tl2br w:val="nil"/>
              <w:tr2bl w:val="nil"/>
            </w:tcBorders>
            <w:noWrap w:val="0"/>
            <w:vAlign w:val="center"/>
          </w:tcPr>
          <w:p w14:paraId="1E21065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《中华人民共和国特种设备安全法》</w:t>
            </w:r>
            <w:r>
              <w:rPr>
                <w:rFonts w:hint="eastAsia" w:ascii="宋体" w:hAnsi="宋体" w:cs="宋体"/>
                <w:spacing w:val="-11"/>
                <w:kern w:val="0"/>
                <w:szCs w:val="21"/>
                <w:lang w:bidi="ar"/>
              </w:rPr>
              <w:t>第七十八条：“违反本法规定，特种设备安装、改造、修理的施工单位在施工前未书面告知负责特种设备安全监督管理的部门即行施工的，或者在验收后三十日内未将相关技术资料和文件移交特种设备使用单位的，责令限期改正；逾期未改正的，处一万元以上十万元以下罚款。”</w:t>
            </w:r>
          </w:p>
        </w:tc>
      </w:tr>
      <w:tr w14:paraId="44C62C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3" w:hRule="atLeast"/>
          <w:jc w:val="center"/>
        </w:trPr>
        <w:tc>
          <w:tcPr>
            <w:tcW w:w="655" w:type="dxa"/>
            <w:tcBorders>
              <w:tl2br w:val="nil"/>
              <w:tr2bl w:val="nil"/>
            </w:tcBorders>
            <w:noWrap w:val="0"/>
            <w:vAlign w:val="center"/>
          </w:tcPr>
          <w:p w14:paraId="6FB6A23D">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72</w:t>
            </w:r>
          </w:p>
        </w:tc>
        <w:tc>
          <w:tcPr>
            <w:tcW w:w="2167" w:type="dxa"/>
            <w:tcBorders>
              <w:tl2br w:val="nil"/>
              <w:tr2bl w:val="nil"/>
            </w:tcBorders>
            <w:noWrap w:val="0"/>
            <w:vAlign w:val="center"/>
          </w:tcPr>
          <w:p w14:paraId="17F416B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特种设备使用单位未及时办理使用登记</w:t>
            </w:r>
          </w:p>
        </w:tc>
        <w:tc>
          <w:tcPr>
            <w:tcW w:w="2487" w:type="dxa"/>
            <w:tcBorders>
              <w:tl2br w:val="nil"/>
              <w:tr2bl w:val="nil"/>
            </w:tcBorders>
            <w:noWrap w:val="0"/>
            <w:vAlign w:val="center"/>
          </w:tcPr>
          <w:p w14:paraId="5AD4FBD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已自行改正或者在市场监管部门规定的期限内改正，没有造成实际危害后果</w:t>
            </w:r>
          </w:p>
        </w:tc>
        <w:tc>
          <w:tcPr>
            <w:tcW w:w="9017" w:type="dxa"/>
            <w:tcBorders>
              <w:tl2br w:val="nil"/>
              <w:tr2bl w:val="nil"/>
            </w:tcBorders>
            <w:noWrap w:val="0"/>
            <w:vAlign w:val="center"/>
          </w:tcPr>
          <w:p w14:paraId="370FD89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《中华人民共和国特种设备安全法》</w:t>
            </w:r>
            <w:r>
              <w:rPr>
                <w:rFonts w:hint="eastAsia" w:ascii="宋体" w:hAnsi="宋体" w:cs="宋体"/>
                <w:spacing w:val="-11"/>
                <w:kern w:val="0"/>
                <w:szCs w:val="21"/>
                <w:lang w:bidi="ar"/>
              </w:rPr>
              <w:t>第八十三条：“违反本法规定，特种设备使用单位有下列行为之一的，责令限期改正；逾期未改正的，责令停止使用有关特种设备，处一万元以上十万元以下罚款：（一） 使用特种设备未按照规定办理使用登记的；……”</w:t>
            </w:r>
          </w:p>
        </w:tc>
      </w:tr>
      <w:tr w14:paraId="113F0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6" w:hRule="atLeast"/>
          <w:jc w:val="center"/>
        </w:trPr>
        <w:tc>
          <w:tcPr>
            <w:tcW w:w="655" w:type="dxa"/>
            <w:tcBorders>
              <w:tl2br w:val="nil"/>
              <w:tr2bl w:val="nil"/>
            </w:tcBorders>
            <w:noWrap w:val="0"/>
            <w:vAlign w:val="center"/>
          </w:tcPr>
          <w:p w14:paraId="28B9CCE6">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73</w:t>
            </w:r>
          </w:p>
        </w:tc>
        <w:tc>
          <w:tcPr>
            <w:tcW w:w="2167" w:type="dxa"/>
            <w:tcBorders>
              <w:tl2br w:val="nil"/>
              <w:tr2bl w:val="nil"/>
            </w:tcBorders>
            <w:noWrap w:val="0"/>
            <w:vAlign w:val="center"/>
          </w:tcPr>
          <w:p w14:paraId="396B6A4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客运索道使用单位未按照规定开展应急救援演练</w:t>
            </w:r>
          </w:p>
        </w:tc>
        <w:tc>
          <w:tcPr>
            <w:tcW w:w="2487" w:type="dxa"/>
            <w:tcBorders>
              <w:tl2br w:val="nil"/>
              <w:tr2bl w:val="nil"/>
            </w:tcBorders>
            <w:noWrap w:val="0"/>
            <w:vAlign w:val="center"/>
          </w:tcPr>
          <w:p w14:paraId="78E7827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已自行改正或者在市场监管部门规定的期限内改正，未造成危害后果</w:t>
            </w:r>
          </w:p>
        </w:tc>
        <w:tc>
          <w:tcPr>
            <w:tcW w:w="9017" w:type="dxa"/>
            <w:tcBorders>
              <w:tl2br w:val="nil"/>
              <w:tr2bl w:val="nil"/>
            </w:tcBorders>
            <w:noWrap w:val="0"/>
            <w:vAlign w:val="center"/>
          </w:tcPr>
          <w:p w14:paraId="3A23BEA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《客运索道安全监督管理规定》第三十六条：“客运索道使用单位未按照本规定开展应急救援演练的，责令限期改正；逾期未改正的，处三万元罚款。”</w:t>
            </w:r>
          </w:p>
        </w:tc>
      </w:tr>
      <w:tr w14:paraId="4F44E4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restart"/>
            <w:tcBorders>
              <w:tl2br w:val="nil"/>
              <w:tr2bl w:val="nil"/>
            </w:tcBorders>
            <w:noWrap w:val="0"/>
            <w:vAlign w:val="center"/>
          </w:tcPr>
          <w:p w14:paraId="483E1636">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74</w:t>
            </w:r>
          </w:p>
        </w:tc>
        <w:tc>
          <w:tcPr>
            <w:tcW w:w="2167" w:type="dxa"/>
            <w:vMerge w:val="restart"/>
            <w:tcBorders>
              <w:tl2br w:val="nil"/>
              <w:tr2bl w:val="nil"/>
            </w:tcBorders>
            <w:noWrap w:val="0"/>
            <w:vAlign w:val="center"/>
          </w:tcPr>
          <w:p w14:paraId="29C6026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电梯维保记录未经电梯管理人员签字确认，或者对电梯基本情况和技术参数等信息填写不全</w:t>
            </w:r>
          </w:p>
        </w:tc>
        <w:tc>
          <w:tcPr>
            <w:tcW w:w="2487" w:type="dxa"/>
            <w:vMerge w:val="restart"/>
            <w:tcBorders>
              <w:tl2br w:val="nil"/>
              <w:tr2bl w:val="nil"/>
            </w:tcBorders>
            <w:noWrap w:val="0"/>
            <w:vAlign w:val="center"/>
          </w:tcPr>
          <w:p w14:paraId="186865BF">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被发现实施此类违法行为，有证据表明为电梯管理人员</w:t>
            </w:r>
            <w:r>
              <w:rPr>
                <w:rFonts w:hint="eastAsia" w:ascii="宋体" w:hAnsi="宋体" w:cs="宋体"/>
                <w:spacing w:val="-11"/>
                <w:kern w:val="0"/>
                <w:szCs w:val="21"/>
                <w:lang w:eastAsia="zh-CN" w:bidi="ar"/>
              </w:rPr>
              <w:t>拒不签字</w:t>
            </w:r>
            <w:r>
              <w:rPr>
                <w:rFonts w:hint="eastAsia" w:ascii="宋体" w:hAnsi="宋体" w:cs="宋体"/>
                <w:spacing w:val="-11"/>
                <w:kern w:val="0"/>
                <w:szCs w:val="21"/>
                <w:lang w:bidi="ar"/>
              </w:rPr>
              <w:t>，未造成危害后果，已自行改正或者在市场监管部门规定的期限内改正</w:t>
            </w:r>
          </w:p>
        </w:tc>
        <w:tc>
          <w:tcPr>
            <w:tcW w:w="9017" w:type="dxa"/>
            <w:tcBorders>
              <w:tl2br w:val="nil"/>
              <w:tr2bl w:val="nil"/>
            </w:tcBorders>
            <w:noWrap w:val="0"/>
            <w:vAlign w:val="center"/>
          </w:tcPr>
          <w:p w14:paraId="06CB773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45C3C4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 w:hRule="atLeast"/>
          <w:jc w:val="center"/>
        </w:trPr>
        <w:tc>
          <w:tcPr>
            <w:tcW w:w="655" w:type="dxa"/>
            <w:vMerge w:val="continue"/>
            <w:tcBorders>
              <w:tl2br w:val="nil"/>
              <w:tr2bl w:val="nil"/>
            </w:tcBorders>
            <w:noWrap w:val="0"/>
            <w:vAlign w:val="center"/>
          </w:tcPr>
          <w:p w14:paraId="50030DE4">
            <w:pPr>
              <w:widowControl/>
              <w:spacing w:line="320" w:lineRule="exact"/>
              <w:jc w:val="center"/>
              <w:textAlignment w:val="center"/>
              <w:rPr>
                <w:rFonts w:hint="eastAsia" w:ascii="宋体" w:hAnsi="宋体" w:cs="宋体"/>
                <w:spacing w:val="-11"/>
                <w:kern w:val="0"/>
                <w:szCs w:val="21"/>
                <w:lang w:bidi="ar"/>
              </w:rPr>
            </w:pPr>
          </w:p>
        </w:tc>
        <w:tc>
          <w:tcPr>
            <w:tcW w:w="2167" w:type="dxa"/>
            <w:vMerge w:val="continue"/>
            <w:tcBorders>
              <w:tl2br w:val="nil"/>
              <w:tr2bl w:val="nil"/>
            </w:tcBorders>
            <w:noWrap w:val="0"/>
            <w:vAlign w:val="center"/>
          </w:tcPr>
          <w:p w14:paraId="54E2AEA6">
            <w:pPr>
              <w:widowControl/>
              <w:spacing w:line="320" w:lineRule="exact"/>
              <w:textAlignment w:val="center"/>
              <w:rPr>
                <w:rFonts w:hint="eastAsia" w:ascii="宋体" w:hAnsi="宋体" w:cs="宋体"/>
                <w:spacing w:val="-11"/>
                <w:kern w:val="0"/>
                <w:szCs w:val="21"/>
                <w:lang w:bidi="ar"/>
              </w:rPr>
            </w:pPr>
          </w:p>
        </w:tc>
        <w:tc>
          <w:tcPr>
            <w:tcW w:w="2487" w:type="dxa"/>
            <w:vMerge w:val="continue"/>
            <w:tcBorders>
              <w:tl2br w:val="nil"/>
              <w:tr2bl w:val="nil"/>
            </w:tcBorders>
            <w:noWrap w:val="0"/>
            <w:vAlign w:val="center"/>
          </w:tcPr>
          <w:p w14:paraId="231B4804">
            <w:pPr>
              <w:widowControl/>
              <w:spacing w:line="320" w:lineRule="exact"/>
              <w:textAlignment w:val="center"/>
              <w:rPr>
                <w:rFonts w:hint="eastAsia" w:ascii="宋体" w:hAnsi="宋体" w:cs="宋体"/>
                <w:spacing w:val="-11"/>
                <w:kern w:val="0"/>
                <w:szCs w:val="21"/>
                <w:lang w:bidi="ar"/>
              </w:rPr>
            </w:pPr>
          </w:p>
        </w:tc>
        <w:tc>
          <w:tcPr>
            <w:tcW w:w="9017" w:type="dxa"/>
            <w:tcBorders>
              <w:tl2br w:val="nil"/>
              <w:tr2bl w:val="nil"/>
            </w:tcBorders>
            <w:noWrap w:val="0"/>
            <w:vAlign w:val="center"/>
          </w:tcPr>
          <w:p w14:paraId="6DE8974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eastAsia="zh-CN" w:bidi="ar"/>
              </w:rPr>
              <w:t>《中华人民共和国特种设备安全法》</w:t>
            </w:r>
            <w:r>
              <w:rPr>
                <w:rFonts w:hint="eastAsia" w:ascii="宋体" w:hAnsi="宋体" w:cs="宋体"/>
                <w:spacing w:val="-11"/>
                <w:kern w:val="0"/>
                <w:szCs w:val="21"/>
                <w:lang w:bidi="ar"/>
              </w:rPr>
              <w:t>第八十八条：“违反本法规定，未经许可，擅自从事电梯维护保养的，责令停止违法行为，处一万元以上十万元以下罚款；有违法所得的，没收违法所得。    电梯的维护保养单位未按照本法规定以及安全技术规范的要求，进行电梯维护保养的，依照前款规定处罚。”</w:t>
            </w:r>
          </w:p>
        </w:tc>
      </w:tr>
      <w:tr w14:paraId="73FBB6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5" w:hRule="atLeast"/>
          <w:jc w:val="center"/>
        </w:trPr>
        <w:tc>
          <w:tcPr>
            <w:tcW w:w="655" w:type="dxa"/>
            <w:vMerge w:val="continue"/>
            <w:tcBorders>
              <w:tl2br w:val="nil"/>
              <w:tr2bl w:val="nil"/>
            </w:tcBorders>
            <w:noWrap w:val="0"/>
            <w:vAlign w:val="center"/>
          </w:tcPr>
          <w:p w14:paraId="04E80FF3">
            <w:pPr>
              <w:widowControl/>
              <w:spacing w:line="320" w:lineRule="exact"/>
              <w:jc w:val="center"/>
              <w:textAlignment w:val="center"/>
              <w:rPr>
                <w:rFonts w:hint="eastAsia" w:ascii="宋体" w:hAnsi="宋体" w:cs="宋体"/>
                <w:spacing w:val="-11"/>
                <w:kern w:val="0"/>
                <w:szCs w:val="21"/>
                <w:lang w:bidi="ar"/>
              </w:rPr>
            </w:pPr>
          </w:p>
        </w:tc>
        <w:tc>
          <w:tcPr>
            <w:tcW w:w="2167" w:type="dxa"/>
            <w:vMerge w:val="continue"/>
            <w:tcBorders>
              <w:tl2br w:val="nil"/>
              <w:tr2bl w:val="nil"/>
            </w:tcBorders>
            <w:noWrap w:val="0"/>
            <w:vAlign w:val="center"/>
          </w:tcPr>
          <w:p w14:paraId="3CCBE333">
            <w:pPr>
              <w:widowControl/>
              <w:spacing w:line="320" w:lineRule="exact"/>
              <w:textAlignment w:val="center"/>
              <w:rPr>
                <w:rFonts w:hint="eastAsia" w:ascii="宋体" w:hAnsi="宋体" w:cs="宋体"/>
                <w:spacing w:val="-11"/>
                <w:kern w:val="0"/>
                <w:szCs w:val="21"/>
                <w:lang w:bidi="ar"/>
              </w:rPr>
            </w:pPr>
          </w:p>
        </w:tc>
        <w:tc>
          <w:tcPr>
            <w:tcW w:w="2487" w:type="dxa"/>
            <w:vMerge w:val="continue"/>
            <w:tcBorders>
              <w:tl2br w:val="nil"/>
              <w:tr2bl w:val="nil"/>
            </w:tcBorders>
            <w:noWrap w:val="0"/>
            <w:vAlign w:val="center"/>
          </w:tcPr>
          <w:p w14:paraId="050602EF">
            <w:pPr>
              <w:widowControl/>
              <w:spacing w:line="320" w:lineRule="exact"/>
              <w:textAlignment w:val="center"/>
              <w:rPr>
                <w:rFonts w:hint="eastAsia" w:ascii="宋体" w:hAnsi="宋体" w:cs="宋体"/>
                <w:spacing w:val="-11"/>
                <w:kern w:val="0"/>
                <w:szCs w:val="21"/>
                <w:lang w:bidi="ar"/>
              </w:rPr>
            </w:pPr>
          </w:p>
        </w:tc>
        <w:tc>
          <w:tcPr>
            <w:tcW w:w="9017" w:type="dxa"/>
            <w:tcBorders>
              <w:tl2br w:val="nil"/>
              <w:tr2bl w:val="nil"/>
            </w:tcBorders>
            <w:noWrap w:val="0"/>
            <w:vAlign w:val="center"/>
          </w:tcPr>
          <w:p w14:paraId="0B421F65">
            <w:pPr>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《江西省特种设备安全条例》第三十一条第二款：“</w:t>
            </w:r>
            <w:r>
              <w:rPr>
                <w:rFonts w:ascii="宋体" w:hAnsi="宋体"/>
                <w:spacing w:val="-11"/>
                <w:szCs w:val="21"/>
              </w:rPr>
              <w:t>电梯安装、改造、重大修理工程经检验合格并竣工验收后</w:t>
            </w:r>
            <w:r>
              <w:rPr>
                <w:rFonts w:hint="eastAsia" w:ascii="宋体" w:hAnsi="宋体"/>
                <w:spacing w:val="-11"/>
                <w:szCs w:val="21"/>
                <w:lang w:eastAsia="zh-CN"/>
              </w:rPr>
              <w:t>，</w:t>
            </w:r>
            <w:r>
              <w:rPr>
                <w:rFonts w:ascii="宋体" w:hAnsi="宋体"/>
                <w:spacing w:val="-11"/>
                <w:szCs w:val="21"/>
              </w:rPr>
              <w:t>施工单位将电梯钥匙以及技术资料移交给电梯使用管理人的</w:t>
            </w:r>
            <w:r>
              <w:rPr>
                <w:rFonts w:hint="eastAsia" w:ascii="宋体" w:hAnsi="宋体"/>
                <w:spacing w:val="-11"/>
                <w:szCs w:val="21"/>
                <w:lang w:eastAsia="zh-CN"/>
              </w:rPr>
              <w:t>，</w:t>
            </w:r>
            <w:r>
              <w:rPr>
                <w:rFonts w:ascii="宋体" w:hAnsi="宋体"/>
                <w:spacing w:val="-11"/>
                <w:szCs w:val="21"/>
              </w:rPr>
              <w:t>应当书面记录交付的人员、时间，电梯钥匙的数量以及技术资料的内容，并由交付双方签字确认。在交付使用前</w:t>
            </w:r>
            <w:r>
              <w:rPr>
                <w:rFonts w:hint="eastAsia" w:ascii="宋体" w:hAnsi="宋体"/>
                <w:spacing w:val="-11"/>
                <w:szCs w:val="21"/>
                <w:lang w:eastAsia="zh-CN"/>
              </w:rPr>
              <w:t>，</w:t>
            </w:r>
            <w:r>
              <w:rPr>
                <w:rFonts w:ascii="宋体" w:hAnsi="宋体"/>
                <w:spacing w:val="-11"/>
                <w:szCs w:val="21"/>
              </w:rPr>
              <w:t>施工单位应当采取措施防止电梯被他人使用。</w:t>
            </w:r>
            <w:r>
              <w:rPr>
                <w:rFonts w:hint="eastAsia" w:ascii="宋体" w:hAnsi="宋体" w:cs="宋体"/>
                <w:spacing w:val="-11"/>
                <w:kern w:val="0"/>
                <w:szCs w:val="21"/>
                <w:lang w:bidi="ar"/>
              </w:rPr>
              <w:t>”</w:t>
            </w:r>
          </w:p>
        </w:tc>
      </w:tr>
      <w:tr w14:paraId="78E29D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655" w:type="dxa"/>
            <w:vMerge w:val="restart"/>
            <w:tcBorders>
              <w:tl2br w:val="nil"/>
              <w:tr2bl w:val="nil"/>
            </w:tcBorders>
            <w:noWrap w:val="0"/>
            <w:vAlign w:val="center"/>
          </w:tcPr>
          <w:p w14:paraId="5165EB35">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75</w:t>
            </w:r>
          </w:p>
        </w:tc>
        <w:tc>
          <w:tcPr>
            <w:tcW w:w="2167" w:type="dxa"/>
            <w:vMerge w:val="restart"/>
            <w:tcBorders>
              <w:tl2br w:val="nil"/>
              <w:tr2bl w:val="nil"/>
            </w:tcBorders>
            <w:noWrap w:val="0"/>
            <w:vAlign w:val="center"/>
          </w:tcPr>
          <w:p w14:paraId="33D0378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电梯维护保养单位未按照规定向设区的市人民政府特种设备安全监督管理部门履行网上告知义务</w:t>
            </w:r>
          </w:p>
        </w:tc>
        <w:tc>
          <w:tcPr>
            <w:tcW w:w="2487" w:type="dxa"/>
            <w:vMerge w:val="restart"/>
            <w:tcBorders>
              <w:tl2br w:val="nil"/>
              <w:tr2bl w:val="nil"/>
            </w:tcBorders>
            <w:noWrap w:val="0"/>
            <w:vAlign w:val="center"/>
          </w:tcPr>
          <w:p w14:paraId="4A8E390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已自行改正或者在市场监管部门规定的期限内改正，没有造成实际危害后果</w:t>
            </w:r>
          </w:p>
        </w:tc>
        <w:tc>
          <w:tcPr>
            <w:tcW w:w="9017" w:type="dxa"/>
            <w:tcBorders>
              <w:tl2br w:val="nil"/>
              <w:tr2bl w:val="nil"/>
            </w:tcBorders>
            <w:noWrap w:val="0"/>
            <w:vAlign w:val="center"/>
          </w:tcPr>
          <w:p w14:paraId="70AD4DE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《江西省特种设备安全条例》第三十六条：“电梯维护保养单位应当按照下列规定向设区的市人民政府特种设备安全监督管理部门履行网上告知义务：……”</w:t>
            </w:r>
          </w:p>
        </w:tc>
      </w:tr>
      <w:tr w14:paraId="6A7540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8" w:hRule="atLeast"/>
          <w:jc w:val="center"/>
        </w:trPr>
        <w:tc>
          <w:tcPr>
            <w:tcW w:w="655" w:type="dxa"/>
            <w:vMerge w:val="continue"/>
            <w:tcBorders>
              <w:tl2br w:val="nil"/>
              <w:tr2bl w:val="nil"/>
            </w:tcBorders>
            <w:noWrap w:val="0"/>
            <w:vAlign w:val="center"/>
          </w:tcPr>
          <w:p w14:paraId="4345E2AB">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7F22A95E">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5878EA19">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6AC74FC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《江西省特种设备安全条例》第六十一条：“违反本条例第三十六条规定的，由县级以上人民政府特种设备安全监督管理部门责令限期改正；逾期不改正的，处五千元以上一万元以下罚款。”</w:t>
            </w:r>
          </w:p>
        </w:tc>
      </w:tr>
      <w:tr w14:paraId="36CA9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5" w:hRule="atLeast"/>
          <w:jc w:val="center"/>
        </w:trPr>
        <w:tc>
          <w:tcPr>
            <w:tcW w:w="655" w:type="dxa"/>
            <w:tcBorders>
              <w:tl2br w:val="nil"/>
              <w:tr2bl w:val="nil"/>
            </w:tcBorders>
            <w:noWrap w:val="0"/>
            <w:vAlign w:val="center"/>
          </w:tcPr>
          <w:p w14:paraId="0F62FA03">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十二</w:t>
            </w:r>
          </w:p>
        </w:tc>
        <w:tc>
          <w:tcPr>
            <w:tcW w:w="13671" w:type="dxa"/>
            <w:gridSpan w:val="3"/>
            <w:tcBorders>
              <w:tl2br w:val="nil"/>
              <w:tr2bl w:val="nil"/>
            </w:tcBorders>
            <w:noWrap w:val="0"/>
            <w:vAlign w:val="center"/>
          </w:tcPr>
          <w:p w14:paraId="1CBE79F4">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违反计量有关规定的行为</w:t>
            </w:r>
          </w:p>
        </w:tc>
      </w:tr>
      <w:tr w14:paraId="58E99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jc w:val="center"/>
        </w:trPr>
        <w:tc>
          <w:tcPr>
            <w:tcW w:w="655" w:type="dxa"/>
            <w:tcBorders>
              <w:tl2br w:val="nil"/>
              <w:tr2bl w:val="nil"/>
            </w:tcBorders>
            <w:noWrap w:val="0"/>
            <w:vAlign w:val="center"/>
          </w:tcPr>
          <w:p w14:paraId="236809D4">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76</w:t>
            </w:r>
          </w:p>
        </w:tc>
        <w:tc>
          <w:tcPr>
            <w:tcW w:w="2167" w:type="dxa"/>
            <w:tcBorders>
              <w:tl2br w:val="nil"/>
              <w:tr2bl w:val="nil"/>
            </w:tcBorders>
            <w:noWrap w:val="0"/>
            <w:vAlign w:val="center"/>
          </w:tcPr>
          <w:p w14:paraId="0F0DBAE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使用非法定计量单位</w:t>
            </w:r>
          </w:p>
        </w:tc>
        <w:tc>
          <w:tcPr>
            <w:tcW w:w="2487" w:type="dxa"/>
            <w:tcBorders>
              <w:tl2br w:val="nil"/>
              <w:tr2bl w:val="nil"/>
            </w:tcBorders>
            <w:noWrap w:val="0"/>
            <w:vAlign w:val="center"/>
          </w:tcPr>
          <w:p w14:paraId="18573C2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645A1B3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《计量法实施细则》第四十条：“违反本细则第二条规定，使用非法定计量单位的，责令其改正；属出版物的，责令其停止销售，可并处1000元以下的罚款。”</w:t>
            </w:r>
          </w:p>
        </w:tc>
      </w:tr>
      <w:tr w14:paraId="50139B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jc w:val="center"/>
        </w:trPr>
        <w:tc>
          <w:tcPr>
            <w:tcW w:w="655" w:type="dxa"/>
            <w:vMerge w:val="restart"/>
            <w:tcBorders>
              <w:tl2br w:val="nil"/>
              <w:tr2bl w:val="nil"/>
            </w:tcBorders>
            <w:noWrap w:val="0"/>
            <w:vAlign w:val="center"/>
          </w:tcPr>
          <w:p w14:paraId="510C189A">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77</w:t>
            </w:r>
          </w:p>
        </w:tc>
        <w:tc>
          <w:tcPr>
            <w:tcW w:w="2167" w:type="dxa"/>
            <w:vMerge w:val="restart"/>
            <w:tcBorders>
              <w:tl2br w:val="nil"/>
              <w:tr2bl w:val="nil"/>
            </w:tcBorders>
            <w:noWrap w:val="0"/>
            <w:vAlign w:val="center"/>
          </w:tcPr>
          <w:p w14:paraId="6332BD9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属于非强制性检定范围的计量器具未自行定期检定或者送其他计量检定机构定期检定</w:t>
            </w:r>
          </w:p>
        </w:tc>
        <w:tc>
          <w:tcPr>
            <w:tcW w:w="2487" w:type="dxa"/>
            <w:vMerge w:val="restart"/>
            <w:tcBorders>
              <w:tl2br w:val="nil"/>
              <w:tr2bl w:val="nil"/>
            </w:tcBorders>
            <w:noWrap w:val="0"/>
            <w:vAlign w:val="center"/>
          </w:tcPr>
          <w:p w14:paraId="535FB0E6">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被发现实施此类违法行为，已自行改正或者在市场监管部门规定的期限内改正</w:t>
            </w:r>
          </w:p>
        </w:tc>
        <w:tc>
          <w:tcPr>
            <w:tcW w:w="9017" w:type="dxa"/>
            <w:tcBorders>
              <w:tl2br w:val="nil"/>
              <w:tr2bl w:val="nil"/>
            </w:tcBorders>
            <w:noWrap w:val="0"/>
            <w:vAlign w:val="center"/>
          </w:tcPr>
          <w:p w14:paraId="7B662F4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0852A6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vMerge w:val="continue"/>
            <w:tcBorders>
              <w:tl2br w:val="nil"/>
              <w:tr2bl w:val="nil"/>
            </w:tcBorders>
            <w:noWrap w:val="0"/>
            <w:vAlign w:val="center"/>
          </w:tcPr>
          <w:p w14:paraId="108145B8">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1EE8C9A5">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2FE69429">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655B242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计量法实施细则》第四十三条：“属于强制检定范围的计量器具，未按照规定申请检定和属于非强制检定范围的计量器具未自行定期检定或者送其他计量检定机构定期检定的，以及经检定不合格继续使用的，责令其停止使用，可并处1000元以下的罚款。”</w:t>
            </w:r>
          </w:p>
        </w:tc>
      </w:tr>
      <w:tr w14:paraId="474392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3" w:hRule="atLeast"/>
          <w:jc w:val="center"/>
        </w:trPr>
        <w:tc>
          <w:tcPr>
            <w:tcW w:w="655" w:type="dxa"/>
            <w:vMerge w:val="restart"/>
            <w:tcBorders>
              <w:tl2br w:val="nil"/>
              <w:tr2bl w:val="nil"/>
            </w:tcBorders>
            <w:noWrap w:val="0"/>
            <w:vAlign w:val="center"/>
          </w:tcPr>
          <w:p w14:paraId="2404953D">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78</w:t>
            </w:r>
          </w:p>
        </w:tc>
        <w:tc>
          <w:tcPr>
            <w:tcW w:w="2167" w:type="dxa"/>
            <w:vMerge w:val="restart"/>
            <w:tcBorders>
              <w:tl2br w:val="nil"/>
              <w:tr2bl w:val="nil"/>
            </w:tcBorders>
            <w:noWrap w:val="0"/>
            <w:vAlign w:val="center"/>
          </w:tcPr>
          <w:p w14:paraId="73EC7F0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集市主办者未按规定对集市使用的属于强制检定的计量器具登记造册，未向当地市场监管部门备案，或者不配合市场监管部门及其指定的法定计量检定机构做好强制检定工作</w:t>
            </w:r>
          </w:p>
        </w:tc>
        <w:tc>
          <w:tcPr>
            <w:tcW w:w="2487" w:type="dxa"/>
            <w:vMerge w:val="restart"/>
            <w:tcBorders>
              <w:tl2br w:val="nil"/>
              <w:tr2bl w:val="nil"/>
            </w:tcBorders>
            <w:noWrap w:val="0"/>
            <w:vAlign w:val="center"/>
          </w:tcPr>
          <w:p w14:paraId="022D51F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7889CD0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集贸市场计量监督管理办法》第五条第（四）项：“集市主办者应当做到：……（四）对集市使用的属于强制检定的计量器具登记造册，向当地市场监督管理部门备案，并配合市场监督管理部门及其指定的法定计量检定机构做好强制检定工作。”</w:t>
            </w:r>
          </w:p>
        </w:tc>
      </w:tr>
      <w:tr w14:paraId="770112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0" w:hRule="atLeast"/>
          <w:jc w:val="center"/>
        </w:trPr>
        <w:tc>
          <w:tcPr>
            <w:tcW w:w="655" w:type="dxa"/>
            <w:vMerge w:val="continue"/>
            <w:tcBorders>
              <w:tl2br w:val="nil"/>
              <w:tr2bl w:val="nil"/>
            </w:tcBorders>
            <w:noWrap w:val="0"/>
            <w:vAlign w:val="center"/>
          </w:tcPr>
          <w:p w14:paraId="2FDFACED">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54F0AEC9">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34EBBD9E">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0059675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《集贸市场计量监督管理办法》第十一条第一款：“集市主办者违反本办法第五条第（四）项规定的，责令改正，逾期不改的，处以1000元以下的罚款。”</w:t>
            </w:r>
          </w:p>
        </w:tc>
      </w:tr>
      <w:tr w14:paraId="284FF9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655" w:type="dxa"/>
            <w:tcBorders>
              <w:tl2br w:val="nil"/>
              <w:tr2bl w:val="nil"/>
            </w:tcBorders>
            <w:noWrap w:val="0"/>
            <w:vAlign w:val="center"/>
          </w:tcPr>
          <w:p w14:paraId="1ABC49C2">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79</w:t>
            </w:r>
          </w:p>
        </w:tc>
        <w:tc>
          <w:tcPr>
            <w:tcW w:w="2167" w:type="dxa"/>
            <w:tcBorders>
              <w:tl2br w:val="nil"/>
              <w:tr2bl w:val="nil"/>
            </w:tcBorders>
            <w:noWrap w:val="0"/>
            <w:vAlign w:val="center"/>
          </w:tcPr>
          <w:p w14:paraId="6F69BB7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集贸市场经营者应当使用计量器具测量量值而未使用计量器具</w:t>
            </w:r>
          </w:p>
        </w:tc>
        <w:tc>
          <w:tcPr>
            <w:tcW w:w="2487" w:type="dxa"/>
            <w:tcBorders>
              <w:tl2br w:val="nil"/>
              <w:tr2bl w:val="nil"/>
            </w:tcBorders>
            <w:noWrap w:val="0"/>
            <w:vAlign w:val="center"/>
          </w:tcPr>
          <w:p w14:paraId="0C14705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40C988F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集贸市场计量监督管理办法》第十二条第三款：“经营者违反本办法第六条第（四）项规定，应当使用计量器具测量量值而未使用计量器具的，限期改正；逾期不改的，处以1000元以下罚款。经营者销售商品的结算值与实际值不相符的，按照《商品量计量违法行为处罚规定》第五条、第六条的规定处罚。”</w:t>
            </w:r>
          </w:p>
        </w:tc>
      </w:tr>
      <w:tr w14:paraId="1EDAAC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655" w:type="dxa"/>
            <w:tcBorders>
              <w:tl2br w:val="nil"/>
              <w:tr2bl w:val="nil"/>
            </w:tcBorders>
            <w:noWrap w:val="0"/>
            <w:vAlign w:val="center"/>
          </w:tcPr>
          <w:p w14:paraId="087F5784">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80</w:t>
            </w:r>
          </w:p>
        </w:tc>
        <w:tc>
          <w:tcPr>
            <w:tcW w:w="2167" w:type="dxa"/>
            <w:tcBorders>
              <w:tl2br w:val="nil"/>
              <w:tr2bl w:val="nil"/>
            </w:tcBorders>
            <w:noWrap w:val="0"/>
            <w:vAlign w:val="center"/>
          </w:tcPr>
          <w:p w14:paraId="79545DC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加油站经营者未使用计量器具</w:t>
            </w:r>
          </w:p>
        </w:tc>
        <w:tc>
          <w:tcPr>
            <w:tcW w:w="2487" w:type="dxa"/>
            <w:tcBorders>
              <w:tl2br w:val="nil"/>
              <w:tr2bl w:val="nil"/>
            </w:tcBorders>
            <w:noWrap w:val="0"/>
            <w:vAlign w:val="center"/>
          </w:tcPr>
          <w:p w14:paraId="10758AF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43689E5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加油站计量监督管理办法》第九条第（四）项：“加油站经营者违反本办法有关规定，应当按以下规定进行处罚：……（四）违反本办法第五条第（八）项规定，未使用计量器具的，限期改正，逾期不改的，处1000元以上10000元以下罚款；成品油零售量的结算值与实际值之差超过国家规定允许误差的，责令改正，给消费者造成损失的，责令其赔偿损失，并处以违法所得3倍以下、最高不超过30000元的罚款。”</w:t>
            </w:r>
          </w:p>
        </w:tc>
      </w:tr>
      <w:tr w14:paraId="353E60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0" w:hRule="atLeast"/>
          <w:jc w:val="center"/>
        </w:trPr>
        <w:tc>
          <w:tcPr>
            <w:tcW w:w="655" w:type="dxa"/>
            <w:tcBorders>
              <w:tl2br w:val="nil"/>
              <w:tr2bl w:val="nil"/>
            </w:tcBorders>
            <w:noWrap w:val="0"/>
            <w:vAlign w:val="center"/>
          </w:tcPr>
          <w:p w14:paraId="6A317F21">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81</w:t>
            </w:r>
          </w:p>
        </w:tc>
        <w:tc>
          <w:tcPr>
            <w:tcW w:w="2167" w:type="dxa"/>
            <w:tcBorders>
              <w:tl2br w:val="nil"/>
              <w:tr2bl w:val="nil"/>
            </w:tcBorders>
            <w:noWrap w:val="0"/>
            <w:vAlign w:val="center"/>
          </w:tcPr>
          <w:p w14:paraId="104E483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重点用能单位未按照规定配备能源计量工作人员或者能源计量工作人员未接受能源计量专业知识培训</w:t>
            </w:r>
          </w:p>
        </w:tc>
        <w:tc>
          <w:tcPr>
            <w:tcW w:w="2487" w:type="dxa"/>
            <w:tcBorders>
              <w:tl2br w:val="nil"/>
              <w:tr2bl w:val="nil"/>
            </w:tcBorders>
            <w:noWrap w:val="0"/>
            <w:vAlign w:val="center"/>
          </w:tcPr>
          <w:p w14:paraId="7659404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1084E98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能源计量监督管理办法》第十九条：“违反本办法规定，重点用能单位未按照规定配备能源计量工作人员或者能源计量工作人员未接受能源计量专业知识培训的，由县级以上地方市场监督管理部门责令限期改正；逾期不改正的，处1万元以上3万元以下罚款。”</w:t>
            </w:r>
          </w:p>
        </w:tc>
      </w:tr>
      <w:tr w14:paraId="68747C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jc w:val="center"/>
        </w:trPr>
        <w:tc>
          <w:tcPr>
            <w:tcW w:w="655" w:type="dxa"/>
            <w:vMerge w:val="restart"/>
            <w:tcBorders>
              <w:tl2br w:val="nil"/>
              <w:tr2bl w:val="nil"/>
            </w:tcBorders>
            <w:noWrap w:val="0"/>
            <w:vAlign w:val="center"/>
          </w:tcPr>
          <w:p w14:paraId="58319EBD">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82</w:t>
            </w:r>
          </w:p>
        </w:tc>
        <w:tc>
          <w:tcPr>
            <w:tcW w:w="2167" w:type="dxa"/>
            <w:vMerge w:val="restart"/>
            <w:tcBorders>
              <w:tl2br w:val="nil"/>
              <w:tr2bl w:val="nil"/>
            </w:tcBorders>
            <w:noWrap w:val="0"/>
            <w:vAlign w:val="center"/>
          </w:tcPr>
          <w:p w14:paraId="1EAD8C3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个体工商户不按照规定场所从事制造、修理计量器具经营活动</w:t>
            </w:r>
          </w:p>
        </w:tc>
        <w:tc>
          <w:tcPr>
            <w:tcW w:w="2487" w:type="dxa"/>
            <w:vMerge w:val="restart"/>
            <w:tcBorders>
              <w:tl2br w:val="nil"/>
              <w:tr2bl w:val="nil"/>
            </w:tcBorders>
            <w:noWrap w:val="0"/>
            <w:vAlign w:val="center"/>
          </w:tcPr>
          <w:p w14:paraId="7FC670D9">
            <w:pPr>
              <w:widowControl/>
              <w:spacing w:line="320" w:lineRule="exact"/>
              <w:textAlignment w:val="center"/>
              <w:rPr>
                <w:rFonts w:hint="eastAsia" w:ascii="宋体" w:hAnsi="宋体" w:cs="宋体"/>
                <w:spacing w:val="-11"/>
                <w:szCs w:val="21"/>
              </w:rPr>
            </w:pPr>
            <w:r>
              <w:rPr>
                <w:rFonts w:ascii="宋体" w:hAnsi="宋体" w:cs="宋体"/>
                <w:spacing w:val="-11"/>
                <w:kern w:val="0"/>
                <w:szCs w:val="21"/>
                <w:lang w:val="en" w:bidi="ar"/>
              </w:rPr>
              <w:t>初次</w:t>
            </w:r>
            <w:r>
              <w:rPr>
                <w:rFonts w:hint="eastAsia" w:ascii="宋体" w:hAnsi="宋体" w:cs="宋体"/>
                <w:spacing w:val="-11"/>
                <w:kern w:val="0"/>
                <w:szCs w:val="21"/>
                <w:lang w:bidi="ar"/>
              </w:rPr>
              <w:t>被发现实施此类违法行为，已自行改正或者在市场监管部门规定的期限内改正，没有违法所得</w:t>
            </w:r>
          </w:p>
        </w:tc>
        <w:tc>
          <w:tcPr>
            <w:tcW w:w="9017" w:type="dxa"/>
            <w:tcBorders>
              <w:tl2br w:val="nil"/>
              <w:tr2bl w:val="nil"/>
            </w:tcBorders>
            <w:noWrap w:val="0"/>
            <w:vAlign w:val="center"/>
          </w:tcPr>
          <w:p w14:paraId="19DE54A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w:t>
            </w:r>
          </w:p>
        </w:tc>
      </w:tr>
      <w:tr w14:paraId="6415D7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1" w:hRule="atLeast"/>
          <w:jc w:val="center"/>
        </w:trPr>
        <w:tc>
          <w:tcPr>
            <w:tcW w:w="655" w:type="dxa"/>
            <w:vMerge w:val="continue"/>
            <w:tcBorders>
              <w:tl2br w:val="nil"/>
              <w:tr2bl w:val="nil"/>
            </w:tcBorders>
            <w:noWrap w:val="0"/>
            <w:vAlign w:val="center"/>
          </w:tcPr>
          <w:p w14:paraId="1EBFCEA8">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3A3F9AE8">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1CED4C4D">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68E1E8B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《计量法实施细则》第四十九条：“个体工商户制造、修理国家规定范围以外的计量器具或者不按照规定场所从事经营活动的，责令其停止制造、修理，没收全部违法所得，可并处以500元以下的罚款。”</w:t>
            </w:r>
          </w:p>
        </w:tc>
      </w:tr>
      <w:tr w14:paraId="04E33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62A8A962">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十三</w:t>
            </w:r>
          </w:p>
        </w:tc>
        <w:tc>
          <w:tcPr>
            <w:tcW w:w="13671" w:type="dxa"/>
            <w:gridSpan w:val="3"/>
            <w:tcBorders>
              <w:tl2br w:val="nil"/>
              <w:tr2bl w:val="nil"/>
            </w:tcBorders>
            <w:noWrap w:val="0"/>
            <w:vAlign w:val="center"/>
          </w:tcPr>
          <w:p w14:paraId="62A86DF3">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违反认证活动有关规定的行为</w:t>
            </w:r>
          </w:p>
        </w:tc>
      </w:tr>
      <w:tr w14:paraId="44FBCE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tcBorders>
              <w:tl2br w:val="nil"/>
              <w:tr2bl w:val="nil"/>
            </w:tcBorders>
            <w:noWrap w:val="0"/>
            <w:vAlign w:val="center"/>
          </w:tcPr>
          <w:p w14:paraId="4835A0D4">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83</w:t>
            </w:r>
          </w:p>
        </w:tc>
        <w:tc>
          <w:tcPr>
            <w:tcW w:w="2167" w:type="dxa"/>
            <w:tcBorders>
              <w:tl2br w:val="nil"/>
              <w:tr2bl w:val="nil"/>
            </w:tcBorders>
            <w:noWrap w:val="0"/>
            <w:vAlign w:val="center"/>
          </w:tcPr>
          <w:p w14:paraId="09EF794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获证产品及其销售包装上标注的认证证书所含内容与认证证书内容不一致</w:t>
            </w:r>
          </w:p>
        </w:tc>
        <w:tc>
          <w:tcPr>
            <w:tcW w:w="2487" w:type="dxa"/>
            <w:tcBorders>
              <w:tl2br w:val="nil"/>
              <w:tr2bl w:val="nil"/>
            </w:tcBorders>
            <w:noWrap w:val="0"/>
            <w:vAlign w:val="center"/>
          </w:tcPr>
          <w:p w14:paraId="519E0AD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423F0F6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强制性产品认证管理规定》第五十五条：“有下列情形之一的，由地方质检两局责令其限期改正，逾期未改正的，处2万元以下罚款：（一）违反本规定第二十三条规定，获证产品及其销售包装上标注的认证证书所含内容与认证证书内容不一致的；……”</w:t>
            </w:r>
          </w:p>
        </w:tc>
      </w:tr>
      <w:tr w14:paraId="0B3CD9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5" w:type="dxa"/>
            <w:tcBorders>
              <w:tl2br w:val="nil"/>
              <w:tr2bl w:val="nil"/>
            </w:tcBorders>
            <w:noWrap w:val="0"/>
            <w:vAlign w:val="center"/>
          </w:tcPr>
          <w:p w14:paraId="0AD7959F">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84</w:t>
            </w:r>
          </w:p>
        </w:tc>
        <w:tc>
          <w:tcPr>
            <w:tcW w:w="2167" w:type="dxa"/>
            <w:tcBorders>
              <w:tl2br w:val="nil"/>
              <w:tr2bl w:val="nil"/>
            </w:tcBorders>
            <w:noWrap w:val="0"/>
            <w:vAlign w:val="center"/>
          </w:tcPr>
          <w:p w14:paraId="1B45D8A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认证委托人未按照规定使用认证标志</w:t>
            </w:r>
          </w:p>
        </w:tc>
        <w:tc>
          <w:tcPr>
            <w:tcW w:w="2487" w:type="dxa"/>
            <w:tcBorders>
              <w:tl2br w:val="nil"/>
              <w:tr2bl w:val="nil"/>
            </w:tcBorders>
            <w:noWrap w:val="0"/>
            <w:vAlign w:val="center"/>
          </w:tcPr>
          <w:p w14:paraId="0BD3F7A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372C3EA9">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《强制性产品认证管理规定》第五十五条：“有下列情形之一的，由地方质检两局责令其限期改正，逾期未改正的，处2万元以下罚款：……（二）违反本规定第三十二条规定，未按照规定使用认证标志的。”</w:t>
            </w:r>
          </w:p>
        </w:tc>
      </w:tr>
      <w:tr w14:paraId="5B14B1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jc w:val="center"/>
        </w:trPr>
        <w:tc>
          <w:tcPr>
            <w:tcW w:w="655" w:type="dxa"/>
            <w:tcBorders>
              <w:tl2br w:val="nil"/>
              <w:tr2bl w:val="nil"/>
            </w:tcBorders>
            <w:noWrap w:val="0"/>
            <w:vAlign w:val="center"/>
          </w:tcPr>
          <w:p w14:paraId="4E4AF62B">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85</w:t>
            </w:r>
          </w:p>
        </w:tc>
        <w:tc>
          <w:tcPr>
            <w:tcW w:w="2167" w:type="dxa"/>
            <w:tcBorders>
              <w:tl2br w:val="nil"/>
              <w:tr2bl w:val="nil"/>
            </w:tcBorders>
            <w:noWrap w:val="0"/>
            <w:vAlign w:val="center"/>
          </w:tcPr>
          <w:p w14:paraId="6A9C2D1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已通过认证而混淆使用认证证书和认证标志</w:t>
            </w:r>
          </w:p>
        </w:tc>
        <w:tc>
          <w:tcPr>
            <w:tcW w:w="2487" w:type="dxa"/>
            <w:tcBorders>
              <w:tl2br w:val="nil"/>
              <w:tr2bl w:val="nil"/>
            </w:tcBorders>
            <w:noWrap w:val="0"/>
            <w:vAlign w:val="center"/>
          </w:tcPr>
          <w:p w14:paraId="7DCE7A4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07791FB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《认证证书和认证标志管理办法》第二十五条第一款：“违反本办法第十二条规定，对混淆使用认证证书和认证标志的，地方认证监督管理部门应当责令其限期改正，逾期不改的处以2万元以下罚款。”</w:t>
            </w:r>
          </w:p>
        </w:tc>
      </w:tr>
      <w:tr w14:paraId="797E0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655" w:type="dxa"/>
            <w:vMerge w:val="restart"/>
            <w:tcBorders>
              <w:tl2br w:val="nil"/>
              <w:tr2bl w:val="nil"/>
            </w:tcBorders>
            <w:noWrap w:val="0"/>
            <w:vAlign w:val="center"/>
          </w:tcPr>
          <w:p w14:paraId="231209A8">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86</w:t>
            </w:r>
          </w:p>
        </w:tc>
        <w:tc>
          <w:tcPr>
            <w:tcW w:w="2167" w:type="dxa"/>
            <w:vMerge w:val="restart"/>
            <w:tcBorders>
              <w:tl2br w:val="nil"/>
              <w:tr2bl w:val="nil"/>
            </w:tcBorders>
            <w:noWrap w:val="0"/>
            <w:vAlign w:val="center"/>
          </w:tcPr>
          <w:p w14:paraId="4B11401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认证机构增加、减少、遗漏程序要求</w:t>
            </w:r>
          </w:p>
        </w:tc>
        <w:tc>
          <w:tcPr>
            <w:tcW w:w="2487" w:type="dxa"/>
            <w:vMerge w:val="restart"/>
            <w:tcBorders>
              <w:tl2br w:val="nil"/>
              <w:tr2bl w:val="nil"/>
            </w:tcBorders>
            <w:noWrap w:val="0"/>
            <w:vAlign w:val="center"/>
          </w:tcPr>
          <w:p w14:paraId="65B70CB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情节轻微且不影响认证结论的客观、真实或者认证有效性，已自行改正或者在市场监管部门规定的期限内改正</w:t>
            </w:r>
          </w:p>
        </w:tc>
        <w:tc>
          <w:tcPr>
            <w:tcW w:w="9017" w:type="dxa"/>
            <w:tcBorders>
              <w:tl2br w:val="nil"/>
              <w:tr2bl w:val="nil"/>
            </w:tcBorders>
            <w:noWrap w:val="0"/>
            <w:vAlign w:val="center"/>
          </w:tcPr>
          <w:p w14:paraId="4B587B9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 xml:space="preserve">《认证认可条例》第六十条：“认证机构有下列情形之一的，责令改正，处5万元以上20万元以下的罚款，有违法所得的，没收违法所得；情节严重的，责令停业整顿，直至撤销批准文件，并予公布： ……” </w:t>
            </w:r>
          </w:p>
        </w:tc>
      </w:tr>
      <w:tr w14:paraId="72452C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jc w:val="center"/>
        </w:trPr>
        <w:tc>
          <w:tcPr>
            <w:tcW w:w="655" w:type="dxa"/>
            <w:vMerge w:val="continue"/>
            <w:tcBorders>
              <w:tl2br w:val="nil"/>
              <w:tr2bl w:val="nil"/>
            </w:tcBorders>
            <w:noWrap w:val="0"/>
            <w:vAlign w:val="center"/>
          </w:tcPr>
          <w:p w14:paraId="4A75055C">
            <w:pPr>
              <w:widowControl/>
              <w:spacing w:line="320" w:lineRule="exact"/>
              <w:textAlignment w:val="center"/>
              <w:rPr>
                <w:szCs w:val="21"/>
              </w:rPr>
            </w:pPr>
          </w:p>
        </w:tc>
        <w:tc>
          <w:tcPr>
            <w:tcW w:w="2167" w:type="dxa"/>
            <w:vMerge w:val="continue"/>
            <w:tcBorders>
              <w:tl2br w:val="nil"/>
              <w:tr2bl w:val="nil"/>
            </w:tcBorders>
            <w:noWrap w:val="0"/>
            <w:vAlign w:val="center"/>
          </w:tcPr>
          <w:p w14:paraId="368026A2">
            <w:pPr>
              <w:widowControl/>
              <w:spacing w:line="320" w:lineRule="exact"/>
              <w:textAlignment w:val="center"/>
              <w:rPr>
                <w:szCs w:val="21"/>
              </w:rPr>
            </w:pPr>
          </w:p>
        </w:tc>
        <w:tc>
          <w:tcPr>
            <w:tcW w:w="2487" w:type="dxa"/>
            <w:vMerge w:val="continue"/>
            <w:tcBorders>
              <w:tl2br w:val="nil"/>
              <w:tr2bl w:val="nil"/>
            </w:tcBorders>
            <w:noWrap w:val="0"/>
            <w:vAlign w:val="center"/>
          </w:tcPr>
          <w:p w14:paraId="66D8382B">
            <w:pPr>
              <w:widowControl/>
              <w:spacing w:line="320" w:lineRule="exact"/>
              <w:textAlignment w:val="center"/>
              <w:rPr>
                <w:szCs w:val="21"/>
              </w:rPr>
            </w:pPr>
          </w:p>
        </w:tc>
        <w:tc>
          <w:tcPr>
            <w:tcW w:w="9017" w:type="dxa"/>
            <w:tcBorders>
              <w:tl2br w:val="nil"/>
              <w:tr2bl w:val="nil"/>
            </w:tcBorders>
            <w:noWrap w:val="0"/>
            <w:vAlign w:val="center"/>
          </w:tcPr>
          <w:p w14:paraId="0D4ACB4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认证机构管理办法》第三十九条：“认证机构违反本办法第十六条规定，增加、减少、遗漏程序要求的，依照《认证认可条例》第六十条的规定进行处罚。认证机构被责令停业整顿的，停业整顿期限为6个月，期间不得从事认证活动。    认证机构增加、减少、遗漏程序要求，情节轻微且不影响认证结论的客观、真实或者认证有效性的，应当责令其限期改正。逾期未改正或者经改正仍不符合要求的，依照前款规定进行处罚。”</w:t>
            </w:r>
          </w:p>
        </w:tc>
      </w:tr>
      <w:tr w14:paraId="1C1A51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077C4A9E">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十四</w:t>
            </w:r>
          </w:p>
        </w:tc>
        <w:tc>
          <w:tcPr>
            <w:tcW w:w="13671" w:type="dxa"/>
            <w:gridSpan w:val="3"/>
            <w:tcBorders>
              <w:tl2br w:val="nil"/>
              <w:tr2bl w:val="nil"/>
            </w:tcBorders>
            <w:noWrap w:val="0"/>
            <w:vAlign w:val="center"/>
          </w:tcPr>
          <w:p w14:paraId="0AF0D3CD">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违反产品质量有关规定的行为</w:t>
            </w:r>
          </w:p>
        </w:tc>
      </w:tr>
      <w:tr w14:paraId="1B0A6E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655" w:type="dxa"/>
            <w:tcBorders>
              <w:tl2br w:val="nil"/>
              <w:tr2bl w:val="nil"/>
            </w:tcBorders>
            <w:noWrap w:val="0"/>
            <w:vAlign w:val="center"/>
          </w:tcPr>
          <w:p w14:paraId="15C21516">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87</w:t>
            </w:r>
          </w:p>
        </w:tc>
        <w:tc>
          <w:tcPr>
            <w:tcW w:w="2167" w:type="dxa"/>
            <w:tcBorders>
              <w:tl2br w:val="nil"/>
              <w:tr2bl w:val="nil"/>
            </w:tcBorders>
            <w:noWrap w:val="0"/>
            <w:vAlign w:val="center"/>
          </w:tcPr>
          <w:p w14:paraId="0A969AE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生产者和其他经营者未依法实施消费品召回</w:t>
            </w:r>
          </w:p>
        </w:tc>
        <w:tc>
          <w:tcPr>
            <w:tcW w:w="2487" w:type="dxa"/>
            <w:tcBorders>
              <w:tl2br w:val="nil"/>
              <w:tr2bl w:val="nil"/>
            </w:tcBorders>
            <w:noWrap w:val="0"/>
            <w:vAlign w:val="center"/>
          </w:tcPr>
          <w:p w14:paraId="05F749D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6C1428D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消费品召回管理暂行规定》第二十五条：“生产者和其他经营者违反本规定第八条第一款、第十一条第二款、第十五条至第十七条、第十九条第二款、第二十条、第二十一条规定，由省级市场监督管理部门责令限期改正；逾期未改正的，处一万元以上三万元以下罚款；涉嫌构成犯罪，依法需要追究刑事责任的，按照有关规定移送公安机关。”</w:t>
            </w:r>
          </w:p>
        </w:tc>
      </w:tr>
      <w:tr w14:paraId="462A5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655" w:type="dxa"/>
            <w:tcBorders>
              <w:tl2br w:val="nil"/>
              <w:tr2bl w:val="nil"/>
            </w:tcBorders>
            <w:noWrap w:val="0"/>
            <w:vAlign w:val="center"/>
          </w:tcPr>
          <w:p w14:paraId="3D801172">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88</w:t>
            </w:r>
          </w:p>
        </w:tc>
        <w:tc>
          <w:tcPr>
            <w:tcW w:w="2167" w:type="dxa"/>
            <w:tcBorders>
              <w:tl2br w:val="nil"/>
              <w:tr2bl w:val="nil"/>
            </w:tcBorders>
            <w:noWrap w:val="0"/>
            <w:vAlign w:val="center"/>
          </w:tcPr>
          <w:p w14:paraId="07F1D1B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汽车生产商未按规定更新备案信息、提交调查分析结果、保存汽车产品召回记录或者发布缺陷汽车产品信息和召回信息</w:t>
            </w:r>
          </w:p>
        </w:tc>
        <w:tc>
          <w:tcPr>
            <w:tcW w:w="2487" w:type="dxa"/>
            <w:tcBorders>
              <w:tl2br w:val="nil"/>
              <w:tr2bl w:val="nil"/>
            </w:tcBorders>
            <w:noWrap w:val="0"/>
            <w:vAlign w:val="center"/>
          </w:tcPr>
          <w:p w14:paraId="156E07F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已自行改正或者在市场监管部门规定的期限内改正</w:t>
            </w:r>
          </w:p>
        </w:tc>
        <w:tc>
          <w:tcPr>
            <w:tcW w:w="9017" w:type="dxa"/>
            <w:tcBorders>
              <w:tl2br w:val="nil"/>
              <w:tr2bl w:val="nil"/>
            </w:tcBorders>
            <w:noWrap w:val="0"/>
            <w:vAlign w:val="center"/>
          </w:tcPr>
          <w:p w14:paraId="439CF2C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缺陷汽车产品召回管理条例实施办法》第三十五条：“生产者违反本办法规定，有下列行为之一的，责令限期改正；逾期未改正的，处以1万元以上3万元以下罚款：（一）未按规定更新备案信息的；（二）未按规定提交调查分析结果的；（三）未按规定保存汽车产品召回记录的；（四）未按规定发布缺陷汽车产品信息和召回信息的。”</w:t>
            </w:r>
          </w:p>
        </w:tc>
      </w:tr>
      <w:tr w14:paraId="4F2042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 w:hRule="atLeast"/>
          <w:jc w:val="center"/>
        </w:trPr>
        <w:tc>
          <w:tcPr>
            <w:tcW w:w="655" w:type="dxa"/>
            <w:vMerge w:val="restart"/>
            <w:tcBorders>
              <w:tl2br w:val="nil"/>
              <w:tr2bl w:val="nil"/>
            </w:tcBorders>
            <w:noWrap w:val="0"/>
            <w:vAlign w:val="center"/>
          </w:tcPr>
          <w:p w14:paraId="028B1AF0">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89</w:t>
            </w:r>
          </w:p>
        </w:tc>
        <w:tc>
          <w:tcPr>
            <w:tcW w:w="2167" w:type="dxa"/>
            <w:vMerge w:val="restart"/>
            <w:tcBorders>
              <w:tl2br w:val="nil"/>
              <w:tr2bl w:val="nil"/>
            </w:tcBorders>
            <w:noWrap w:val="0"/>
            <w:vAlign w:val="center"/>
          </w:tcPr>
          <w:p w14:paraId="0F964E15">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产品标识不符合法律规定</w:t>
            </w:r>
          </w:p>
        </w:tc>
        <w:tc>
          <w:tcPr>
            <w:tcW w:w="2487" w:type="dxa"/>
            <w:vMerge w:val="restart"/>
            <w:tcBorders>
              <w:tl2br w:val="nil"/>
              <w:tr2bl w:val="nil"/>
            </w:tcBorders>
            <w:noWrap w:val="0"/>
            <w:vAlign w:val="center"/>
          </w:tcPr>
          <w:p w14:paraId="15326D6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没有违法所得，已自行改正或者在市场监管部门规定的期限内改正</w:t>
            </w:r>
          </w:p>
        </w:tc>
        <w:tc>
          <w:tcPr>
            <w:tcW w:w="9017" w:type="dxa"/>
            <w:tcBorders>
              <w:tl2br w:val="nil"/>
              <w:tr2bl w:val="nil"/>
            </w:tcBorders>
            <w:noWrap w:val="0"/>
            <w:vAlign w:val="center"/>
          </w:tcPr>
          <w:p w14:paraId="0E6089E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《中华人民共和国产品质量法》</w:t>
            </w:r>
            <w:r>
              <w:rPr>
                <w:rFonts w:hint="eastAsia" w:ascii="宋体" w:hAnsi="宋体" w:cs="宋体"/>
                <w:spacing w:val="-11"/>
                <w:kern w:val="0"/>
                <w:szCs w:val="21"/>
                <w:lang w:bidi="ar"/>
              </w:rPr>
              <w:t>第二十七条：产品或者其包装上的标识必须真实，并符合下列要求：“</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一</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有产品质量检验合格证明；</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二</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有中文标明的产品名称、生产厂厂名和厂址；</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三</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根据产品的特点和使用要求，需要标明产品规格、等级、所含</w:t>
            </w:r>
            <w:r>
              <w:rPr>
                <w:rFonts w:hint="eastAsia" w:ascii="宋体" w:hAnsi="宋体" w:cs="宋体"/>
                <w:spacing w:val="-11"/>
                <w:kern w:val="0"/>
                <w:szCs w:val="21"/>
                <w:lang w:eastAsia="zh-CN" w:bidi="ar"/>
              </w:rPr>
              <w:t>主要成分</w:t>
            </w:r>
            <w:r>
              <w:rPr>
                <w:rFonts w:hint="eastAsia" w:ascii="宋体" w:hAnsi="宋体" w:cs="宋体"/>
                <w:spacing w:val="-11"/>
                <w:kern w:val="0"/>
                <w:szCs w:val="21"/>
                <w:lang w:bidi="ar"/>
              </w:rPr>
              <w:t>的名称和含量的，用中文相应予以标明；需要事先让消费者知晓的，应当在外包装上标明，或者预先向消费者提供有关资料；……”</w:t>
            </w:r>
          </w:p>
        </w:tc>
      </w:tr>
      <w:tr w14:paraId="133C7E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jc w:val="center"/>
        </w:trPr>
        <w:tc>
          <w:tcPr>
            <w:tcW w:w="655" w:type="dxa"/>
            <w:vMerge w:val="continue"/>
            <w:tcBorders>
              <w:tl2br w:val="nil"/>
              <w:tr2bl w:val="nil"/>
            </w:tcBorders>
            <w:noWrap w:val="0"/>
            <w:vAlign w:val="center"/>
          </w:tcPr>
          <w:p w14:paraId="68E5DAAC">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13E2E133">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44B6ED0D">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7C9758C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《中华人民共和国产品质量法》</w:t>
            </w:r>
            <w:r>
              <w:rPr>
                <w:rFonts w:hint="eastAsia" w:ascii="宋体" w:hAnsi="宋体" w:cs="宋体"/>
                <w:spacing w:val="-11"/>
                <w:kern w:val="0"/>
                <w:szCs w:val="21"/>
                <w:lang w:bidi="ar"/>
              </w:rPr>
              <w:t>第五十四条：“产品标识不符合本法第二十七条规定的，责令改正；……有违法所得的，并处没收违法所得。”</w:t>
            </w:r>
          </w:p>
        </w:tc>
      </w:tr>
      <w:tr w14:paraId="4481C9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jc w:val="center"/>
        </w:trPr>
        <w:tc>
          <w:tcPr>
            <w:tcW w:w="655" w:type="dxa"/>
            <w:vMerge w:val="restart"/>
            <w:tcBorders>
              <w:tl2br w:val="nil"/>
              <w:tr2bl w:val="nil"/>
            </w:tcBorders>
            <w:noWrap w:val="0"/>
            <w:vAlign w:val="center"/>
          </w:tcPr>
          <w:p w14:paraId="39BFFC15">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90</w:t>
            </w:r>
          </w:p>
        </w:tc>
        <w:tc>
          <w:tcPr>
            <w:tcW w:w="2167" w:type="dxa"/>
            <w:vMerge w:val="restart"/>
            <w:tcBorders>
              <w:tl2br w:val="nil"/>
              <w:tr2bl w:val="nil"/>
            </w:tcBorders>
            <w:noWrap w:val="0"/>
            <w:vAlign w:val="center"/>
          </w:tcPr>
          <w:p w14:paraId="019E4C8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服务业的经营者将禁止销售的产品用于经营性服务</w:t>
            </w:r>
          </w:p>
        </w:tc>
        <w:tc>
          <w:tcPr>
            <w:tcW w:w="2487" w:type="dxa"/>
            <w:vMerge w:val="restart"/>
            <w:tcBorders>
              <w:tl2br w:val="nil"/>
              <w:tr2bl w:val="nil"/>
            </w:tcBorders>
            <w:noWrap w:val="0"/>
            <w:vAlign w:val="center"/>
          </w:tcPr>
          <w:p w14:paraId="50D379A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有充分证据证明其不知道该产品为禁止销售的产品并如实说明其进货来源，已自行改正或者在市场监管部门规定的期限内改正</w:t>
            </w:r>
          </w:p>
        </w:tc>
        <w:tc>
          <w:tcPr>
            <w:tcW w:w="9017" w:type="dxa"/>
            <w:tcBorders>
              <w:tl2br w:val="nil"/>
              <w:tr2bl w:val="nil"/>
            </w:tcBorders>
            <w:noWrap w:val="0"/>
            <w:vAlign w:val="center"/>
          </w:tcPr>
          <w:p w14:paraId="00F937E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第三十三条第二款：“当事人有证据足以证明没有主观过错的，不予行政处罚。法律、行政法规另有规定的，从其规定。”</w:t>
            </w:r>
          </w:p>
        </w:tc>
      </w:tr>
      <w:tr w14:paraId="72E716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8" w:hRule="atLeast"/>
          <w:jc w:val="center"/>
        </w:trPr>
        <w:tc>
          <w:tcPr>
            <w:tcW w:w="655" w:type="dxa"/>
            <w:vMerge w:val="continue"/>
            <w:tcBorders>
              <w:tl2br w:val="nil"/>
              <w:tr2bl w:val="nil"/>
            </w:tcBorders>
            <w:noWrap w:val="0"/>
            <w:vAlign w:val="center"/>
          </w:tcPr>
          <w:p w14:paraId="5A29A739">
            <w:pPr>
              <w:spacing w:line="320" w:lineRule="exact"/>
              <w:jc w:val="center"/>
              <w:rPr>
                <w:rFonts w:hint="eastAsia" w:ascii="宋体" w:hAnsi="宋体" w:cs="宋体"/>
                <w:spacing w:val="-11"/>
                <w:szCs w:val="21"/>
              </w:rPr>
            </w:pPr>
          </w:p>
        </w:tc>
        <w:tc>
          <w:tcPr>
            <w:tcW w:w="2167" w:type="dxa"/>
            <w:vMerge w:val="continue"/>
            <w:tcBorders>
              <w:tl2br w:val="nil"/>
              <w:tr2bl w:val="nil"/>
            </w:tcBorders>
            <w:noWrap w:val="0"/>
            <w:vAlign w:val="center"/>
          </w:tcPr>
          <w:p w14:paraId="119FB3CF">
            <w:pPr>
              <w:spacing w:line="320" w:lineRule="exact"/>
              <w:rPr>
                <w:rFonts w:hint="eastAsia" w:ascii="宋体" w:hAnsi="宋体" w:cs="宋体"/>
                <w:spacing w:val="-11"/>
                <w:szCs w:val="21"/>
              </w:rPr>
            </w:pPr>
          </w:p>
        </w:tc>
        <w:tc>
          <w:tcPr>
            <w:tcW w:w="2487" w:type="dxa"/>
            <w:vMerge w:val="continue"/>
            <w:tcBorders>
              <w:tl2br w:val="nil"/>
              <w:tr2bl w:val="nil"/>
            </w:tcBorders>
            <w:noWrap w:val="0"/>
            <w:vAlign w:val="center"/>
          </w:tcPr>
          <w:p w14:paraId="2BC2EEA7">
            <w:pPr>
              <w:spacing w:line="320" w:lineRule="exact"/>
              <w:rPr>
                <w:rFonts w:hint="eastAsia" w:ascii="宋体" w:hAnsi="宋体" w:cs="宋体"/>
                <w:spacing w:val="-11"/>
                <w:szCs w:val="21"/>
              </w:rPr>
            </w:pPr>
          </w:p>
        </w:tc>
        <w:tc>
          <w:tcPr>
            <w:tcW w:w="9017" w:type="dxa"/>
            <w:tcBorders>
              <w:tl2br w:val="nil"/>
              <w:tr2bl w:val="nil"/>
            </w:tcBorders>
            <w:noWrap w:val="0"/>
            <w:vAlign w:val="center"/>
          </w:tcPr>
          <w:p w14:paraId="79E8DB9A">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《中华人民共和国产品质量法》</w:t>
            </w:r>
            <w:r>
              <w:rPr>
                <w:rFonts w:hint="eastAsia" w:ascii="宋体" w:hAnsi="宋体" w:cs="宋体"/>
                <w:spacing w:val="-11"/>
                <w:kern w:val="0"/>
                <w:szCs w:val="21"/>
                <w:lang w:bidi="ar"/>
              </w:rPr>
              <w:t>第六十二条：“服务业的经营者将本法第四十九条至第五十二条规定禁止销售的产品用于经营性服务的，责令停止使用；对知道或者应当知道所使用的产品属于本法规定禁止销售的产品的，按照违法使用的产品</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包括已使用和尚未使用的产品</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的货值金额，依照本法对销售者的处罚规定处罚。”</w:t>
            </w:r>
          </w:p>
        </w:tc>
      </w:tr>
      <w:tr w14:paraId="3ECD44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55" w:type="dxa"/>
            <w:tcBorders>
              <w:tl2br w:val="nil"/>
              <w:tr2bl w:val="nil"/>
            </w:tcBorders>
            <w:noWrap w:val="0"/>
            <w:vAlign w:val="center"/>
          </w:tcPr>
          <w:p w14:paraId="0E711E89">
            <w:pPr>
              <w:widowControl/>
              <w:spacing w:line="320" w:lineRule="exact"/>
              <w:jc w:val="center"/>
              <w:textAlignment w:val="center"/>
              <w:rPr>
                <w:rFonts w:hint="eastAsia" w:ascii="宋体" w:hAnsi="宋体" w:cs="宋体"/>
                <w:b/>
                <w:spacing w:val="-11"/>
                <w:szCs w:val="21"/>
              </w:rPr>
            </w:pPr>
            <w:r>
              <w:rPr>
                <w:rFonts w:hint="eastAsia" w:ascii="宋体" w:hAnsi="宋体" w:cs="宋体"/>
                <w:b/>
                <w:spacing w:val="-11"/>
                <w:kern w:val="0"/>
                <w:szCs w:val="21"/>
                <w:lang w:bidi="ar"/>
              </w:rPr>
              <w:t>十五</w:t>
            </w:r>
          </w:p>
        </w:tc>
        <w:tc>
          <w:tcPr>
            <w:tcW w:w="13671" w:type="dxa"/>
            <w:gridSpan w:val="3"/>
            <w:tcBorders>
              <w:tl2br w:val="nil"/>
              <w:tr2bl w:val="nil"/>
            </w:tcBorders>
            <w:noWrap w:val="0"/>
            <w:vAlign w:val="center"/>
          </w:tcPr>
          <w:p w14:paraId="77E5A691">
            <w:pPr>
              <w:widowControl/>
              <w:spacing w:line="320" w:lineRule="exact"/>
              <w:textAlignment w:val="center"/>
              <w:rPr>
                <w:rFonts w:hint="eastAsia" w:ascii="宋体" w:hAnsi="宋体" w:cs="宋体"/>
                <w:b/>
                <w:spacing w:val="-11"/>
                <w:szCs w:val="21"/>
              </w:rPr>
            </w:pPr>
            <w:r>
              <w:rPr>
                <w:rFonts w:hint="eastAsia" w:ascii="宋体" w:hAnsi="宋体" w:cs="宋体"/>
                <w:b/>
                <w:spacing w:val="-11"/>
                <w:kern w:val="0"/>
                <w:szCs w:val="21"/>
                <w:lang w:bidi="ar"/>
              </w:rPr>
              <w:t>违反药品管理有关规定的行为</w:t>
            </w:r>
          </w:p>
        </w:tc>
      </w:tr>
      <w:tr w14:paraId="5DDFD5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7" w:hRule="atLeast"/>
          <w:jc w:val="center"/>
        </w:trPr>
        <w:tc>
          <w:tcPr>
            <w:tcW w:w="655" w:type="dxa"/>
            <w:tcBorders>
              <w:tl2br w:val="nil"/>
              <w:tr2bl w:val="nil"/>
            </w:tcBorders>
            <w:shd w:val="clear" w:color="auto" w:fill="FFFFFF"/>
            <w:noWrap w:val="0"/>
            <w:vAlign w:val="center"/>
          </w:tcPr>
          <w:p w14:paraId="7C33B80F">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91</w:t>
            </w:r>
          </w:p>
        </w:tc>
        <w:tc>
          <w:tcPr>
            <w:tcW w:w="2167" w:type="dxa"/>
            <w:tcBorders>
              <w:tl2br w:val="nil"/>
              <w:tr2bl w:val="nil"/>
            </w:tcBorders>
            <w:shd w:val="clear" w:color="auto" w:fill="FFFFFF"/>
            <w:noWrap w:val="0"/>
            <w:vAlign w:val="center"/>
          </w:tcPr>
          <w:p w14:paraId="602229F4">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药品标签或者说明书印制时存在瑕疵</w:t>
            </w:r>
          </w:p>
        </w:tc>
        <w:tc>
          <w:tcPr>
            <w:tcW w:w="2487" w:type="dxa"/>
            <w:tcBorders>
              <w:tl2br w:val="nil"/>
              <w:tr2bl w:val="nil"/>
            </w:tcBorders>
            <w:shd w:val="clear" w:color="auto" w:fill="FFFFFF"/>
            <w:noWrap w:val="0"/>
            <w:vAlign w:val="center"/>
          </w:tcPr>
          <w:p w14:paraId="3F4675B1">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除按假、劣药处罚外，无主观故意，未造成危害后果，不影响用药安全有效，</w:t>
            </w:r>
            <w:r>
              <w:rPr>
                <w:rStyle w:val="13"/>
                <w:rFonts w:hint="default"/>
                <w:color w:val="auto"/>
                <w:spacing w:val="-11"/>
                <w:sz w:val="21"/>
                <w:szCs w:val="21"/>
                <w:lang w:bidi="ar"/>
              </w:rPr>
              <w:t>且不会对消费者造成误导；主动改正或者由药品监管部门责令改正。</w:t>
            </w:r>
          </w:p>
        </w:tc>
        <w:tc>
          <w:tcPr>
            <w:tcW w:w="9017" w:type="dxa"/>
            <w:tcBorders>
              <w:tl2br w:val="nil"/>
              <w:tr2bl w:val="nil"/>
            </w:tcBorders>
            <w:shd w:val="clear" w:color="auto" w:fill="FFFFFF"/>
            <w:noWrap w:val="0"/>
            <w:vAlign w:val="center"/>
          </w:tcPr>
          <w:p w14:paraId="1A42ED5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《中华人民共和国药品管理法》</w:t>
            </w:r>
            <w:r>
              <w:rPr>
                <w:rFonts w:hint="eastAsia" w:ascii="宋体" w:hAnsi="宋体" w:cs="宋体"/>
                <w:spacing w:val="-11"/>
                <w:kern w:val="0"/>
                <w:szCs w:val="21"/>
                <w:lang w:bidi="ar"/>
              </w:rPr>
              <w:t>第一百二十八条：“除依法应当按照假药、劣药处罚的外，药品包装未按照规定印有、贴有标签或者附有说明书，标签、说明书未按照规定注明相关信息或者印有规定标志的，责令改正，给予警告；情节严重的，吊销药品注册证书。”</w:t>
            </w:r>
          </w:p>
        </w:tc>
      </w:tr>
      <w:tr w14:paraId="53130B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655" w:type="dxa"/>
            <w:tcBorders>
              <w:tl2br w:val="nil"/>
              <w:tr2bl w:val="nil"/>
            </w:tcBorders>
            <w:shd w:val="clear" w:color="auto" w:fill="FFFFFF"/>
            <w:noWrap w:val="0"/>
            <w:vAlign w:val="center"/>
          </w:tcPr>
          <w:p w14:paraId="72A1D7A3">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92</w:t>
            </w:r>
          </w:p>
        </w:tc>
        <w:tc>
          <w:tcPr>
            <w:tcW w:w="2167" w:type="dxa"/>
            <w:tcBorders>
              <w:tl2br w:val="nil"/>
              <w:tr2bl w:val="nil"/>
            </w:tcBorders>
            <w:shd w:val="clear" w:color="auto" w:fill="FFFFFF"/>
            <w:noWrap w:val="0"/>
            <w:vAlign w:val="center"/>
          </w:tcPr>
          <w:p w14:paraId="4F8218E3">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药品经营企业购销药品，没有及时登记购销记录</w:t>
            </w:r>
          </w:p>
        </w:tc>
        <w:tc>
          <w:tcPr>
            <w:tcW w:w="2487" w:type="dxa"/>
            <w:tcBorders>
              <w:tl2br w:val="nil"/>
              <w:tr2bl w:val="nil"/>
            </w:tcBorders>
            <w:shd w:val="clear" w:color="auto" w:fill="FFFFFF"/>
            <w:noWrap w:val="0"/>
            <w:vAlign w:val="center"/>
          </w:tcPr>
          <w:p w14:paraId="04A7368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情节轻微，索证索票齐全、不影响追溯，未造成危害后果；主动改正或者由药品监管部门责令改正。</w:t>
            </w:r>
          </w:p>
        </w:tc>
        <w:tc>
          <w:tcPr>
            <w:tcW w:w="9017" w:type="dxa"/>
            <w:tcBorders>
              <w:tl2br w:val="nil"/>
              <w:tr2bl w:val="nil"/>
            </w:tcBorders>
            <w:shd w:val="clear" w:color="auto" w:fill="FFFFFF"/>
            <w:noWrap w:val="0"/>
            <w:vAlign w:val="center"/>
          </w:tcPr>
          <w:p w14:paraId="1751C8D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《中华人民共和国药品管理法》</w:t>
            </w:r>
            <w:r>
              <w:rPr>
                <w:rFonts w:hint="eastAsia" w:ascii="宋体" w:hAnsi="宋体" w:cs="宋体"/>
                <w:spacing w:val="-11"/>
                <w:kern w:val="0"/>
                <w:szCs w:val="21"/>
                <w:lang w:bidi="ar"/>
              </w:rPr>
              <w:t>第一百三十条：“违反本法规定，药品经营企业购销药品未按照规定进行记录，零售药品未正确说明用法、用量等事项，或者未按照规定调配处方的，责令改正，给予警告；情节严重的，吊销药品经营许可证。”</w:t>
            </w:r>
          </w:p>
        </w:tc>
      </w:tr>
      <w:tr w14:paraId="26338A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5" w:hRule="atLeast"/>
          <w:jc w:val="center"/>
        </w:trPr>
        <w:tc>
          <w:tcPr>
            <w:tcW w:w="655" w:type="dxa"/>
            <w:tcBorders>
              <w:tl2br w:val="nil"/>
              <w:tr2bl w:val="nil"/>
            </w:tcBorders>
            <w:shd w:val="clear" w:color="auto" w:fill="FFFFFF"/>
            <w:noWrap w:val="0"/>
            <w:vAlign w:val="center"/>
          </w:tcPr>
          <w:p w14:paraId="6C929E2F">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93</w:t>
            </w:r>
          </w:p>
        </w:tc>
        <w:tc>
          <w:tcPr>
            <w:tcW w:w="2167" w:type="dxa"/>
            <w:tcBorders>
              <w:tl2br w:val="nil"/>
              <w:tr2bl w:val="nil"/>
            </w:tcBorders>
            <w:shd w:val="clear" w:color="auto" w:fill="FFFFFF"/>
            <w:noWrap w:val="0"/>
            <w:vAlign w:val="center"/>
          </w:tcPr>
          <w:p w14:paraId="3F746B3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药品经营企业、医疗机构未按照规定报告疑似药品不良反应</w:t>
            </w:r>
          </w:p>
        </w:tc>
        <w:tc>
          <w:tcPr>
            <w:tcW w:w="2487" w:type="dxa"/>
            <w:tcBorders>
              <w:tl2br w:val="nil"/>
              <w:tr2bl w:val="nil"/>
            </w:tcBorders>
            <w:shd w:val="clear" w:color="auto" w:fill="FFFFFF"/>
            <w:noWrap w:val="0"/>
            <w:vAlign w:val="center"/>
          </w:tcPr>
          <w:p w14:paraId="64478F0C">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初次实施此类违法行为，情节轻微，未造成危害后果；主动改正或者由药品监管部门责令改正。</w:t>
            </w:r>
          </w:p>
        </w:tc>
        <w:tc>
          <w:tcPr>
            <w:tcW w:w="9017" w:type="dxa"/>
            <w:tcBorders>
              <w:tl2br w:val="nil"/>
              <w:tr2bl w:val="nil"/>
            </w:tcBorders>
            <w:shd w:val="clear" w:color="auto" w:fill="FFFFFF"/>
            <w:noWrap w:val="0"/>
            <w:vAlign w:val="center"/>
          </w:tcPr>
          <w:p w14:paraId="564F1EB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《中华人民共和国药品管理法》</w:t>
            </w:r>
            <w:r>
              <w:rPr>
                <w:rFonts w:hint="eastAsia" w:ascii="宋体" w:hAnsi="宋体" w:cs="宋体"/>
                <w:spacing w:val="-11"/>
                <w:kern w:val="0"/>
                <w:szCs w:val="21"/>
                <w:lang w:bidi="ar"/>
              </w:rPr>
              <w:t>第一百三十四条：“药品经营企业未按照规定报告疑似药品不良反应的，责令限期改正，给予警告；逾期不改正的，责令停产停业整顿，并处五万元以上五十万元以下的罚款。……医疗机构未按照规定报告疑似药品不良反应的，责令限期改正，给予警告；逾期不改正的，处五万元以上五十万元以下的罚款。”</w:t>
            </w:r>
          </w:p>
        </w:tc>
      </w:tr>
      <w:tr w14:paraId="3568E1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5" w:hRule="atLeast"/>
          <w:jc w:val="center"/>
        </w:trPr>
        <w:tc>
          <w:tcPr>
            <w:tcW w:w="655" w:type="dxa"/>
            <w:tcBorders>
              <w:tl2br w:val="nil"/>
              <w:tr2bl w:val="nil"/>
            </w:tcBorders>
            <w:shd w:val="clear" w:color="auto" w:fill="FFFFFF"/>
            <w:noWrap w:val="0"/>
            <w:vAlign w:val="center"/>
          </w:tcPr>
          <w:p w14:paraId="37E22E17">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94</w:t>
            </w:r>
          </w:p>
        </w:tc>
        <w:tc>
          <w:tcPr>
            <w:tcW w:w="2167" w:type="dxa"/>
            <w:tcBorders>
              <w:tl2br w:val="nil"/>
              <w:tr2bl w:val="nil"/>
            </w:tcBorders>
            <w:shd w:val="clear" w:color="auto" w:fill="FFFFFF"/>
            <w:noWrap w:val="0"/>
            <w:vAlign w:val="center"/>
          </w:tcPr>
          <w:p w14:paraId="0B5E9F6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药品上市许可持有人未按照规定提交年度报告</w:t>
            </w:r>
          </w:p>
        </w:tc>
        <w:tc>
          <w:tcPr>
            <w:tcW w:w="2487" w:type="dxa"/>
            <w:tcBorders>
              <w:tl2br w:val="nil"/>
              <w:tr2bl w:val="nil"/>
            </w:tcBorders>
            <w:shd w:val="clear" w:color="auto" w:fill="FFFFFF"/>
            <w:noWrap w:val="0"/>
            <w:vAlign w:val="center"/>
          </w:tcPr>
          <w:p w14:paraId="7EB5501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初次实施此类违法行为，情节轻微，未造成危害后果；主动改正或者由药品监管部门责令改正。</w:t>
            </w:r>
          </w:p>
        </w:tc>
        <w:tc>
          <w:tcPr>
            <w:tcW w:w="9017" w:type="dxa"/>
            <w:tcBorders>
              <w:tl2br w:val="nil"/>
              <w:tr2bl w:val="nil"/>
            </w:tcBorders>
            <w:shd w:val="clear" w:color="auto" w:fill="FFFFFF"/>
            <w:noWrap w:val="0"/>
            <w:vAlign w:val="center"/>
          </w:tcPr>
          <w:p w14:paraId="0D4B36EB">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《中华人民共和国药品管理法》</w:t>
            </w:r>
            <w:r>
              <w:rPr>
                <w:rFonts w:hint="eastAsia" w:ascii="宋体" w:hAnsi="宋体" w:cs="宋体"/>
                <w:spacing w:val="-11"/>
                <w:kern w:val="0"/>
                <w:szCs w:val="21"/>
                <w:lang w:bidi="ar"/>
              </w:rPr>
              <w:t>第一百二十七条：“</w:t>
            </w:r>
            <w:r>
              <w:rPr>
                <w:rStyle w:val="13"/>
                <w:rFonts w:hint="default"/>
                <w:color w:val="auto"/>
                <w:spacing w:val="-11"/>
                <w:sz w:val="21"/>
                <w:szCs w:val="21"/>
                <w:lang w:bidi="ar"/>
              </w:rPr>
              <w:t>药品上市许可持有人违反本法规定，有下列行为之一的，责令限期改正，给予警告；逾期不改正的，处十万元以上五十万元以下的罚款：…（四）未按照规定提交年度报告；…”</w:t>
            </w:r>
          </w:p>
        </w:tc>
      </w:tr>
      <w:tr w14:paraId="07C825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5" w:hRule="atLeast"/>
          <w:jc w:val="center"/>
        </w:trPr>
        <w:tc>
          <w:tcPr>
            <w:tcW w:w="655" w:type="dxa"/>
            <w:tcBorders>
              <w:tl2br w:val="nil"/>
              <w:tr2bl w:val="nil"/>
            </w:tcBorders>
            <w:shd w:val="clear" w:color="auto" w:fill="FFFFFF"/>
            <w:noWrap w:val="0"/>
            <w:vAlign w:val="center"/>
          </w:tcPr>
          <w:p w14:paraId="08076075">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95</w:t>
            </w:r>
          </w:p>
        </w:tc>
        <w:tc>
          <w:tcPr>
            <w:tcW w:w="2167" w:type="dxa"/>
            <w:tcBorders>
              <w:tl2br w:val="nil"/>
              <w:tr2bl w:val="nil"/>
            </w:tcBorders>
            <w:shd w:val="clear" w:color="auto" w:fill="FFFFFF"/>
            <w:noWrap w:val="0"/>
            <w:vAlign w:val="center"/>
          </w:tcPr>
          <w:p w14:paraId="4C1A207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未按照规定向允许药品进口的口岸所在地药品监督管理部门备案的</w:t>
            </w:r>
          </w:p>
        </w:tc>
        <w:tc>
          <w:tcPr>
            <w:tcW w:w="2487" w:type="dxa"/>
            <w:tcBorders>
              <w:tl2br w:val="nil"/>
              <w:tr2bl w:val="nil"/>
            </w:tcBorders>
            <w:shd w:val="clear" w:color="auto" w:fill="FFFFFF"/>
            <w:noWrap w:val="0"/>
            <w:vAlign w:val="center"/>
          </w:tcPr>
          <w:p w14:paraId="394EDE5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初次实施此类违法行为，情节轻微，未造成危害后果；主动改正或者由药品监管部门责令改正。</w:t>
            </w:r>
          </w:p>
        </w:tc>
        <w:tc>
          <w:tcPr>
            <w:tcW w:w="9017" w:type="dxa"/>
            <w:tcBorders>
              <w:tl2br w:val="nil"/>
              <w:tr2bl w:val="nil"/>
            </w:tcBorders>
            <w:shd w:val="clear" w:color="auto" w:fill="FFFFFF"/>
            <w:noWrap w:val="0"/>
            <w:vAlign w:val="center"/>
          </w:tcPr>
          <w:p w14:paraId="2764CD5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eastAsia="zh-CN" w:bidi="ar"/>
              </w:rPr>
              <w:t>《中华人民共和国药品管理法》</w:t>
            </w:r>
            <w:r>
              <w:rPr>
                <w:rFonts w:hint="eastAsia" w:ascii="宋体" w:hAnsi="宋体" w:cs="宋体"/>
                <w:spacing w:val="-11"/>
                <w:kern w:val="0"/>
                <w:szCs w:val="21"/>
                <w:lang w:bidi="ar"/>
              </w:rPr>
              <w:t>第一百三十二条：“进口已获得药品注册证书的药品，未按照规定向允许药品进口的口岸所在地药品监督管理部门备案的，责令限期改正，给予警告；逾期不改正的，吊销药品注册证书。”</w:t>
            </w:r>
          </w:p>
        </w:tc>
      </w:tr>
      <w:tr w14:paraId="563FB4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05" w:hRule="atLeast"/>
          <w:jc w:val="center"/>
        </w:trPr>
        <w:tc>
          <w:tcPr>
            <w:tcW w:w="655" w:type="dxa"/>
            <w:tcBorders>
              <w:tl2br w:val="nil"/>
              <w:tr2bl w:val="nil"/>
            </w:tcBorders>
            <w:shd w:val="clear" w:color="auto" w:fill="FFFFFF"/>
            <w:noWrap w:val="0"/>
            <w:vAlign w:val="center"/>
          </w:tcPr>
          <w:p w14:paraId="4C6D29AF">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96</w:t>
            </w:r>
          </w:p>
        </w:tc>
        <w:tc>
          <w:tcPr>
            <w:tcW w:w="2167" w:type="dxa"/>
            <w:tcBorders>
              <w:tl2br w:val="nil"/>
              <w:tr2bl w:val="nil"/>
            </w:tcBorders>
            <w:shd w:val="clear" w:color="auto" w:fill="FFFFFF"/>
            <w:noWrap w:val="0"/>
            <w:vAlign w:val="center"/>
          </w:tcPr>
          <w:p w14:paraId="59B8AEF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未按照要求提交质量管理体系自查报告</w:t>
            </w:r>
          </w:p>
        </w:tc>
        <w:tc>
          <w:tcPr>
            <w:tcW w:w="2487" w:type="dxa"/>
            <w:tcBorders>
              <w:tl2br w:val="nil"/>
              <w:tr2bl w:val="nil"/>
            </w:tcBorders>
            <w:shd w:val="clear" w:color="auto" w:fill="FFFFFF"/>
            <w:noWrap w:val="0"/>
            <w:vAlign w:val="center"/>
          </w:tcPr>
          <w:p w14:paraId="5213BA1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初次实施此类违法行为</w:t>
            </w:r>
            <w:r>
              <w:rPr>
                <w:rStyle w:val="13"/>
                <w:rFonts w:hint="default"/>
                <w:color w:val="auto"/>
                <w:spacing w:val="-11"/>
                <w:sz w:val="21"/>
                <w:szCs w:val="21"/>
                <w:lang w:bidi="ar"/>
              </w:rPr>
              <w:t>，情节轻微，未造成危害后果；主动改正或者由药品监管部门责令改正。</w:t>
            </w:r>
          </w:p>
        </w:tc>
        <w:tc>
          <w:tcPr>
            <w:tcW w:w="9017" w:type="dxa"/>
            <w:tcBorders>
              <w:tl2br w:val="nil"/>
              <w:tr2bl w:val="nil"/>
            </w:tcBorders>
            <w:shd w:val="clear" w:color="auto" w:fill="FFFFFF"/>
            <w:noWrap w:val="0"/>
            <w:vAlign w:val="center"/>
          </w:tcPr>
          <w:p w14:paraId="5D4EBC9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医疗器械监督管理条例》第八十九条：“有下列情形之一的，由负责药品监督管理的部门和卫生主管部门依据各自职责责令改正，给予警告；拒不改正的，处1万元以上10万元以下罚款；情节严重的，责令停产停业，直至由原发证部门吊销医疗器械注册证、医疗器械生产许可证、医疗器械经营许可证，对违法单位的法定代表人、主要负责人、直接负责的主管人员和其他责任人员处1万元以上3万元以下罚款：（一）未按照要求提交质量管理体系自查报告；”</w:t>
            </w:r>
          </w:p>
        </w:tc>
      </w:tr>
      <w:tr w14:paraId="36DF3D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jc w:val="center"/>
        </w:trPr>
        <w:tc>
          <w:tcPr>
            <w:tcW w:w="655" w:type="dxa"/>
            <w:tcBorders>
              <w:tl2br w:val="nil"/>
              <w:tr2bl w:val="nil"/>
            </w:tcBorders>
            <w:shd w:val="clear" w:color="auto" w:fill="FFFFFF"/>
            <w:noWrap w:val="0"/>
            <w:vAlign w:val="center"/>
          </w:tcPr>
          <w:p w14:paraId="292D5B3D">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97</w:t>
            </w:r>
          </w:p>
        </w:tc>
        <w:tc>
          <w:tcPr>
            <w:tcW w:w="2167" w:type="dxa"/>
            <w:tcBorders>
              <w:tl2br w:val="nil"/>
              <w:tr2bl w:val="nil"/>
            </w:tcBorders>
            <w:shd w:val="clear" w:color="auto" w:fill="FFFFFF"/>
            <w:noWrap w:val="0"/>
            <w:vAlign w:val="center"/>
          </w:tcPr>
          <w:p w14:paraId="022C8438">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医疗器械经营企业、使用单位购</w:t>
            </w:r>
            <w:r>
              <w:rPr>
                <w:rFonts w:hint="eastAsia" w:ascii="宋体" w:hAnsi="宋体" w:cs="宋体"/>
                <w:spacing w:val="-11"/>
                <w:kern w:val="0"/>
                <w:szCs w:val="21"/>
                <w:lang w:eastAsia="zh-CN" w:bidi="ar"/>
              </w:rPr>
              <w:t>销</w:t>
            </w:r>
            <w:r>
              <w:rPr>
                <w:rFonts w:hint="eastAsia" w:ascii="宋体" w:hAnsi="宋体" w:cs="宋体"/>
                <w:spacing w:val="-11"/>
                <w:kern w:val="0"/>
                <w:szCs w:val="21"/>
                <w:lang w:bidi="ar"/>
              </w:rPr>
              <w:t>医疗器械，没有及时登记查验或销售记录。</w:t>
            </w:r>
          </w:p>
        </w:tc>
        <w:tc>
          <w:tcPr>
            <w:tcW w:w="2487" w:type="dxa"/>
            <w:tcBorders>
              <w:tl2br w:val="nil"/>
              <w:tr2bl w:val="nil"/>
            </w:tcBorders>
            <w:shd w:val="clear" w:color="auto" w:fill="FFFFFF"/>
            <w:noWrap w:val="0"/>
            <w:vAlign w:val="center"/>
          </w:tcPr>
          <w:p w14:paraId="62AF242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情节轻微，但索证索票齐全、不影响追溯，未造成危害后果；主动改正或者由药品监管部门责令改正。</w:t>
            </w:r>
          </w:p>
        </w:tc>
        <w:tc>
          <w:tcPr>
            <w:tcW w:w="9017" w:type="dxa"/>
            <w:tcBorders>
              <w:tl2br w:val="nil"/>
              <w:tr2bl w:val="nil"/>
            </w:tcBorders>
            <w:shd w:val="clear" w:color="auto" w:fill="FFFFFF"/>
            <w:noWrap w:val="0"/>
            <w:vAlign w:val="center"/>
          </w:tcPr>
          <w:p w14:paraId="1A3654DE">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医疗器械监督管理条例》第八十九条：“有下列情形之一的，由负责药品监督管理的部门和卫生主管部门依据各自职责责令改正，给予警告；拒不改正的，处1万元以上10万元以下罚款；情节严重的，责令停产停业，直至由原发证部门吊销医疗器械注册证、医疗器械生产许可证、医疗器械经营许可证，对违法单位的法定代表人、主要负责人、直接负责的主管人员和其他责任人员处1万元以上3万元以下罚款：……（三）医疗器械经营企业、使用单位未依照本条例规定建立并执行医疗器械进货查验记录制度；”</w:t>
            </w:r>
          </w:p>
        </w:tc>
      </w:tr>
      <w:tr w14:paraId="50A549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6" w:hRule="atLeast"/>
          <w:jc w:val="center"/>
        </w:trPr>
        <w:tc>
          <w:tcPr>
            <w:tcW w:w="655" w:type="dxa"/>
            <w:tcBorders>
              <w:tl2br w:val="nil"/>
              <w:tr2bl w:val="nil"/>
            </w:tcBorders>
            <w:shd w:val="clear" w:color="auto" w:fill="FFFFFF"/>
            <w:noWrap w:val="0"/>
            <w:vAlign w:val="center"/>
          </w:tcPr>
          <w:p w14:paraId="471C503E">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98</w:t>
            </w:r>
          </w:p>
        </w:tc>
        <w:tc>
          <w:tcPr>
            <w:tcW w:w="2167" w:type="dxa"/>
            <w:tcBorders>
              <w:tl2br w:val="nil"/>
              <w:tr2bl w:val="nil"/>
            </w:tcBorders>
            <w:shd w:val="clear" w:color="auto" w:fill="FFFFFF"/>
            <w:noWrap w:val="0"/>
            <w:vAlign w:val="center"/>
          </w:tcPr>
          <w:p w14:paraId="2D44858F">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医疗器械经营企业、使用单位未按照规定报告不良事件</w:t>
            </w:r>
          </w:p>
        </w:tc>
        <w:tc>
          <w:tcPr>
            <w:tcW w:w="2487" w:type="dxa"/>
            <w:tcBorders>
              <w:tl2br w:val="nil"/>
              <w:tr2bl w:val="nil"/>
            </w:tcBorders>
            <w:shd w:val="clear" w:color="auto" w:fill="FFFFFF"/>
            <w:noWrap w:val="0"/>
            <w:vAlign w:val="center"/>
          </w:tcPr>
          <w:p w14:paraId="75ABD2E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初次实施此类违法行为</w:t>
            </w:r>
            <w:r>
              <w:rPr>
                <w:rStyle w:val="13"/>
                <w:rFonts w:hint="default"/>
                <w:color w:val="auto"/>
                <w:spacing w:val="-11"/>
                <w:sz w:val="21"/>
                <w:szCs w:val="21"/>
                <w:lang w:bidi="ar"/>
              </w:rPr>
              <w:t>，情节轻微，未造成危害后果；主动改正或者由药品监管部门责令改正。</w:t>
            </w:r>
          </w:p>
        </w:tc>
        <w:tc>
          <w:tcPr>
            <w:tcW w:w="9017" w:type="dxa"/>
            <w:tcBorders>
              <w:tl2br w:val="nil"/>
              <w:tr2bl w:val="nil"/>
            </w:tcBorders>
            <w:shd w:val="clear" w:color="auto" w:fill="FFFFFF"/>
            <w:noWrap w:val="0"/>
            <w:vAlign w:val="center"/>
          </w:tcPr>
          <w:p w14:paraId="1A78841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医疗器械监督管理条例》第八十九条：“有下列情形之一的，由负责药品监督管理的部门和卫生主管部门依据各自职责责令改正，给予警告；拒不改正的，处1万元以上10万元以下罚款；情节严重的，责令停产停业，直至由原发证部门吊销医疗器械注册证、医疗器械生产许可证、医疗器械经营许可证，对违法单位的法定代表人、主要负责人、直接负责的主管人员和其他责任人员处1万元以上3万元以下罚款：……（五）医疗器械注册人、备案人、生产经营企业、使用单位未依照本条例规定开展医疗器械不良事件监测，未按照要求报告不良事件……”</w:t>
            </w:r>
          </w:p>
        </w:tc>
      </w:tr>
      <w:tr w14:paraId="2305EB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5" w:hRule="atLeast"/>
          <w:jc w:val="center"/>
        </w:trPr>
        <w:tc>
          <w:tcPr>
            <w:tcW w:w="655" w:type="dxa"/>
            <w:tcBorders>
              <w:tl2br w:val="nil"/>
              <w:tr2bl w:val="nil"/>
            </w:tcBorders>
            <w:shd w:val="clear" w:color="auto" w:fill="FFFFFF"/>
            <w:noWrap w:val="0"/>
            <w:vAlign w:val="center"/>
          </w:tcPr>
          <w:p w14:paraId="4C1F7D2E">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99</w:t>
            </w:r>
          </w:p>
        </w:tc>
        <w:tc>
          <w:tcPr>
            <w:tcW w:w="2167" w:type="dxa"/>
            <w:tcBorders>
              <w:tl2br w:val="nil"/>
              <w:tr2bl w:val="nil"/>
            </w:tcBorders>
            <w:shd w:val="clear" w:color="auto" w:fill="FFFFFF"/>
            <w:noWrap w:val="0"/>
            <w:vAlign w:val="center"/>
          </w:tcPr>
          <w:p w14:paraId="4ACB728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医疗器械经营企业从事医疗器械网络销售未按照规定告知负责药品监督管理的部门</w:t>
            </w:r>
          </w:p>
        </w:tc>
        <w:tc>
          <w:tcPr>
            <w:tcW w:w="2487" w:type="dxa"/>
            <w:tcBorders>
              <w:tl2br w:val="nil"/>
              <w:tr2bl w:val="nil"/>
            </w:tcBorders>
            <w:shd w:val="clear" w:color="auto" w:fill="FFFFFF"/>
            <w:noWrap w:val="0"/>
            <w:vAlign w:val="center"/>
          </w:tcPr>
          <w:p w14:paraId="1DE09006">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初次实施此类违法行为</w:t>
            </w:r>
            <w:r>
              <w:rPr>
                <w:rStyle w:val="13"/>
                <w:rFonts w:hint="default"/>
                <w:color w:val="auto"/>
                <w:spacing w:val="-11"/>
                <w:sz w:val="21"/>
                <w:szCs w:val="21"/>
                <w:lang w:bidi="ar"/>
              </w:rPr>
              <w:t>，情节轻微，未造成危害后果；主动改正或者由药品监管部门责令改正。</w:t>
            </w:r>
          </w:p>
        </w:tc>
        <w:tc>
          <w:tcPr>
            <w:tcW w:w="9017" w:type="dxa"/>
            <w:tcBorders>
              <w:tl2br w:val="nil"/>
              <w:tr2bl w:val="nil"/>
            </w:tcBorders>
            <w:shd w:val="clear" w:color="auto" w:fill="FFFFFF"/>
            <w:noWrap w:val="0"/>
            <w:vAlign w:val="center"/>
          </w:tcPr>
          <w:p w14:paraId="15A606BD">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医疗器械监督管理条例》第八十九条：“有下列情形之一的，由负责药品监督管理的部门和卫生主管部门依据各自职责责令改正，给予警告；拒不改正的，处1万元以上10万元以下罚款；情节严重的，责令停产停业，直至由原发证部门吊销医疗器械注册证、医疗器械生产许可证、医疗器械经营许可证，对违法单位的法定代表人、主要负责人、直接负责的主管人员和其他责任人员处1万元以上3万元以下罚款：……（八）医疗器械注册人、备案人、经营企业从事医疗器械网络销售未按照规定告知负责药品监督管理的部门；”</w:t>
            </w:r>
          </w:p>
        </w:tc>
      </w:tr>
      <w:tr w14:paraId="05A9E3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6" w:hRule="atLeast"/>
          <w:jc w:val="center"/>
        </w:trPr>
        <w:tc>
          <w:tcPr>
            <w:tcW w:w="655" w:type="dxa"/>
            <w:tcBorders>
              <w:tl2br w:val="nil"/>
              <w:tr2bl w:val="nil"/>
            </w:tcBorders>
            <w:shd w:val="clear" w:color="auto" w:fill="FFFFFF"/>
            <w:noWrap w:val="0"/>
            <w:vAlign w:val="center"/>
          </w:tcPr>
          <w:p w14:paraId="2F1EC01E">
            <w:pPr>
              <w:widowControl/>
              <w:spacing w:line="320" w:lineRule="exact"/>
              <w:jc w:val="center"/>
              <w:textAlignment w:val="center"/>
              <w:rPr>
                <w:rFonts w:hint="eastAsia" w:ascii="宋体" w:hAnsi="宋体" w:cs="宋体"/>
                <w:spacing w:val="-11"/>
                <w:szCs w:val="21"/>
              </w:rPr>
            </w:pPr>
            <w:r>
              <w:rPr>
                <w:rFonts w:hint="eastAsia" w:ascii="宋体" w:hAnsi="宋体" w:cs="宋体"/>
                <w:spacing w:val="-11"/>
                <w:kern w:val="0"/>
                <w:szCs w:val="21"/>
                <w:lang w:bidi="ar"/>
              </w:rPr>
              <w:t>100</w:t>
            </w:r>
          </w:p>
        </w:tc>
        <w:tc>
          <w:tcPr>
            <w:tcW w:w="2167" w:type="dxa"/>
            <w:tcBorders>
              <w:tl2br w:val="nil"/>
              <w:tr2bl w:val="nil"/>
            </w:tcBorders>
            <w:shd w:val="clear" w:color="auto" w:fill="FFFFFF"/>
            <w:noWrap w:val="0"/>
            <w:vAlign w:val="center"/>
          </w:tcPr>
          <w:p w14:paraId="5EB7FD30">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医疗器械研制、生产、经营单位和检验机构违规使用禁止从事医疗器械生产经营活动、检验工作的人员</w:t>
            </w:r>
          </w:p>
        </w:tc>
        <w:tc>
          <w:tcPr>
            <w:tcW w:w="2487" w:type="dxa"/>
            <w:tcBorders>
              <w:tl2br w:val="nil"/>
              <w:tr2bl w:val="nil"/>
            </w:tcBorders>
            <w:shd w:val="clear" w:color="auto" w:fill="FFFFFF"/>
            <w:noWrap w:val="0"/>
            <w:vAlign w:val="center"/>
          </w:tcPr>
          <w:p w14:paraId="71FA4442">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无主观故意，情节轻微，未造成危害后果。</w:t>
            </w:r>
          </w:p>
        </w:tc>
        <w:tc>
          <w:tcPr>
            <w:tcW w:w="9017" w:type="dxa"/>
            <w:tcBorders>
              <w:tl2br w:val="nil"/>
              <w:tr2bl w:val="nil"/>
            </w:tcBorders>
            <w:shd w:val="clear" w:color="auto" w:fill="FFFFFF"/>
            <w:noWrap w:val="0"/>
            <w:vAlign w:val="center"/>
          </w:tcPr>
          <w:p w14:paraId="6F9BB967">
            <w:pPr>
              <w:widowControl/>
              <w:spacing w:line="320" w:lineRule="exact"/>
              <w:textAlignment w:val="center"/>
              <w:rPr>
                <w:rFonts w:hint="eastAsia" w:ascii="宋体" w:hAnsi="宋体" w:cs="宋体"/>
                <w:spacing w:val="-11"/>
                <w:szCs w:val="21"/>
              </w:rPr>
            </w:pPr>
            <w:r>
              <w:rPr>
                <w:rFonts w:hint="eastAsia" w:ascii="宋体" w:hAnsi="宋体" w:cs="宋体"/>
                <w:spacing w:val="-11"/>
                <w:kern w:val="0"/>
                <w:szCs w:val="21"/>
                <w:lang w:bidi="ar"/>
              </w:rPr>
              <w:t>《医疗器械监督管理条例》第九十九条：“医疗器械研制、生产、经营单位和检验机构违反本条例规定使用禁止从事医疗器械生产经营活动、检验工作的人员的，由负责药品监督管理的部门责令改正，给予警告；拒不改正的，责令停产停业直至吊销许可证件。”</w:t>
            </w:r>
          </w:p>
        </w:tc>
      </w:tr>
    </w:tbl>
    <w:p w14:paraId="175A65DF">
      <w:pPr>
        <w:spacing w:line="600" w:lineRule="exact"/>
      </w:pPr>
    </w:p>
    <w:p w14:paraId="53AD7889">
      <w:pPr>
        <w:rPr>
          <w:rFonts w:hint="eastAsia" w:ascii="仿宋" w:hAnsi="仿宋" w:eastAsia="仿宋" w:cs="仿宋"/>
          <w:sz w:val="32"/>
          <w:szCs w:val="32"/>
        </w:rPr>
      </w:pPr>
    </w:p>
    <w:p w14:paraId="49615A2F">
      <w:pPr>
        <w:pStyle w:val="4"/>
        <w:ind w:firstLine="640"/>
        <w:rPr>
          <w:rFonts w:hint="eastAsia" w:ascii="仿宋" w:hAnsi="仿宋" w:eastAsia="仿宋" w:cs="仿宋"/>
          <w:sz w:val="32"/>
          <w:szCs w:val="32"/>
        </w:rPr>
      </w:pPr>
    </w:p>
    <w:p w14:paraId="5A1D467E">
      <w:pPr>
        <w:pStyle w:val="4"/>
        <w:ind w:firstLine="640"/>
        <w:rPr>
          <w:rFonts w:hint="eastAsia" w:ascii="仿宋" w:hAnsi="仿宋" w:eastAsia="仿宋" w:cs="仿宋"/>
          <w:sz w:val="32"/>
          <w:szCs w:val="32"/>
        </w:rPr>
      </w:pPr>
    </w:p>
    <w:p w14:paraId="67F08093">
      <w:pPr>
        <w:pStyle w:val="4"/>
        <w:ind w:firstLine="640"/>
        <w:rPr>
          <w:rFonts w:hint="eastAsia" w:ascii="仿宋" w:hAnsi="仿宋" w:eastAsia="仿宋" w:cs="仿宋"/>
          <w:sz w:val="32"/>
          <w:szCs w:val="32"/>
        </w:rPr>
      </w:pPr>
    </w:p>
    <w:p w14:paraId="68EFB260">
      <w:pPr>
        <w:pStyle w:val="4"/>
        <w:ind w:firstLine="640"/>
        <w:rPr>
          <w:rFonts w:hint="eastAsia" w:ascii="仿宋" w:hAnsi="仿宋" w:eastAsia="仿宋" w:cs="仿宋"/>
          <w:sz w:val="32"/>
          <w:szCs w:val="32"/>
        </w:rPr>
      </w:pPr>
    </w:p>
    <w:p w14:paraId="2F3A0539">
      <w:pPr>
        <w:pStyle w:val="4"/>
        <w:ind w:firstLine="640"/>
        <w:rPr>
          <w:rFonts w:hint="eastAsia" w:ascii="仿宋" w:hAnsi="仿宋" w:eastAsia="仿宋" w:cs="仿宋"/>
          <w:sz w:val="32"/>
          <w:szCs w:val="32"/>
        </w:rPr>
      </w:pPr>
    </w:p>
    <w:p w14:paraId="1EA245F1">
      <w:pPr>
        <w:pStyle w:val="4"/>
        <w:ind w:firstLine="0" w:firstLineChars="0"/>
        <w:rPr>
          <w:rFonts w:hint="eastAsia" w:ascii="仿宋" w:hAnsi="仿宋" w:eastAsia="仿宋" w:cs="仿宋"/>
          <w:sz w:val="32"/>
          <w:szCs w:val="32"/>
        </w:rPr>
      </w:pPr>
    </w:p>
    <w:tbl>
      <w:tblPr>
        <w:tblStyle w:val="9"/>
        <w:tblW w:w="13917" w:type="dxa"/>
        <w:tblInd w:w="93" w:type="dxa"/>
        <w:tblLayout w:type="autofit"/>
        <w:tblCellMar>
          <w:top w:w="0" w:type="dxa"/>
          <w:left w:w="108" w:type="dxa"/>
          <w:bottom w:w="0" w:type="dxa"/>
          <w:right w:w="108" w:type="dxa"/>
        </w:tblCellMar>
      </w:tblPr>
      <w:tblGrid>
        <w:gridCol w:w="717"/>
        <w:gridCol w:w="3135"/>
        <w:gridCol w:w="3510"/>
        <w:gridCol w:w="6555"/>
      </w:tblGrid>
      <w:tr w14:paraId="26D2B86B">
        <w:tblPrEx>
          <w:tblCellMar>
            <w:top w:w="0" w:type="dxa"/>
            <w:left w:w="108" w:type="dxa"/>
            <w:bottom w:w="0" w:type="dxa"/>
            <w:right w:w="108" w:type="dxa"/>
          </w:tblCellMar>
        </w:tblPrEx>
        <w:trPr>
          <w:trHeight w:val="502" w:hRule="atLeast"/>
        </w:trPr>
        <w:tc>
          <w:tcPr>
            <w:tcW w:w="13917" w:type="dxa"/>
            <w:gridSpan w:val="4"/>
            <w:tcBorders>
              <w:top w:val="nil"/>
              <w:left w:val="nil"/>
              <w:bottom w:val="single" w:color="000000" w:sz="4" w:space="0"/>
              <w:right w:val="nil"/>
            </w:tcBorders>
            <w:noWrap w:val="0"/>
            <w:vAlign w:val="top"/>
          </w:tcPr>
          <w:p w14:paraId="0B1C9AD0">
            <w:pPr>
              <w:widowControl/>
              <w:textAlignment w:val="bottom"/>
              <w:rPr>
                <w:rFonts w:hint="eastAsia" w:ascii="宋体" w:hAnsi="宋体" w:cs="宋体"/>
                <w:color w:val="000000"/>
                <w:sz w:val="48"/>
                <w:szCs w:val="48"/>
              </w:rPr>
            </w:pPr>
            <w:r>
              <w:rPr>
                <w:rFonts w:hint="eastAsia" w:ascii="黑体" w:hAnsi="黑体" w:eastAsia="黑体" w:cs="黑体"/>
                <w:b/>
                <w:bCs/>
                <w:color w:val="000000"/>
                <w:kern w:val="0"/>
                <w:sz w:val="32"/>
                <w:szCs w:val="32"/>
                <w:lang w:bidi="ar"/>
              </w:rPr>
              <w:t xml:space="preserve">二、新余市生态环境领域轻微违法行为不予处罚清单  </w:t>
            </w:r>
            <w:r>
              <w:rPr>
                <w:rFonts w:hint="eastAsia" w:ascii="宋体" w:hAnsi="宋体" w:cs="宋体"/>
                <w:color w:val="000000"/>
                <w:kern w:val="0"/>
                <w:sz w:val="48"/>
                <w:szCs w:val="48"/>
                <w:lang w:bidi="ar"/>
              </w:rPr>
              <w:t xml:space="preserve">             </w:t>
            </w:r>
            <w:r>
              <w:rPr>
                <w:rFonts w:hint="eastAsia" w:ascii="宋体" w:hAnsi="宋体" w:cs="宋体"/>
                <w:color w:val="000000"/>
                <w:kern w:val="0"/>
                <w:sz w:val="24"/>
                <w:lang w:bidi="ar"/>
              </w:rPr>
              <w:t xml:space="preserve">                                                                                                                                      </w:t>
            </w:r>
          </w:p>
        </w:tc>
      </w:tr>
      <w:tr w14:paraId="5BD8E459">
        <w:tblPrEx>
          <w:tblCellMar>
            <w:top w:w="0" w:type="dxa"/>
            <w:left w:w="108" w:type="dxa"/>
            <w:bottom w:w="0" w:type="dxa"/>
            <w:right w:w="108" w:type="dxa"/>
          </w:tblCellMar>
        </w:tblPrEx>
        <w:trPr>
          <w:trHeight w:val="285" w:hRule="atLeast"/>
        </w:trPr>
        <w:tc>
          <w:tcPr>
            <w:tcW w:w="717" w:type="dxa"/>
            <w:tcBorders>
              <w:top w:val="single" w:color="000000" w:sz="4" w:space="0"/>
              <w:left w:val="single" w:color="000000" w:sz="4" w:space="0"/>
              <w:bottom w:val="single" w:color="000000" w:sz="4" w:space="0"/>
              <w:right w:val="single" w:color="000000" w:sz="4" w:space="0"/>
            </w:tcBorders>
            <w:noWrap w:val="0"/>
            <w:vAlign w:val="top"/>
          </w:tcPr>
          <w:p w14:paraId="585A91AC">
            <w:pPr>
              <w:widowControl/>
              <w:spacing w:line="320" w:lineRule="exact"/>
              <w:jc w:val="center"/>
              <w:textAlignment w:val="center"/>
              <w:rPr>
                <w:rFonts w:hint="eastAsia" w:ascii="宋体" w:hAnsi="宋体" w:cs="宋体"/>
                <w:b/>
                <w:spacing w:val="-11"/>
                <w:kern w:val="0"/>
                <w:szCs w:val="21"/>
                <w:lang w:bidi="ar"/>
              </w:rPr>
            </w:pPr>
            <w:r>
              <w:rPr>
                <w:rFonts w:hint="eastAsia" w:ascii="宋体" w:hAnsi="宋体" w:cs="宋体"/>
                <w:b/>
                <w:spacing w:val="-11"/>
                <w:kern w:val="0"/>
                <w:szCs w:val="21"/>
                <w:lang w:bidi="ar"/>
              </w:rPr>
              <w:t>序号</w:t>
            </w:r>
          </w:p>
        </w:tc>
        <w:tc>
          <w:tcPr>
            <w:tcW w:w="3135" w:type="dxa"/>
            <w:tcBorders>
              <w:top w:val="single" w:color="000000" w:sz="4" w:space="0"/>
              <w:left w:val="single" w:color="000000" w:sz="4" w:space="0"/>
              <w:bottom w:val="single" w:color="000000" w:sz="4" w:space="0"/>
              <w:right w:val="single" w:color="000000" w:sz="4" w:space="0"/>
            </w:tcBorders>
            <w:noWrap w:val="0"/>
            <w:vAlign w:val="top"/>
          </w:tcPr>
          <w:p w14:paraId="278738D0">
            <w:pPr>
              <w:widowControl/>
              <w:spacing w:line="320" w:lineRule="exact"/>
              <w:jc w:val="center"/>
              <w:textAlignment w:val="center"/>
              <w:rPr>
                <w:rFonts w:hint="eastAsia" w:ascii="宋体" w:hAnsi="宋体" w:cs="宋体"/>
                <w:b/>
                <w:spacing w:val="-11"/>
                <w:kern w:val="0"/>
                <w:szCs w:val="21"/>
                <w:lang w:bidi="ar"/>
              </w:rPr>
            </w:pPr>
            <w:r>
              <w:rPr>
                <w:rFonts w:hint="eastAsia" w:ascii="宋体" w:hAnsi="宋体" w:cs="宋体"/>
                <w:b/>
                <w:spacing w:val="-11"/>
                <w:kern w:val="0"/>
                <w:szCs w:val="21"/>
                <w:lang w:bidi="ar"/>
              </w:rPr>
              <w:t>违法行为</w:t>
            </w:r>
          </w:p>
        </w:tc>
        <w:tc>
          <w:tcPr>
            <w:tcW w:w="3510" w:type="dxa"/>
            <w:tcBorders>
              <w:top w:val="single" w:color="000000" w:sz="4" w:space="0"/>
              <w:left w:val="single" w:color="000000" w:sz="4" w:space="0"/>
              <w:bottom w:val="single" w:color="000000" w:sz="4" w:space="0"/>
              <w:right w:val="single" w:color="000000" w:sz="4" w:space="0"/>
            </w:tcBorders>
            <w:noWrap w:val="0"/>
            <w:vAlign w:val="top"/>
          </w:tcPr>
          <w:p w14:paraId="138B4167">
            <w:pPr>
              <w:widowControl/>
              <w:spacing w:line="320" w:lineRule="exact"/>
              <w:jc w:val="center"/>
              <w:textAlignment w:val="center"/>
              <w:rPr>
                <w:rFonts w:hint="eastAsia" w:ascii="宋体" w:hAnsi="宋体" w:cs="宋体"/>
                <w:b/>
                <w:spacing w:val="-11"/>
                <w:kern w:val="0"/>
                <w:szCs w:val="21"/>
                <w:lang w:bidi="ar"/>
              </w:rPr>
            </w:pPr>
            <w:r>
              <w:rPr>
                <w:rFonts w:hint="eastAsia" w:ascii="宋体" w:hAnsi="宋体" w:cs="宋体"/>
                <w:b/>
                <w:spacing w:val="-11"/>
                <w:kern w:val="0"/>
                <w:szCs w:val="21"/>
                <w:lang w:bidi="ar"/>
              </w:rPr>
              <w:t>不予处罚条件</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1EFF13AF">
            <w:pPr>
              <w:widowControl/>
              <w:spacing w:line="320" w:lineRule="exact"/>
              <w:jc w:val="center"/>
              <w:textAlignment w:val="center"/>
              <w:rPr>
                <w:rFonts w:hint="eastAsia" w:ascii="宋体" w:hAnsi="宋体" w:cs="宋体"/>
                <w:b/>
                <w:spacing w:val="-11"/>
                <w:kern w:val="0"/>
                <w:szCs w:val="21"/>
                <w:lang w:bidi="ar"/>
              </w:rPr>
            </w:pPr>
            <w:r>
              <w:rPr>
                <w:rFonts w:hint="eastAsia" w:ascii="宋体" w:hAnsi="宋体" w:cs="宋体"/>
                <w:b/>
                <w:spacing w:val="-11"/>
                <w:kern w:val="0"/>
                <w:szCs w:val="21"/>
                <w:lang w:bidi="ar"/>
              </w:rPr>
              <w:t>法律依据</w:t>
            </w:r>
          </w:p>
        </w:tc>
      </w:tr>
      <w:tr w14:paraId="2362C4AA">
        <w:tblPrEx>
          <w:tblCellMar>
            <w:top w:w="0" w:type="dxa"/>
            <w:left w:w="108" w:type="dxa"/>
            <w:bottom w:w="0" w:type="dxa"/>
            <w:right w:w="108" w:type="dxa"/>
          </w:tblCellMar>
        </w:tblPrEx>
        <w:trPr>
          <w:trHeight w:val="285" w:hRule="atLeast"/>
        </w:trPr>
        <w:tc>
          <w:tcPr>
            <w:tcW w:w="717" w:type="dxa"/>
            <w:tcBorders>
              <w:top w:val="single" w:color="000000" w:sz="4" w:space="0"/>
              <w:left w:val="single" w:color="000000" w:sz="4" w:space="0"/>
              <w:bottom w:val="single" w:color="000000" w:sz="4" w:space="0"/>
              <w:right w:val="single" w:color="000000" w:sz="4" w:space="0"/>
            </w:tcBorders>
            <w:noWrap w:val="0"/>
            <w:vAlign w:val="top"/>
          </w:tcPr>
          <w:p w14:paraId="39C137F4">
            <w:pPr>
              <w:widowControl/>
              <w:spacing w:line="320" w:lineRule="exact"/>
              <w:jc w:val="center"/>
              <w:textAlignment w:val="center"/>
              <w:rPr>
                <w:rFonts w:hint="eastAsia" w:ascii="宋体" w:hAnsi="宋体" w:cs="宋体"/>
                <w:b/>
                <w:spacing w:val="-11"/>
                <w:kern w:val="0"/>
                <w:szCs w:val="21"/>
                <w:lang w:bidi="ar"/>
              </w:rPr>
            </w:pPr>
            <w:r>
              <w:rPr>
                <w:rFonts w:hint="eastAsia" w:ascii="宋体" w:hAnsi="宋体" w:cs="宋体"/>
                <w:b/>
                <w:spacing w:val="-11"/>
                <w:kern w:val="0"/>
                <w:szCs w:val="21"/>
                <w:lang w:bidi="ar"/>
              </w:rPr>
              <w:t>一</w:t>
            </w:r>
          </w:p>
        </w:tc>
        <w:tc>
          <w:tcPr>
            <w:tcW w:w="13200" w:type="dxa"/>
            <w:gridSpan w:val="3"/>
            <w:tcBorders>
              <w:top w:val="single" w:color="000000" w:sz="4" w:space="0"/>
              <w:left w:val="single" w:color="000000" w:sz="4" w:space="0"/>
              <w:bottom w:val="single" w:color="000000" w:sz="4" w:space="0"/>
              <w:right w:val="single" w:color="000000" w:sz="4" w:space="0"/>
            </w:tcBorders>
            <w:noWrap w:val="0"/>
            <w:vAlign w:val="top"/>
          </w:tcPr>
          <w:p w14:paraId="700B310D">
            <w:pPr>
              <w:widowControl/>
              <w:spacing w:line="320" w:lineRule="exact"/>
              <w:jc w:val="left"/>
              <w:textAlignment w:val="center"/>
              <w:rPr>
                <w:rFonts w:hint="eastAsia" w:ascii="宋体" w:hAnsi="宋体" w:cs="宋体"/>
                <w:b/>
                <w:spacing w:val="-11"/>
                <w:kern w:val="0"/>
                <w:szCs w:val="21"/>
                <w:lang w:bidi="ar"/>
              </w:rPr>
            </w:pPr>
            <w:r>
              <w:rPr>
                <w:rFonts w:hint="eastAsia" w:ascii="宋体" w:hAnsi="宋体" w:cs="宋体"/>
                <w:b/>
                <w:spacing w:val="-11"/>
                <w:kern w:val="0"/>
                <w:szCs w:val="21"/>
                <w:lang w:bidi="ar"/>
              </w:rPr>
              <w:t>违反环境影响评价有关规定的情形</w:t>
            </w:r>
          </w:p>
        </w:tc>
      </w:tr>
      <w:tr w14:paraId="69D6B402">
        <w:tblPrEx>
          <w:tblCellMar>
            <w:top w:w="0" w:type="dxa"/>
            <w:left w:w="108" w:type="dxa"/>
            <w:bottom w:w="0" w:type="dxa"/>
            <w:right w:w="108" w:type="dxa"/>
          </w:tblCellMar>
        </w:tblPrEx>
        <w:trPr>
          <w:trHeight w:val="792" w:hRule="atLeast"/>
        </w:trPr>
        <w:tc>
          <w:tcPr>
            <w:tcW w:w="717" w:type="dxa"/>
            <w:vMerge w:val="restart"/>
            <w:tcBorders>
              <w:top w:val="single" w:color="000000" w:sz="4" w:space="0"/>
              <w:left w:val="single" w:color="000000" w:sz="4" w:space="0"/>
              <w:right w:val="single" w:color="000000" w:sz="4" w:space="0"/>
            </w:tcBorders>
            <w:noWrap w:val="0"/>
            <w:vAlign w:val="top"/>
          </w:tcPr>
          <w:p w14:paraId="032F368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w:t>
            </w:r>
          </w:p>
        </w:tc>
        <w:tc>
          <w:tcPr>
            <w:tcW w:w="3135" w:type="dxa"/>
            <w:vMerge w:val="restart"/>
            <w:tcBorders>
              <w:top w:val="single" w:color="000000" w:sz="4" w:space="0"/>
              <w:left w:val="single" w:color="000000" w:sz="4" w:space="0"/>
              <w:right w:val="single" w:color="000000" w:sz="4" w:space="0"/>
            </w:tcBorders>
            <w:noWrap w:val="0"/>
            <w:vAlign w:val="top"/>
          </w:tcPr>
          <w:p w14:paraId="5F0C5C6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建设单位未依法报批建设项目环境影响报告书、报告表，擅自开工建设</w:t>
            </w:r>
          </w:p>
        </w:tc>
        <w:tc>
          <w:tcPr>
            <w:tcW w:w="3510" w:type="dxa"/>
            <w:vMerge w:val="restart"/>
            <w:tcBorders>
              <w:top w:val="single" w:color="000000" w:sz="4" w:space="0"/>
              <w:left w:val="single" w:color="000000" w:sz="4" w:space="0"/>
              <w:right w:val="single" w:color="000000" w:sz="4" w:space="0"/>
            </w:tcBorders>
            <w:noWrap w:val="0"/>
            <w:vAlign w:val="top"/>
          </w:tcPr>
          <w:p w14:paraId="79448EFD">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责令停止建设后及时停止建设</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4343A3D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《中华人民共和国环境影响评价法》第二十二条第一款：“建设项目的环境影响报告书、报告表，由建设单位按照国务院的规定报有审批权的生态环境主管部门审批。”</w:t>
            </w:r>
          </w:p>
        </w:tc>
      </w:tr>
      <w:tr w14:paraId="54A9EA8C">
        <w:tblPrEx>
          <w:tblCellMar>
            <w:top w:w="0" w:type="dxa"/>
            <w:left w:w="108" w:type="dxa"/>
            <w:bottom w:w="0" w:type="dxa"/>
            <w:right w:w="108" w:type="dxa"/>
          </w:tblCellMar>
        </w:tblPrEx>
        <w:trPr>
          <w:trHeight w:val="480" w:hRule="atLeast"/>
        </w:trPr>
        <w:tc>
          <w:tcPr>
            <w:tcW w:w="717" w:type="dxa"/>
            <w:vMerge w:val="continue"/>
            <w:tcBorders>
              <w:left w:val="single" w:color="000000" w:sz="4" w:space="0"/>
              <w:bottom w:val="single" w:color="000000" w:sz="4" w:space="0"/>
              <w:right w:val="single" w:color="000000" w:sz="4" w:space="0"/>
            </w:tcBorders>
            <w:noWrap w:val="0"/>
            <w:vAlign w:val="top"/>
          </w:tcPr>
          <w:p w14:paraId="5B2D6F22">
            <w:pPr>
              <w:widowControl/>
              <w:spacing w:line="320" w:lineRule="exact"/>
              <w:textAlignment w:val="center"/>
              <w:rPr>
                <w:rFonts w:hint="eastAsia" w:ascii="宋体" w:hAnsi="宋体" w:cs="宋体"/>
                <w:spacing w:val="-11"/>
                <w:kern w:val="0"/>
                <w:szCs w:val="21"/>
                <w:lang w:bidi="ar"/>
              </w:rPr>
            </w:pPr>
          </w:p>
        </w:tc>
        <w:tc>
          <w:tcPr>
            <w:tcW w:w="3135" w:type="dxa"/>
            <w:vMerge w:val="continue"/>
            <w:tcBorders>
              <w:left w:val="single" w:color="000000" w:sz="4" w:space="0"/>
              <w:bottom w:val="single" w:color="000000" w:sz="4" w:space="0"/>
              <w:right w:val="single" w:color="000000" w:sz="4" w:space="0"/>
            </w:tcBorders>
            <w:noWrap w:val="0"/>
            <w:vAlign w:val="top"/>
          </w:tcPr>
          <w:p w14:paraId="37DCB521">
            <w:pPr>
              <w:widowControl/>
              <w:spacing w:line="320" w:lineRule="exact"/>
              <w:textAlignment w:val="center"/>
              <w:rPr>
                <w:rFonts w:hint="eastAsia" w:ascii="宋体" w:hAnsi="宋体" w:cs="宋体"/>
                <w:spacing w:val="-11"/>
                <w:kern w:val="0"/>
                <w:szCs w:val="21"/>
                <w:lang w:bidi="ar"/>
              </w:rPr>
            </w:pPr>
          </w:p>
        </w:tc>
        <w:tc>
          <w:tcPr>
            <w:tcW w:w="3510" w:type="dxa"/>
            <w:vMerge w:val="continue"/>
            <w:tcBorders>
              <w:left w:val="single" w:color="000000" w:sz="4" w:space="0"/>
              <w:bottom w:val="single" w:color="000000" w:sz="4" w:space="0"/>
              <w:right w:val="single" w:color="000000" w:sz="4" w:space="0"/>
            </w:tcBorders>
            <w:noWrap w:val="0"/>
            <w:vAlign w:val="top"/>
          </w:tcPr>
          <w:p w14:paraId="565DCE38">
            <w:pPr>
              <w:widowControl/>
              <w:spacing w:line="320" w:lineRule="exact"/>
              <w:textAlignment w:val="center"/>
              <w:rPr>
                <w:rFonts w:hint="eastAsia" w:ascii="宋体" w:hAnsi="宋体" w:cs="宋体"/>
                <w:spacing w:val="-11"/>
                <w:kern w:val="0"/>
                <w:szCs w:val="21"/>
                <w:lang w:bidi="ar"/>
              </w:rP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4CCA487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《中华人民共和国环境影响评价法》第二十五条：建设项目的环境影响评价文件未依法经审批部门审查或者审查后未予批准的，建设单位不得开工建设。</w:t>
            </w:r>
          </w:p>
        </w:tc>
      </w:tr>
      <w:tr w14:paraId="0B1D73B8">
        <w:tblPrEx>
          <w:tblCellMar>
            <w:top w:w="0" w:type="dxa"/>
            <w:left w:w="108" w:type="dxa"/>
            <w:bottom w:w="0" w:type="dxa"/>
            <w:right w:w="108" w:type="dxa"/>
          </w:tblCellMar>
        </w:tblPrEx>
        <w:trPr>
          <w:trHeight w:val="480" w:hRule="atLeast"/>
        </w:trPr>
        <w:tc>
          <w:tcPr>
            <w:tcW w:w="717" w:type="dxa"/>
            <w:vMerge w:val="continue"/>
            <w:tcBorders>
              <w:left w:val="single" w:color="000000" w:sz="4" w:space="0"/>
              <w:bottom w:val="single" w:color="000000" w:sz="4" w:space="0"/>
              <w:right w:val="single" w:color="000000" w:sz="4" w:space="0"/>
            </w:tcBorders>
            <w:noWrap w:val="0"/>
            <w:vAlign w:val="top"/>
          </w:tcPr>
          <w:p w14:paraId="45864D69">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384F40FB">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4B1E8A6D">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1E6E425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《中华人民共和国环境影响评价法》第三十一条</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 xml:space="preserve"> “建设单位未依法报批建设项目环境影响报告书、报告表，或者未依照本法第二十四条的规定重新报批或者报请重新审核环境影响报告书、报告表，擅自开工建设的，由县级以上环境保护行政主管部门责令停止建设，根据违法情节和危害后果，处建设项目总投资额百分之一以上百分之五以下的罚款，并可以责令恢复原状；对建设单位直接负责的主管人员和其他直接责任人员，依法给予行政处分。”</w:t>
            </w:r>
          </w:p>
        </w:tc>
      </w:tr>
      <w:tr w14:paraId="3AA1FA58">
        <w:tblPrEx>
          <w:tblCellMar>
            <w:top w:w="0" w:type="dxa"/>
            <w:left w:w="108" w:type="dxa"/>
            <w:bottom w:w="0" w:type="dxa"/>
            <w:right w:w="108" w:type="dxa"/>
          </w:tblCellMar>
        </w:tblPrEx>
        <w:trPr>
          <w:trHeight w:val="2200" w:hRule="atLeast"/>
        </w:trPr>
        <w:tc>
          <w:tcPr>
            <w:tcW w:w="717" w:type="dxa"/>
            <w:vMerge w:val="restart"/>
            <w:tcBorders>
              <w:top w:val="single" w:color="000000" w:sz="4" w:space="0"/>
              <w:left w:val="single" w:color="000000" w:sz="4" w:space="0"/>
              <w:right w:val="single" w:color="000000" w:sz="4" w:space="0"/>
            </w:tcBorders>
            <w:noWrap w:val="0"/>
            <w:vAlign w:val="top"/>
          </w:tcPr>
          <w:p w14:paraId="6C63E9A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2</w:t>
            </w:r>
          </w:p>
        </w:tc>
        <w:tc>
          <w:tcPr>
            <w:tcW w:w="3135" w:type="dxa"/>
            <w:vMerge w:val="restart"/>
            <w:tcBorders>
              <w:top w:val="single" w:color="000000" w:sz="4" w:space="0"/>
              <w:left w:val="single" w:color="000000" w:sz="4" w:space="0"/>
              <w:right w:val="single" w:color="000000" w:sz="4" w:space="0"/>
            </w:tcBorders>
            <w:noWrap w:val="0"/>
            <w:vAlign w:val="top"/>
          </w:tcPr>
          <w:p w14:paraId="64CA802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建设单位未依法重新报批或者未依法报请重新审核环境影响报告书、报告表，擅自开工建设</w:t>
            </w:r>
          </w:p>
        </w:tc>
        <w:tc>
          <w:tcPr>
            <w:tcW w:w="3510" w:type="dxa"/>
            <w:vMerge w:val="restart"/>
            <w:tcBorders>
              <w:top w:val="single" w:color="000000" w:sz="4" w:space="0"/>
              <w:left w:val="single" w:color="000000" w:sz="4" w:space="0"/>
              <w:right w:val="single" w:color="000000" w:sz="4" w:space="0"/>
            </w:tcBorders>
            <w:noWrap w:val="0"/>
            <w:vAlign w:val="top"/>
          </w:tcPr>
          <w:p w14:paraId="56EB3F9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责令停止建设后及时停止建设</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0082B35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环境影响评价法》第二十四条：“建设项目的环境影响评价文件经批准后，建设项目的性质、规模、地点、采用的生产工艺或者防治污染、防止生态破坏的措施发生重大变动的，建设单位应当重新报批建设项目的环境影响评价文件。    建设项目的环境影响评价文件自批准之日起超过五年，方决定该项目开工建设的，其环境影响评价文件应当报原审批部门重新审核；原审批部门应当自收到建设项目环境影响评价文件之日起十日内，将审核意见书面通知建设单位。”</w:t>
            </w:r>
          </w:p>
          <w:p w14:paraId="6846B7EB">
            <w:pPr>
              <w:widowControl/>
              <w:spacing w:line="320" w:lineRule="exact"/>
              <w:textAlignment w:val="center"/>
              <w:rPr>
                <w:rFonts w:hint="eastAsia" w:ascii="宋体" w:hAnsi="宋体" w:cs="宋体"/>
                <w:spacing w:val="-11"/>
                <w:kern w:val="0"/>
                <w:szCs w:val="21"/>
                <w:lang w:bidi="ar"/>
              </w:rPr>
            </w:pPr>
          </w:p>
        </w:tc>
      </w:tr>
      <w:tr w14:paraId="0971FD0D">
        <w:tblPrEx>
          <w:tblCellMar>
            <w:top w:w="0" w:type="dxa"/>
            <w:left w:w="108" w:type="dxa"/>
            <w:bottom w:w="0" w:type="dxa"/>
            <w:right w:w="108" w:type="dxa"/>
          </w:tblCellMar>
        </w:tblPrEx>
        <w:trPr>
          <w:trHeight w:val="480" w:hRule="atLeast"/>
        </w:trPr>
        <w:tc>
          <w:tcPr>
            <w:tcW w:w="717" w:type="dxa"/>
            <w:vMerge w:val="continue"/>
            <w:tcBorders>
              <w:left w:val="single" w:color="000000" w:sz="4" w:space="0"/>
              <w:bottom w:val="single" w:color="000000" w:sz="4" w:space="0"/>
              <w:right w:val="single" w:color="000000" w:sz="4" w:space="0"/>
            </w:tcBorders>
            <w:noWrap w:val="0"/>
            <w:vAlign w:val="top"/>
          </w:tcPr>
          <w:p w14:paraId="5E73D443">
            <w:pPr>
              <w:widowControl/>
              <w:spacing w:line="320" w:lineRule="exact"/>
              <w:textAlignment w:val="center"/>
              <w:rPr>
                <w:rFonts w:hint="eastAsia" w:ascii="宋体" w:hAnsi="宋体" w:cs="宋体"/>
                <w:spacing w:val="-11"/>
                <w:kern w:val="0"/>
                <w:szCs w:val="21"/>
                <w:lang w:bidi="ar"/>
              </w:rPr>
            </w:pPr>
          </w:p>
        </w:tc>
        <w:tc>
          <w:tcPr>
            <w:tcW w:w="3135" w:type="dxa"/>
            <w:vMerge w:val="continue"/>
            <w:tcBorders>
              <w:left w:val="single" w:color="000000" w:sz="4" w:space="0"/>
              <w:bottom w:val="single" w:color="000000" w:sz="4" w:space="0"/>
              <w:right w:val="single" w:color="000000" w:sz="4" w:space="0"/>
            </w:tcBorders>
            <w:noWrap w:val="0"/>
            <w:vAlign w:val="top"/>
          </w:tcPr>
          <w:p w14:paraId="6275697A">
            <w:pPr>
              <w:widowControl/>
              <w:spacing w:line="320" w:lineRule="exact"/>
              <w:textAlignment w:val="center"/>
              <w:rPr>
                <w:rFonts w:hint="eastAsia" w:ascii="宋体" w:hAnsi="宋体" w:cs="宋体"/>
                <w:spacing w:val="-11"/>
                <w:kern w:val="0"/>
                <w:szCs w:val="21"/>
                <w:lang w:bidi="ar"/>
              </w:rPr>
            </w:pPr>
          </w:p>
        </w:tc>
        <w:tc>
          <w:tcPr>
            <w:tcW w:w="3510" w:type="dxa"/>
            <w:vMerge w:val="continue"/>
            <w:tcBorders>
              <w:left w:val="single" w:color="000000" w:sz="4" w:space="0"/>
              <w:bottom w:val="single" w:color="000000" w:sz="4" w:space="0"/>
              <w:right w:val="single" w:color="000000" w:sz="4" w:space="0"/>
            </w:tcBorders>
            <w:noWrap w:val="0"/>
            <w:vAlign w:val="top"/>
          </w:tcPr>
          <w:p w14:paraId="08531A0A">
            <w:pPr>
              <w:widowControl/>
              <w:spacing w:line="320" w:lineRule="exact"/>
              <w:textAlignment w:val="center"/>
              <w:rPr>
                <w:rFonts w:hint="eastAsia" w:ascii="宋体" w:hAnsi="宋体" w:cs="宋体"/>
                <w:spacing w:val="-11"/>
                <w:kern w:val="0"/>
                <w:szCs w:val="21"/>
                <w:lang w:bidi="ar"/>
              </w:rP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1515AF6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《中华人民共和国环境影响评价法》第二十五条：“建设项目的环境影响评价文件未依法经审批部门审查或者审查后未予批准的，建设单位不得开工建设。”</w:t>
            </w:r>
          </w:p>
        </w:tc>
      </w:tr>
      <w:tr w14:paraId="7C5515B0">
        <w:tblPrEx>
          <w:tblCellMar>
            <w:top w:w="0" w:type="dxa"/>
            <w:left w:w="108" w:type="dxa"/>
            <w:bottom w:w="0" w:type="dxa"/>
            <w:right w:w="108" w:type="dxa"/>
          </w:tblCellMar>
        </w:tblPrEx>
        <w:trPr>
          <w:trHeight w:val="480" w:hRule="atLeast"/>
        </w:trPr>
        <w:tc>
          <w:tcPr>
            <w:tcW w:w="717" w:type="dxa"/>
            <w:vMerge w:val="continue"/>
            <w:tcBorders>
              <w:left w:val="single" w:color="000000" w:sz="4" w:space="0"/>
              <w:bottom w:val="single" w:color="000000" w:sz="4" w:space="0"/>
              <w:right w:val="single" w:color="000000" w:sz="4" w:space="0"/>
            </w:tcBorders>
            <w:noWrap w:val="0"/>
            <w:vAlign w:val="top"/>
          </w:tcPr>
          <w:p w14:paraId="2CC0FD6E">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3F71DA22">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216DAFBC">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42715AD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《中华人民共和国环境影响评价法》第三十一条</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 xml:space="preserve"> “建设单位未依法报批建设项目环境影响报告书、报告表，或者未依照本法第二十四条的规定重新报批或者报请重新审核环境影响报告书、报告表，擅自开工建设的，由县级以上环境保护行政主管部门责令停止建设，根据违法情节和危害后果，处建设项目总投资额百分之一以上百分之五以下的罚款，并可以责令恢复原状；对建设单位直接负责的主管人员和其他直接责任人员，依法给予行政处分。  建设项目环境影响报告书、报告表未经批准或者未经原审批部门重新审核同意，建设单位擅自开工建设的，依照前款的规定处罚、处分。”</w:t>
            </w:r>
          </w:p>
        </w:tc>
      </w:tr>
      <w:tr w14:paraId="45FAE0B3">
        <w:tblPrEx>
          <w:tblCellMar>
            <w:top w:w="0" w:type="dxa"/>
            <w:left w:w="108" w:type="dxa"/>
            <w:bottom w:w="0" w:type="dxa"/>
            <w:right w:w="108" w:type="dxa"/>
          </w:tblCellMar>
        </w:tblPrEx>
        <w:trPr>
          <w:trHeight w:val="587" w:hRule="atLeast"/>
        </w:trPr>
        <w:tc>
          <w:tcPr>
            <w:tcW w:w="717" w:type="dxa"/>
            <w:vMerge w:val="restart"/>
            <w:tcBorders>
              <w:top w:val="single" w:color="000000" w:sz="4" w:space="0"/>
              <w:left w:val="single" w:color="000000" w:sz="4" w:space="0"/>
              <w:right w:val="single" w:color="000000" w:sz="4" w:space="0"/>
            </w:tcBorders>
            <w:noWrap w:val="0"/>
            <w:vAlign w:val="top"/>
          </w:tcPr>
          <w:p w14:paraId="0A9F951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3</w:t>
            </w:r>
          </w:p>
        </w:tc>
        <w:tc>
          <w:tcPr>
            <w:tcW w:w="3135" w:type="dxa"/>
            <w:vMerge w:val="restart"/>
            <w:tcBorders>
              <w:top w:val="single" w:color="000000" w:sz="4" w:space="0"/>
              <w:left w:val="single" w:color="000000" w:sz="4" w:space="0"/>
              <w:right w:val="single" w:color="000000" w:sz="4" w:space="0"/>
            </w:tcBorders>
            <w:noWrap w:val="0"/>
            <w:vAlign w:val="top"/>
          </w:tcPr>
          <w:p w14:paraId="5376F2A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建设项目环境影响报告书、报告表未经批准或者未经原审批部门重新审核同意，建设单位擅自开工建设</w:t>
            </w:r>
          </w:p>
        </w:tc>
        <w:tc>
          <w:tcPr>
            <w:tcW w:w="3510" w:type="dxa"/>
            <w:vMerge w:val="restart"/>
            <w:tcBorders>
              <w:top w:val="single" w:color="000000" w:sz="4" w:space="0"/>
              <w:left w:val="single" w:color="000000" w:sz="4" w:space="0"/>
              <w:right w:val="single" w:color="000000" w:sz="4" w:space="0"/>
            </w:tcBorders>
            <w:noWrap w:val="0"/>
            <w:vAlign w:val="top"/>
          </w:tcPr>
          <w:p w14:paraId="4FBF1DB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责令停止建设后及时停止建设</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232153A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《中华人民共和国环境影响评价法》第二十五条：“建设项目的环境影响评价文件未依法经审批部门审查或者审查后未予批准的，建设单位不得开工建设。”</w:t>
            </w:r>
          </w:p>
        </w:tc>
      </w:tr>
      <w:tr w14:paraId="56E00F90">
        <w:tblPrEx>
          <w:tblCellMar>
            <w:top w:w="0" w:type="dxa"/>
            <w:left w:w="108" w:type="dxa"/>
            <w:bottom w:w="0" w:type="dxa"/>
            <w:right w:w="108" w:type="dxa"/>
          </w:tblCellMar>
        </w:tblPrEx>
        <w:trPr>
          <w:trHeight w:val="587" w:hRule="atLeast"/>
        </w:trPr>
        <w:tc>
          <w:tcPr>
            <w:tcW w:w="717" w:type="dxa"/>
            <w:vMerge w:val="continue"/>
            <w:tcBorders>
              <w:left w:val="single" w:color="000000" w:sz="4" w:space="0"/>
              <w:bottom w:val="single" w:color="000000" w:sz="4" w:space="0"/>
              <w:right w:val="single" w:color="000000" w:sz="4" w:space="0"/>
            </w:tcBorders>
            <w:noWrap w:val="0"/>
            <w:vAlign w:val="top"/>
          </w:tcPr>
          <w:p w14:paraId="31C3C2E6">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4802D0D3">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3C93A745">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00EB881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《中华人民共和国环境影响评价法》第三十一条</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 xml:space="preserve"> “建设单位未依法报批建设项目环境影响报告书、报告表，或者未依照本法第二十四条的规定重新报批或者报请重新审核环境影响报告书、报告表，擅自开工建设的，由县级以上环境保护行政主管部门责令停止建设，根据违法情节和危害后果，处建设项目总投资额百分之一以上百分之五以下的罚款，并可以责令恢复原状；对建设单位直接负责的主管人员和其他直接责任人员，依法给予行政处分。”</w:t>
            </w:r>
          </w:p>
        </w:tc>
      </w:tr>
      <w:tr w14:paraId="59961C19">
        <w:tblPrEx>
          <w:tblCellMar>
            <w:top w:w="0" w:type="dxa"/>
            <w:left w:w="108" w:type="dxa"/>
            <w:bottom w:w="0" w:type="dxa"/>
            <w:right w:w="108" w:type="dxa"/>
          </w:tblCellMar>
        </w:tblPrEx>
        <w:trPr>
          <w:trHeight w:val="587" w:hRule="atLeast"/>
        </w:trPr>
        <w:tc>
          <w:tcPr>
            <w:tcW w:w="717" w:type="dxa"/>
            <w:tcBorders>
              <w:left w:val="single" w:color="000000" w:sz="4" w:space="0"/>
              <w:bottom w:val="single" w:color="000000" w:sz="4" w:space="0"/>
              <w:right w:val="single" w:color="000000" w:sz="4" w:space="0"/>
            </w:tcBorders>
            <w:noWrap w:val="0"/>
            <w:vAlign w:val="center"/>
          </w:tcPr>
          <w:p w14:paraId="5F353B9C">
            <w:pPr>
              <w:widowControl/>
              <w:spacing w:line="320" w:lineRule="exact"/>
              <w:textAlignment w:val="center"/>
              <w:rPr>
                <w:rFonts w:hint="eastAsia"/>
              </w:rPr>
            </w:pPr>
            <w:r>
              <w:rPr>
                <w:rFonts w:hint="eastAsia"/>
              </w:rPr>
              <w:t>二</w:t>
            </w:r>
          </w:p>
        </w:tc>
        <w:tc>
          <w:tcPr>
            <w:tcW w:w="13200" w:type="dxa"/>
            <w:gridSpan w:val="3"/>
            <w:tcBorders>
              <w:left w:val="single" w:color="000000" w:sz="4" w:space="0"/>
              <w:bottom w:val="single" w:color="000000" w:sz="4" w:space="0"/>
              <w:right w:val="single" w:color="000000" w:sz="4" w:space="0"/>
            </w:tcBorders>
            <w:noWrap w:val="0"/>
            <w:vAlign w:val="center"/>
          </w:tcPr>
          <w:p w14:paraId="35D17760">
            <w:pPr>
              <w:widowControl/>
              <w:spacing w:line="320" w:lineRule="exact"/>
              <w:textAlignment w:val="center"/>
              <w:rPr>
                <w:rFonts w:hint="eastAsia" w:ascii="宋体" w:hAnsi="宋体" w:cs="宋体"/>
                <w:spacing w:val="-11"/>
                <w:kern w:val="0"/>
                <w:szCs w:val="21"/>
                <w:lang w:bidi="ar"/>
              </w:rPr>
            </w:pPr>
            <w:r>
              <w:rPr>
                <w:rFonts w:hint="eastAsia" w:ascii="宋体" w:hAnsi="宋体" w:cs="宋体"/>
                <w:b/>
                <w:spacing w:val="-11"/>
                <w:kern w:val="0"/>
                <w:szCs w:val="21"/>
                <w:lang w:bidi="ar"/>
              </w:rPr>
              <w:t>违反建设项目环境保护管理有关规定的情形</w:t>
            </w:r>
          </w:p>
        </w:tc>
      </w:tr>
      <w:tr w14:paraId="372A84FE">
        <w:tblPrEx>
          <w:tblCellMar>
            <w:top w:w="0" w:type="dxa"/>
            <w:left w:w="108" w:type="dxa"/>
            <w:bottom w:w="0" w:type="dxa"/>
            <w:right w:w="108" w:type="dxa"/>
          </w:tblCellMar>
        </w:tblPrEx>
        <w:trPr>
          <w:trHeight w:val="635" w:hRule="atLeast"/>
        </w:trPr>
        <w:tc>
          <w:tcPr>
            <w:tcW w:w="717" w:type="dxa"/>
            <w:vMerge w:val="restart"/>
            <w:tcBorders>
              <w:top w:val="single" w:color="000000" w:sz="4" w:space="0"/>
              <w:left w:val="single" w:color="000000" w:sz="4" w:space="0"/>
              <w:right w:val="single" w:color="000000" w:sz="4" w:space="0"/>
            </w:tcBorders>
            <w:noWrap w:val="0"/>
            <w:vAlign w:val="top"/>
          </w:tcPr>
          <w:p w14:paraId="7DF033D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4</w:t>
            </w:r>
          </w:p>
        </w:tc>
        <w:tc>
          <w:tcPr>
            <w:tcW w:w="3135" w:type="dxa"/>
            <w:vMerge w:val="restart"/>
            <w:tcBorders>
              <w:top w:val="single" w:color="000000" w:sz="4" w:space="0"/>
              <w:left w:val="single" w:color="000000" w:sz="4" w:space="0"/>
              <w:right w:val="single" w:color="000000" w:sz="4" w:space="0"/>
            </w:tcBorders>
            <w:noWrap w:val="0"/>
            <w:vAlign w:val="top"/>
          </w:tcPr>
          <w:p w14:paraId="1D297C8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建设单位未依法备案建设项目环境影响登记表</w:t>
            </w:r>
          </w:p>
        </w:tc>
        <w:tc>
          <w:tcPr>
            <w:tcW w:w="3510" w:type="dxa"/>
            <w:vMerge w:val="restart"/>
            <w:tcBorders>
              <w:top w:val="single" w:color="000000" w:sz="4" w:space="0"/>
              <w:left w:val="single" w:color="000000" w:sz="4" w:space="0"/>
              <w:right w:val="single" w:color="000000" w:sz="4" w:space="0"/>
            </w:tcBorders>
            <w:noWrap w:val="0"/>
            <w:vAlign w:val="top"/>
          </w:tcPr>
          <w:p w14:paraId="484BD39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首次被发现，在检查之日起5日内完成备案的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42B04A3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项目环境保护管理条例》第九条第四款：“依法应当填报环境影响登记表的建设项目，建设单位应当按照国务院环境保护行政主管部门的规定将环境影响登记表报建设项目所在地县级环境保护行政主管部门备案。”</w:t>
            </w:r>
          </w:p>
        </w:tc>
      </w:tr>
      <w:tr w14:paraId="6BC96ACA">
        <w:tblPrEx>
          <w:tblCellMar>
            <w:top w:w="0" w:type="dxa"/>
            <w:left w:w="108" w:type="dxa"/>
            <w:bottom w:w="0" w:type="dxa"/>
            <w:right w:w="108" w:type="dxa"/>
          </w:tblCellMar>
        </w:tblPrEx>
        <w:trPr>
          <w:trHeight w:val="635" w:hRule="atLeast"/>
        </w:trPr>
        <w:tc>
          <w:tcPr>
            <w:tcW w:w="717" w:type="dxa"/>
            <w:vMerge w:val="continue"/>
            <w:tcBorders>
              <w:left w:val="single" w:color="000000" w:sz="4" w:space="0"/>
              <w:bottom w:val="single" w:color="000000" w:sz="4" w:space="0"/>
              <w:right w:val="single" w:color="000000" w:sz="4" w:space="0"/>
            </w:tcBorders>
            <w:noWrap w:val="0"/>
            <w:vAlign w:val="top"/>
          </w:tcPr>
          <w:p w14:paraId="455EEB77">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2A3CF609">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2D0A7888">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2743BD6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 xml:space="preserve">《建设项目环境保护管理条例》第二十一条第（三）项：“建设单位有下列行为之一的，依照《中华人民共和国环境影响评价法》的规定处罚： </w:t>
            </w:r>
          </w:p>
          <w:p w14:paraId="516496E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eastAsia="zh-CN" w:bidi="ar"/>
              </w:rPr>
              <w:t>……</w:t>
            </w:r>
            <w:r>
              <w:rPr>
                <w:rFonts w:hint="eastAsia" w:ascii="宋体" w:hAnsi="宋体" w:cs="宋体"/>
                <w:spacing w:val="-11"/>
                <w:kern w:val="0"/>
                <w:szCs w:val="21"/>
                <w:lang w:bidi="ar"/>
              </w:rPr>
              <w:t>（三）建设项目环境影响登记表未依法备案。”</w:t>
            </w:r>
          </w:p>
          <w:p w14:paraId="2A33DE1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《中华人民共和国环境影响评价法》第三十一条第三款：“建设单位未依法备案建设项目环境影响登记表的，由县级以上环境保护行政主管部门责令备案，处五万元以下的罚款。”</w:t>
            </w:r>
          </w:p>
        </w:tc>
      </w:tr>
      <w:tr w14:paraId="6D99D0F1">
        <w:tblPrEx>
          <w:tblCellMar>
            <w:top w:w="0" w:type="dxa"/>
            <w:left w:w="108" w:type="dxa"/>
            <w:bottom w:w="0" w:type="dxa"/>
            <w:right w:w="108" w:type="dxa"/>
          </w:tblCellMar>
        </w:tblPrEx>
        <w:trPr>
          <w:trHeight w:val="792" w:hRule="atLeast"/>
        </w:trPr>
        <w:tc>
          <w:tcPr>
            <w:tcW w:w="717" w:type="dxa"/>
            <w:vMerge w:val="restart"/>
            <w:tcBorders>
              <w:top w:val="single" w:color="000000" w:sz="4" w:space="0"/>
              <w:left w:val="single" w:color="000000" w:sz="4" w:space="0"/>
              <w:right w:val="single" w:color="000000" w:sz="4" w:space="0"/>
            </w:tcBorders>
            <w:noWrap w:val="0"/>
            <w:vAlign w:val="top"/>
          </w:tcPr>
          <w:p w14:paraId="1B3F775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5</w:t>
            </w:r>
          </w:p>
        </w:tc>
        <w:tc>
          <w:tcPr>
            <w:tcW w:w="3135" w:type="dxa"/>
            <w:vMerge w:val="restart"/>
            <w:tcBorders>
              <w:top w:val="single" w:color="000000" w:sz="4" w:space="0"/>
              <w:left w:val="single" w:color="000000" w:sz="4" w:space="0"/>
              <w:right w:val="single" w:color="000000" w:sz="4" w:space="0"/>
            </w:tcBorders>
            <w:noWrap w:val="0"/>
            <w:vAlign w:val="top"/>
          </w:tcPr>
          <w:p w14:paraId="07B98CA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建设单位编制建设项目初步设计未落实防治环境污染的措施以及环境保护设施投资概算，未将环境保护设施建设纳入施工合同，未依法开展环境影响后评价</w:t>
            </w:r>
          </w:p>
        </w:tc>
        <w:tc>
          <w:tcPr>
            <w:tcW w:w="3510" w:type="dxa"/>
            <w:vMerge w:val="restart"/>
            <w:tcBorders>
              <w:top w:val="single" w:color="000000" w:sz="4" w:space="0"/>
              <w:left w:val="single" w:color="000000" w:sz="4" w:space="0"/>
              <w:right w:val="single" w:color="000000" w:sz="4" w:space="0"/>
            </w:tcBorders>
            <w:noWrap w:val="0"/>
            <w:vAlign w:val="top"/>
          </w:tcPr>
          <w:p w14:paraId="357801E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首次被发现，责令限期改正后及时改正的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08617D0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《建设项目环境保护管理条例》第十六条：“</w:t>
            </w:r>
            <w:r>
              <w:rPr>
                <w:rFonts w:ascii="宋体" w:hAnsi="宋体" w:cs="宋体"/>
                <w:spacing w:val="-11"/>
                <w:kern w:val="0"/>
                <w:szCs w:val="21"/>
                <w:lang w:bidi="ar"/>
              </w:rPr>
              <w:t>建设项目的初步设计，应当按照环境保护设计规范的要求，编制环境保护篇章，落实防治环境污染和生态破坏的措施以及环境保护设施投资概算。</w:t>
            </w:r>
            <w:r>
              <w:rPr>
                <w:rFonts w:hint="eastAsia" w:ascii="宋体" w:hAnsi="宋体" w:cs="宋体"/>
                <w:spacing w:val="-11"/>
                <w:kern w:val="0"/>
                <w:szCs w:val="21"/>
                <w:lang w:bidi="ar"/>
              </w:rPr>
              <w:t xml:space="preserve">  </w:t>
            </w:r>
            <w:r>
              <w:rPr>
                <w:rFonts w:ascii="宋体" w:hAnsi="宋体" w:cs="宋体"/>
                <w:spacing w:val="-11"/>
                <w:kern w:val="0"/>
                <w:szCs w:val="21"/>
                <w:lang w:bidi="ar"/>
              </w:rPr>
              <w:t>建设单位应当将环境保护设施建设纳入施工合同，保证环境保护设施建设进度和资金，并在项目建设过程中同时组织实施环境影响报告书、环境影响报告表及其审批部门审批决定中提出的环境保护对策措施。</w:t>
            </w:r>
            <w:r>
              <w:rPr>
                <w:rFonts w:hint="eastAsia" w:ascii="宋体" w:hAnsi="宋体" w:cs="宋体"/>
                <w:spacing w:val="-11"/>
                <w:kern w:val="0"/>
                <w:szCs w:val="21"/>
                <w:lang w:bidi="ar"/>
              </w:rPr>
              <w:t>”</w:t>
            </w:r>
          </w:p>
        </w:tc>
      </w:tr>
      <w:tr w14:paraId="60F8FF8F">
        <w:tblPrEx>
          <w:tblCellMar>
            <w:top w:w="0" w:type="dxa"/>
            <w:left w:w="108" w:type="dxa"/>
            <w:bottom w:w="0" w:type="dxa"/>
            <w:right w:w="108" w:type="dxa"/>
          </w:tblCellMar>
        </w:tblPrEx>
        <w:trPr>
          <w:trHeight w:val="800" w:hRule="atLeast"/>
        </w:trPr>
        <w:tc>
          <w:tcPr>
            <w:tcW w:w="717" w:type="dxa"/>
            <w:vMerge w:val="continue"/>
            <w:tcBorders>
              <w:left w:val="single" w:color="000000" w:sz="4" w:space="0"/>
              <w:bottom w:val="single" w:color="000000" w:sz="4" w:space="0"/>
              <w:right w:val="single" w:color="000000" w:sz="4" w:space="0"/>
            </w:tcBorders>
            <w:noWrap w:val="0"/>
            <w:vAlign w:val="top"/>
          </w:tcPr>
          <w:p w14:paraId="3255379C">
            <w:pPr>
              <w:widowControl/>
              <w:spacing w:line="320" w:lineRule="exact"/>
              <w:textAlignment w:val="center"/>
              <w:rPr>
                <w:rFonts w:hint="eastAsia" w:ascii="宋体" w:hAnsi="宋体" w:cs="宋体"/>
                <w:spacing w:val="-11"/>
                <w:kern w:val="0"/>
                <w:szCs w:val="21"/>
                <w:lang w:bidi="ar"/>
              </w:rPr>
            </w:pPr>
          </w:p>
        </w:tc>
        <w:tc>
          <w:tcPr>
            <w:tcW w:w="3135" w:type="dxa"/>
            <w:vMerge w:val="continue"/>
            <w:tcBorders>
              <w:left w:val="single" w:color="000000" w:sz="4" w:space="0"/>
              <w:bottom w:val="single" w:color="000000" w:sz="4" w:space="0"/>
              <w:right w:val="single" w:color="000000" w:sz="4" w:space="0"/>
            </w:tcBorders>
            <w:noWrap w:val="0"/>
            <w:vAlign w:val="top"/>
          </w:tcPr>
          <w:p w14:paraId="22951E0D">
            <w:pPr>
              <w:widowControl/>
              <w:spacing w:line="320" w:lineRule="exact"/>
              <w:textAlignment w:val="center"/>
              <w:rPr>
                <w:rFonts w:hint="eastAsia" w:ascii="宋体" w:hAnsi="宋体" w:cs="宋体"/>
                <w:spacing w:val="-11"/>
                <w:kern w:val="0"/>
                <w:szCs w:val="21"/>
                <w:lang w:bidi="ar"/>
              </w:rPr>
            </w:pPr>
          </w:p>
        </w:tc>
        <w:tc>
          <w:tcPr>
            <w:tcW w:w="3510" w:type="dxa"/>
            <w:vMerge w:val="continue"/>
            <w:tcBorders>
              <w:left w:val="single" w:color="000000" w:sz="4" w:space="0"/>
              <w:bottom w:val="single" w:color="000000" w:sz="4" w:space="0"/>
              <w:right w:val="single" w:color="000000" w:sz="4" w:space="0"/>
            </w:tcBorders>
            <w:noWrap w:val="0"/>
            <w:vAlign w:val="top"/>
          </w:tcPr>
          <w:p w14:paraId="0BB04D2A">
            <w:pPr>
              <w:widowControl/>
              <w:spacing w:line="320" w:lineRule="exact"/>
              <w:textAlignment w:val="center"/>
              <w:rPr>
                <w:rFonts w:hint="eastAsia" w:ascii="宋体" w:hAnsi="宋体" w:cs="宋体"/>
                <w:spacing w:val="-11"/>
                <w:kern w:val="0"/>
                <w:szCs w:val="21"/>
                <w:lang w:bidi="ar"/>
              </w:rP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01E0A00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《建设项目环境保护管理条例》第十九条：“</w:t>
            </w:r>
            <w:r>
              <w:rPr>
                <w:rFonts w:ascii="宋体" w:hAnsi="宋体" w:cs="宋体"/>
                <w:spacing w:val="-11"/>
                <w:kern w:val="0"/>
                <w:szCs w:val="21"/>
                <w:lang w:bidi="ar"/>
              </w:rPr>
              <w:t>编制环境影响报告书、环境影响报告表的建设项目，其配套建设的环境保护设施经验收合格，方可投入生产或者使用；未经验收或者验收不合格的，不得投入生产或者使用。前款规定的建设项目投入生产或者使用后，应当按照国务院环境保护行政主管部门的规定开展环境影响后评价。</w:t>
            </w:r>
            <w:r>
              <w:rPr>
                <w:rFonts w:hint="eastAsia" w:ascii="宋体" w:hAnsi="宋体" w:cs="宋体"/>
                <w:spacing w:val="-11"/>
                <w:kern w:val="0"/>
                <w:szCs w:val="21"/>
                <w:lang w:bidi="ar"/>
              </w:rPr>
              <w:t>”</w:t>
            </w:r>
          </w:p>
        </w:tc>
      </w:tr>
      <w:tr w14:paraId="076527D2">
        <w:tblPrEx>
          <w:tblCellMar>
            <w:top w:w="0" w:type="dxa"/>
            <w:left w:w="108" w:type="dxa"/>
            <w:bottom w:w="0" w:type="dxa"/>
            <w:right w:w="108" w:type="dxa"/>
          </w:tblCellMar>
        </w:tblPrEx>
        <w:trPr>
          <w:trHeight w:val="800" w:hRule="atLeast"/>
        </w:trPr>
        <w:tc>
          <w:tcPr>
            <w:tcW w:w="717" w:type="dxa"/>
            <w:vMerge w:val="continue"/>
            <w:tcBorders>
              <w:left w:val="single" w:color="000000" w:sz="4" w:space="0"/>
              <w:bottom w:val="single" w:color="000000" w:sz="4" w:space="0"/>
              <w:right w:val="single" w:color="000000" w:sz="4" w:space="0"/>
            </w:tcBorders>
            <w:noWrap w:val="0"/>
            <w:vAlign w:val="top"/>
          </w:tcPr>
          <w:p w14:paraId="6CB59032">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26F1240C">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46B75F38">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6276FD2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项目环境保护管理条例》第二十二条：“违反本条例规定，建设单位编制建设项目初步设计未落实防治环境污染和生态破坏的措施以及环境保护设施投资概算，未将环境保护设施建设纳入施工合同，或者未依法开展环境影响后评价的，由建设项目所在地县级以上环境保护行政主管部门责令限期改正，处5万元以上20万元以下的罚款；逾期不改正的，处20万元以上100万元以下的罚款。”</w:t>
            </w:r>
          </w:p>
        </w:tc>
      </w:tr>
      <w:tr w14:paraId="31F6B85C">
        <w:tblPrEx>
          <w:tblCellMar>
            <w:top w:w="0" w:type="dxa"/>
            <w:left w:w="108" w:type="dxa"/>
            <w:bottom w:w="0" w:type="dxa"/>
            <w:right w:w="108" w:type="dxa"/>
          </w:tblCellMar>
        </w:tblPrEx>
        <w:trPr>
          <w:trHeight w:val="90" w:hRule="atLeast"/>
        </w:trPr>
        <w:tc>
          <w:tcPr>
            <w:tcW w:w="717" w:type="dxa"/>
            <w:tcBorders>
              <w:left w:val="single" w:color="000000" w:sz="4" w:space="0"/>
              <w:bottom w:val="single" w:color="000000" w:sz="4" w:space="0"/>
              <w:right w:val="single" w:color="000000" w:sz="4" w:space="0"/>
            </w:tcBorders>
            <w:noWrap w:val="0"/>
            <w:vAlign w:val="center"/>
          </w:tcPr>
          <w:p w14:paraId="44EA715F">
            <w:pPr>
              <w:widowControl/>
              <w:spacing w:line="320" w:lineRule="exact"/>
              <w:jc w:val="center"/>
              <w:textAlignment w:val="center"/>
              <w:rPr>
                <w:rFonts w:hint="eastAsia"/>
              </w:rPr>
            </w:pPr>
            <w:r>
              <w:rPr>
                <w:rFonts w:hint="eastAsia"/>
              </w:rPr>
              <w:t>三</w:t>
            </w:r>
          </w:p>
        </w:tc>
        <w:tc>
          <w:tcPr>
            <w:tcW w:w="13200" w:type="dxa"/>
            <w:gridSpan w:val="3"/>
            <w:tcBorders>
              <w:left w:val="single" w:color="000000" w:sz="4" w:space="0"/>
              <w:bottom w:val="single" w:color="000000" w:sz="4" w:space="0"/>
              <w:right w:val="single" w:color="000000" w:sz="4" w:space="0"/>
            </w:tcBorders>
            <w:noWrap w:val="0"/>
            <w:vAlign w:val="center"/>
          </w:tcPr>
          <w:p w14:paraId="4761C3D3">
            <w:pPr>
              <w:widowControl/>
              <w:spacing w:line="320" w:lineRule="exact"/>
              <w:jc w:val="left"/>
              <w:textAlignment w:val="center"/>
              <w:rPr>
                <w:rFonts w:hint="eastAsia" w:ascii="宋体" w:hAnsi="宋体" w:cs="宋体"/>
                <w:spacing w:val="-11"/>
                <w:kern w:val="0"/>
                <w:szCs w:val="21"/>
                <w:lang w:bidi="ar"/>
              </w:rPr>
            </w:pPr>
            <w:r>
              <w:rPr>
                <w:rFonts w:hint="eastAsia" w:ascii="宋体" w:hAnsi="宋体" w:cs="宋体"/>
                <w:b/>
                <w:spacing w:val="-11"/>
                <w:kern w:val="0"/>
                <w:szCs w:val="21"/>
                <w:lang w:bidi="ar"/>
              </w:rPr>
              <w:t>违反排污许可管理有关规定的情形</w:t>
            </w:r>
          </w:p>
        </w:tc>
      </w:tr>
      <w:tr w14:paraId="00E3BE44">
        <w:tblPrEx>
          <w:tblCellMar>
            <w:top w:w="0" w:type="dxa"/>
            <w:left w:w="108" w:type="dxa"/>
            <w:bottom w:w="0" w:type="dxa"/>
            <w:right w:w="108" w:type="dxa"/>
          </w:tblCellMar>
        </w:tblPrEx>
        <w:trPr>
          <w:trHeight w:val="565" w:hRule="atLeast"/>
        </w:trPr>
        <w:tc>
          <w:tcPr>
            <w:tcW w:w="717" w:type="dxa"/>
            <w:vMerge w:val="restart"/>
            <w:tcBorders>
              <w:top w:val="single" w:color="000000" w:sz="4" w:space="0"/>
              <w:left w:val="single" w:color="000000" w:sz="4" w:space="0"/>
              <w:right w:val="single" w:color="000000" w:sz="4" w:space="0"/>
            </w:tcBorders>
            <w:noWrap w:val="0"/>
            <w:vAlign w:val="top"/>
          </w:tcPr>
          <w:p w14:paraId="5329380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6</w:t>
            </w:r>
          </w:p>
        </w:tc>
        <w:tc>
          <w:tcPr>
            <w:tcW w:w="3135" w:type="dxa"/>
            <w:vMerge w:val="restart"/>
            <w:tcBorders>
              <w:top w:val="single" w:color="000000" w:sz="4" w:space="0"/>
              <w:left w:val="single" w:color="000000" w:sz="4" w:space="0"/>
              <w:right w:val="single" w:color="000000" w:sz="4" w:space="0"/>
            </w:tcBorders>
            <w:noWrap w:val="0"/>
            <w:vAlign w:val="top"/>
          </w:tcPr>
          <w:p w14:paraId="26885BF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污染物产生量、排放量和对环境的影响都很小的企业事业单位和其他生产经营者，应当填报排污登记表没有填报</w:t>
            </w:r>
          </w:p>
        </w:tc>
        <w:tc>
          <w:tcPr>
            <w:tcW w:w="3510" w:type="dxa"/>
            <w:vMerge w:val="restart"/>
            <w:tcBorders>
              <w:top w:val="single" w:color="000000" w:sz="4" w:space="0"/>
              <w:left w:val="single" w:color="000000" w:sz="4" w:space="0"/>
              <w:right w:val="single" w:color="000000" w:sz="4" w:space="0"/>
            </w:tcBorders>
            <w:noWrap w:val="0"/>
            <w:vAlign w:val="top"/>
          </w:tcPr>
          <w:p w14:paraId="4260829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首次被发现，在检查之日起5日内完成填报的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0A22375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《排污许可管理条例》第二十四条第一款：“第二十四条　污染物产生量、排放量和对环境的影响程度都很小的企业事业单位和其他生产经营者，应当填报排污登记表，不需要申请取得排污许可证。”</w:t>
            </w:r>
          </w:p>
        </w:tc>
      </w:tr>
      <w:tr w14:paraId="70DBB154">
        <w:tblPrEx>
          <w:tblCellMar>
            <w:top w:w="0" w:type="dxa"/>
            <w:left w:w="108" w:type="dxa"/>
            <w:bottom w:w="0" w:type="dxa"/>
            <w:right w:w="108" w:type="dxa"/>
          </w:tblCellMar>
        </w:tblPrEx>
        <w:trPr>
          <w:trHeight w:val="565" w:hRule="atLeast"/>
        </w:trPr>
        <w:tc>
          <w:tcPr>
            <w:tcW w:w="717" w:type="dxa"/>
            <w:vMerge w:val="continue"/>
            <w:tcBorders>
              <w:left w:val="single" w:color="000000" w:sz="4" w:space="0"/>
              <w:bottom w:val="single" w:color="000000" w:sz="4" w:space="0"/>
              <w:right w:val="single" w:color="000000" w:sz="4" w:space="0"/>
            </w:tcBorders>
            <w:noWrap w:val="0"/>
            <w:vAlign w:val="top"/>
          </w:tcPr>
          <w:p w14:paraId="37EB8A6E">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2679F4CD">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41AF664D">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0913796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《排污许可管理条例》第四十三条：“需要填报排污登记表的企业事业单位和其他生产经营者，未依照本条例规定填报排污信息的，由生态环境主管部门责令改正，可以处5万元以下的罚款。”</w:t>
            </w:r>
          </w:p>
        </w:tc>
      </w:tr>
      <w:tr w14:paraId="08EBC68E">
        <w:tblPrEx>
          <w:tblCellMar>
            <w:top w:w="0" w:type="dxa"/>
            <w:left w:w="108" w:type="dxa"/>
            <w:bottom w:w="0" w:type="dxa"/>
            <w:right w:w="108" w:type="dxa"/>
          </w:tblCellMar>
        </w:tblPrEx>
        <w:trPr>
          <w:trHeight w:val="633" w:hRule="atLeast"/>
        </w:trPr>
        <w:tc>
          <w:tcPr>
            <w:tcW w:w="717" w:type="dxa"/>
            <w:vMerge w:val="restart"/>
            <w:tcBorders>
              <w:top w:val="single" w:color="000000" w:sz="4" w:space="0"/>
              <w:left w:val="single" w:color="000000" w:sz="4" w:space="0"/>
              <w:right w:val="single" w:color="000000" w:sz="4" w:space="0"/>
            </w:tcBorders>
            <w:noWrap w:val="0"/>
            <w:vAlign w:val="top"/>
          </w:tcPr>
          <w:p w14:paraId="6A50D87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7</w:t>
            </w:r>
          </w:p>
        </w:tc>
        <w:tc>
          <w:tcPr>
            <w:tcW w:w="3135" w:type="dxa"/>
            <w:vMerge w:val="restart"/>
            <w:tcBorders>
              <w:top w:val="single" w:color="000000" w:sz="4" w:space="0"/>
              <w:left w:val="single" w:color="000000" w:sz="4" w:space="0"/>
              <w:right w:val="single" w:color="000000" w:sz="4" w:space="0"/>
            </w:tcBorders>
            <w:noWrap w:val="0"/>
            <w:vAlign w:val="top"/>
          </w:tcPr>
          <w:p w14:paraId="14013E9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排污单位未按照规定公开排污许可证执行信息，重点排污单位环境信息未及时公开或者公开内容不全</w:t>
            </w:r>
          </w:p>
        </w:tc>
        <w:tc>
          <w:tcPr>
            <w:tcW w:w="3510" w:type="dxa"/>
            <w:vMerge w:val="restart"/>
            <w:tcBorders>
              <w:top w:val="single" w:color="000000" w:sz="4" w:space="0"/>
              <w:left w:val="single" w:color="000000" w:sz="4" w:space="0"/>
              <w:right w:val="single" w:color="000000" w:sz="4" w:space="0"/>
            </w:tcBorders>
            <w:noWrap w:val="0"/>
            <w:vAlign w:val="top"/>
          </w:tcPr>
          <w:p w14:paraId="18B1292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自检查发现之日起5日内按要求完成整改的（不含公开内容弄虚作假行为）</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1C0B4A9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《排污许可管理条例》第二十二条：“</w:t>
            </w:r>
            <w:r>
              <w:rPr>
                <w:rFonts w:ascii="宋体" w:hAnsi="宋体" w:cs="宋体"/>
                <w:spacing w:val="-11"/>
                <w:kern w:val="0"/>
                <w:szCs w:val="21"/>
                <w:lang w:bidi="ar"/>
              </w:rPr>
              <w:t>排污单位应当按照排污许可证规定的内容、频次和时间要求，向审批部门提交排污许可证执行报告，如实报告污染物排放行为、排放浓度、排放量等。</w:t>
            </w:r>
            <w:r>
              <w:rPr>
                <w:rFonts w:hint="eastAsia" w:ascii="宋体" w:hAnsi="宋体" w:cs="宋体"/>
                <w:spacing w:val="-11"/>
                <w:kern w:val="0"/>
                <w:szCs w:val="21"/>
                <w:lang w:bidi="ar"/>
              </w:rPr>
              <w:t xml:space="preserve">  </w:t>
            </w:r>
            <w:r>
              <w:rPr>
                <w:rFonts w:ascii="宋体" w:hAnsi="宋体" w:cs="宋体"/>
                <w:spacing w:val="-11"/>
                <w:kern w:val="0"/>
                <w:szCs w:val="21"/>
                <w:lang w:bidi="ar"/>
              </w:rPr>
              <w:t>排污许可证有效期内发生停产的，排污单位应当在排污许可证执行报告中如实报告污染物排放变化情况并说明原因。</w:t>
            </w:r>
            <w:r>
              <w:rPr>
                <w:rFonts w:hint="eastAsia" w:ascii="宋体" w:hAnsi="宋体" w:cs="宋体"/>
                <w:spacing w:val="-11"/>
                <w:kern w:val="0"/>
                <w:szCs w:val="21"/>
                <w:lang w:bidi="ar"/>
              </w:rPr>
              <w:t xml:space="preserve">  </w:t>
            </w:r>
            <w:r>
              <w:rPr>
                <w:rFonts w:ascii="宋体" w:hAnsi="宋体" w:cs="宋体"/>
                <w:spacing w:val="-11"/>
                <w:kern w:val="0"/>
                <w:szCs w:val="21"/>
                <w:lang w:bidi="ar"/>
              </w:rPr>
              <w:t>排污许可证执行报告中报告的污染物排放量可以作为年度生态环境统计、重点污染物排放总量考核、污染源排放清单编制的依据。</w:t>
            </w:r>
            <w:r>
              <w:rPr>
                <w:rFonts w:hint="eastAsia" w:ascii="宋体" w:hAnsi="宋体" w:cs="宋体"/>
                <w:spacing w:val="-11"/>
                <w:kern w:val="0"/>
                <w:szCs w:val="21"/>
                <w:lang w:bidi="ar"/>
              </w:rPr>
              <w:t>”</w:t>
            </w:r>
          </w:p>
        </w:tc>
      </w:tr>
      <w:tr w14:paraId="5BCDFE20">
        <w:tblPrEx>
          <w:tblCellMar>
            <w:top w:w="0" w:type="dxa"/>
            <w:left w:w="108" w:type="dxa"/>
            <w:bottom w:w="0" w:type="dxa"/>
            <w:right w:w="108" w:type="dxa"/>
          </w:tblCellMar>
        </w:tblPrEx>
        <w:trPr>
          <w:trHeight w:val="960" w:hRule="atLeast"/>
        </w:trPr>
        <w:tc>
          <w:tcPr>
            <w:tcW w:w="717" w:type="dxa"/>
            <w:vMerge w:val="continue"/>
            <w:tcBorders>
              <w:left w:val="single" w:color="000000" w:sz="4" w:space="0"/>
              <w:bottom w:val="single" w:color="000000" w:sz="4" w:space="0"/>
              <w:right w:val="single" w:color="000000" w:sz="4" w:space="0"/>
            </w:tcBorders>
            <w:noWrap w:val="0"/>
            <w:vAlign w:val="top"/>
          </w:tcPr>
          <w:p w14:paraId="1C662D41">
            <w:pPr>
              <w:widowControl/>
              <w:spacing w:line="320" w:lineRule="exact"/>
              <w:textAlignment w:val="center"/>
              <w:rPr>
                <w:rFonts w:hint="eastAsia" w:ascii="宋体" w:hAnsi="宋体" w:cs="宋体"/>
                <w:spacing w:val="-11"/>
                <w:kern w:val="0"/>
                <w:szCs w:val="21"/>
                <w:lang w:bidi="ar"/>
              </w:rPr>
            </w:pPr>
          </w:p>
        </w:tc>
        <w:tc>
          <w:tcPr>
            <w:tcW w:w="3135" w:type="dxa"/>
            <w:vMerge w:val="continue"/>
            <w:tcBorders>
              <w:left w:val="single" w:color="000000" w:sz="4" w:space="0"/>
              <w:bottom w:val="single" w:color="000000" w:sz="4" w:space="0"/>
              <w:right w:val="single" w:color="000000" w:sz="4" w:space="0"/>
            </w:tcBorders>
            <w:noWrap w:val="0"/>
            <w:vAlign w:val="top"/>
          </w:tcPr>
          <w:p w14:paraId="4289C55F">
            <w:pPr>
              <w:widowControl/>
              <w:spacing w:line="320" w:lineRule="exact"/>
              <w:textAlignment w:val="center"/>
              <w:rPr>
                <w:rFonts w:hint="eastAsia" w:ascii="宋体" w:hAnsi="宋体" w:cs="宋体"/>
                <w:spacing w:val="-11"/>
                <w:kern w:val="0"/>
                <w:szCs w:val="21"/>
                <w:lang w:bidi="ar"/>
              </w:rPr>
            </w:pPr>
          </w:p>
        </w:tc>
        <w:tc>
          <w:tcPr>
            <w:tcW w:w="3510" w:type="dxa"/>
            <w:vMerge w:val="continue"/>
            <w:tcBorders>
              <w:left w:val="single" w:color="000000" w:sz="4" w:space="0"/>
              <w:bottom w:val="single" w:color="000000" w:sz="4" w:space="0"/>
              <w:right w:val="single" w:color="000000" w:sz="4" w:space="0"/>
            </w:tcBorders>
            <w:noWrap w:val="0"/>
            <w:vAlign w:val="top"/>
          </w:tcPr>
          <w:p w14:paraId="1056C984">
            <w:pPr>
              <w:widowControl/>
              <w:spacing w:line="320" w:lineRule="exact"/>
              <w:textAlignment w:val="center"/>
              <w:rPr>
                <w:rFonts w:hint="eastAsia" w:ascii="宋体" w:hAnsi="宋体" w:cs="宋体"/>
                <w:spacing w:val="-11"/>
                <w:kern w:val="0"/>
                <w:szCs w:val="21"/>
                <w:lang w:bidi="ar"/>
              </w:rP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6AF7E50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《排污许可管理条例》第二十三条：“</w:t>
            </w:r>
            <w:r>
              <w:rPr>
                <w:rFonts w:ascii="宋体" w:hAnsi="宋体" w:cs="宋体"/>
                <w:spacing w:val="-11"/>
                <w:kern w:val="0"/>
                <w:szCs w:val="21"/>
                <w:lang w:bidi="ar"/>
              </w:rPr>
              <w:t>排污单位应当按照排污许可证规定，如实在全国排污许可证管理信息平台上公开污染物排放信息。</w:t>
            </w:r>
            <w:r>
              <w:rPr>
                <w:rFonts w:hint="eastAsia" w:ascii="宋体" w:hAnsi="宋体" w:cs="宋体"/>
                <w:spacing w:val="-11"/>
                <w:kern w:val="0"/>
                <w:szCs w:val="21"/>
                <w:lang w:bidi="ar"/>
              </w:rPr>
              <w:t xml:space="preserve">  </w:t>
            </w:r>
            <w:r>
              <w:rPr>
                <w:rFonts w:ascii="宋体" w:hAnsi="宋体" w:cs="宋体"/>
                <w:spacing w:val="-11"/>
                <w:kern w:val="0"/>
                <w:szCs w:val="21"/>
                <w:lang w:bidi="ar"/>
              </w:rPr>
              <w:t>污染物排放信息应当包括污染物排放种类、排放浓度和排放量，以及污染防治设施的建设运行情况、排污许可证执行报告、自行监测数据等；其中，水污染物排入市政排水管网的，还应当包括污水接入市政排水管网位置、排放方式等信息。</w:t>
            </w:r>
            <w:r>
              <w:rPr>
                <w:rFonts w:hint="eastAsia" w:ascii="宋体" w:hAnsi="宋体" w:cs="宋体"/>
                <w:spacing w:val="-11"/>
                <w:kern w:val="0"/>
                <w:szCs w:val="21"/>
                <w:lang w:bidi="ar"/>
              </w:rPr>
              <w:t>”</w:t>
            </w:r>
          </w:p>
        </w:tc>
      </w:tr>
      <w:tr w14:paraId="068E71AF">
        <w:tblPrEx>
          <w:tblCellMar>
            <w:top w:w="0" w:type="dxa"/>
            <w:left w:w="108" w:type="dxa"/>
            <w:bottom w:w="0" w:type="dxa"/>
            <w:right w:w="108" w:type="dxa"/>
          </w:tblCellMar>
        </w:tblPrEx>
        <w:trPr>
          <w:trHeight w:val="960" w:hRule="atLeast"/>
        </w:trPr>
        <w:tc>
          <w:tcPr>
            <w:tcW w:w="717" w:type="dxa"/>
            <w:vMerge w:val="continue"/>
            <w:tcBorders>
              <w:left w:val="single" w:color="000000" w:sz="4" w:space="0"/>
              <w:bottom w:val="single" w:color="000000" w:sz="4" w:space="0"/>
              <w:right w:val="single" w:color="000000" w:sz="4" w:space="0"/>
            </w:tcBorders>
            <w:noWrap w:val="0"/>
            <w:vAlign w:val="top"/>
          </w:tcPr>
          <w:p w14:paraId="6C7785E8">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11D08E67">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13BBE746">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72A88DB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排污许可管理条例》第三十六条第一款第（七）项：“违反本条例规定，排污单位有下列行为之一的，由生态环境主管部门责令改正，处2万元以上20万元以下的罚款；拒不改正的，责令停产整治：......（七）未按照排污许可证规定公开或者不如实公开污染物排放信息；......”</w:t>
            </w:r>
          </w:p>
        </w:tc>
      </w:tr>
      <w:tr w14:paraId="6992E641">
        <w:tblPrEx>
          <w:tblCellMar>
            <w:top w:w="0" w:type="dxa"/>
            <w:left w:w="108" w:type="dxa"/>
            <w:bottom w:w="0" w:type="dxa"/>
            <w:right w:w="108" w:type="dxa"/>
          </w:tblCellMar>
        </w:tblPrEx>
        <w:trPr>
          <w:trHeight w:val="90" w:hRule="atLeast"/>
        </w:trPr>
        <w:tc>
          <w:tcPr>
            <w:tcW w:w="717" w:type="dxa"/>
            <w:tcBorders>
              <w:left w:val="single" w:color="000000" w:sz="4" w:space="0"/>
              <w:bottom w:val="single" w:color="000000" w:sz="4" w:space="0"/>
              <w:right w:val="single" w:color="000000" w:sz="4" w:space="0"/>
            </w:tcBorders>
            <w:noWrap w:val="0"/>
            <w:vAlign w:val="center"/>
          </w:tcPr>
          <w:p w14:paraId="5E752DD4">
            <w:pPr>
              <w:widowControl/>
              <w:spacing w:line="320" w:lineRule="exact"/>
              <w:jc w:val="center"/>
              <w:textAlignment w:val="center"/>
              <w:rPr>
                <w:rFonts w:hint="eastAsia" w:ascii="宋体" w:hAnsi="宋体" w:cs="宋体"/>
                <w:b/>
                <w:spacing w:val="-11"/>
                <w:kern w:val="0"/>
                <w:szCs w:val="21"/>
                <w:lang w:bidi="ar"/>
              </w:rPr>
            </w:pPr>
            <w:r>
              <w:rPr>
                <w:rFonts w:hint="eastAsia" w:ascii="宋体" w:hAnsi="宋体" w:cs="宋体"/>
                <w:b/>
                <w:spacing w:val="-11"/>
                <w:kern w:val="0"/>
                <w:szCs w:val="21"/>
                <w:lang w:bidi="ar"/>
              </w:rPr>
              <w:t>四</w:t>
            </w:r>
          </w:p>
        </w:tc>
        <w:tc>
          <w:tcPr>
            <w:tcW w:w="13200" w:type="dxa"/>
            <w:gridSpan w:val="3"/>
            <w:tcBorders>
              <w:left w:val="single" w:color="000000" w:sz="4" w:space="0"/>
              <w:bottom w:val="single" w:color="000000" w:sz="4" w:space="0"/>
              <w:right w:val="single" w:color="000000" w:sz="4" w:space="0"/>
            </w:tcBorders>
            <w:noWrap w:val="0"/>
            <w:vAlign w:val="center"/>
          </w:tcPr>
          <w:p w14:paraId="44DD6266">
            <w:pPr>
              <w:widowControl/>
              <w:spacing w:line="320" w:lineRule="exact"/>
              <w:textAlignment w:val="center"/>
              <w:rPr>
                <w:rFonts w:hint="eastAsia" w:ascii="宋体" w:hAnsi="宋体" w:cs="宋体"/>
                <w:spacing w:val="-11"/>
                <w:kern w:val="0"/>
                <w:szCs w:val="21"/>
                <w:lang w:bidi="ar"/>
              </w:rPr>
            </w:pPr>
            <w:r>
              <w:rPr>
                <w:rFonts w:hint="eastAsia" w:ascii="宋体" w:hAnsi="宋体" w:cs="宋体"/>
                <w:b/>
                <w:spacing w:val="-11"/>
                <w:kern w:val="0"/>
                <w:szCs w:val="21"/>
                <w:lang w:bidi="ar"/>
              </w:rPr>
              <w:t>违反污染防治有关规定的情形</w:t>
            </w:r>
          </w:p>
        </w:tc>
      </w:tr>
      <w:tr w14:paraId="5FCE9871">
        <w:tblPrEx>
          <w:tblCellMar>
            <w:top w:w="0" w:type="dxa"/>
            <w:left w:w="108" w:type="dxa"/>
            <w:bottom w:w="0" w:type="dxa"/>
            <w:right w:w="108" w:type="dxa"/>
          </w:tblCellMar>
        </w:tblPrEx>
        <w:trPr>
          <w:trHeight w:val="319" w:hRule="atLeast"/>
        </w:trPr>
        <w:tc>
          <w:tcPr>
            <w:tcW w:w="717" w:type="dxa"/>
            <w:vMerge w:val="restart"/>
            <w:tcBorders>
              <w:top w:val="single" w:color="000000" w:sz="4" w:space="0"/>
              <w:left w:val="single" w:color="000000" w:sz="4" w:space="0"/>
              <w:right w:val="single" w:color="000000" w:sz="4" w:space="0"/>
            </w:tcBorders>
            <w:noWrap w:val="0"/>
            <w:vAlign w:val="top"/>
          </w:tcPr>
          <w:p w14:paraId="71ABF33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8</w:t>
            </w:r>
          </w:p>
        </w:tc>
        <w:tc>
          <w:tcPr>
            <w:tcW w:w="3135" w:type="dxa"/>
            <w:vMerge w:val="restart"/>
            <w:tcBorders>
              <w:top w:val="single" w:color="000000" w:sz="4" w:space="0"/>
              <w:left w:val="single" w:color="000000" w:sz="4" w:space="0"/>
              <w:right w:val="single" w:color="000000" w:sz="4" w:space="0"/>
            </w:tcBorders>
            <w:noWrap w:val="0"/>
            <w:vAlign w:val="top"/>
          </w:tcPr>
          <w:p w14:paraId="798D3A5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未按照规定对所排放的污染物自行监测、未保存原始监测记录的</w:t>
            </w:r>
          </w:p>
        </w:tc>
        <w:tc>
          <w:tcPr>
            <w:tcW w:w="3510" w:type="dxa"/>
            <w:vMerge w:val="restart"/>
            <w:tcBorders>
              <w:top w:val="single" w:color="000000" w:sz="4" w:space="0"/>
              <w:left w:val="single" w:color="000000" w:sz="4" w:space="0"/>
              <w:right w:val="single" w:color="000000" w:sz="4" w:space="0"/>
            </w:tcBorders>
            <w:noWrap w:val="0"/>
            <w:vAlign w:val="top"/>
          </w:tcPr>
          <w:p w14:paraId="3F4E65B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首次被发现，责令限期改正后及时改正的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526A80A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水污染防治法》第二十三条第一款：“实行排污许可管理的企业事业单位和其他生产经营者应当按照国家有关规定和监测规范，对所排放的水污染物自行监测，并保存原始监测记录。重点排污单位还应当安装水污染物排放自动监测设备，与环境保护主管部门的监控设备联网，并保证监测设备正常运行。具体办法由国务院环境保护主管部门规定。”</w:t>
            </w:r>
          </w:p>
        </w:tc>
      </w:tr>
      <w:tr w14:paraId="4F670630">
        <w:tblPrEx>
          <w:tblCellMar>
            <w:top w:w="0" w:type="dxa"/>
            <w:left w:w="108" w:type="dxa"/>
            <w:bottom w:w="0" w:type="dxa"/>
            <w:right w:w="108" w:type="dxa"/>
          </w:tblCellMar>
        </w:tblPrEx>
        <w:trPr>
          <w:trHeight w:val="1550" w:hRule="atLeast"/>
        </w:trPr>
        <w:tc>
          <w:tcPr>
            <w:tcW w:w="717" w:type="dxa"/>
            <w:vMerge w:val="continue"/>
            <w:tcBorders>
              <w:left w:val="single" w:color="000000" w:sz="4" w:space="0"/>
              <w:right w:val="single" w:color="000000" w:sz="4" w:space="0"/>
            </w:tcBorders>
            <w:noWrap w:val="0"/>
            <w:vAlign w:val="top"/>
          </w:tcPr>
          <w:p w14:paraId="52E32FDD">
            <w:pPr>
              <w:widowControl/>
              <w:spacing w:line="320" w:lineRule="exact"/>
              <w:textAlignment w:val="center"/>
              <w:rPr>
                <w:rFonts w:hint="eastAsia" w:ascii="宋体" w:hAnsi="宋体" w:cs="宋体"/>
                <w:spacing w:val="-11"/>
                <w:kern w:val="0"/>
                <w:szCs w:val="21"/>
                <w:lang w:bidi="ar"/>
              </w:rPr>
            </w:pPr>
          </w:p>
        </w:tc>
        <w:tc>
          <w:tcPr>
            <w:tcW w:w="3135" w:type="dxa"/>
            <w:vMerge w:val="continue"/>
            <w:tcBorders>
              <w:left w:val="single" w:color="000000" w:sz="4" w:space="0"/>
              <w:right w:val="single" w:color="000000" w:sz="4" w:space="0"/>
            </w:tcBorders>
            <w:noWrap w:val="0"/>
            <w:vAlign w:val="top"/>
          </w:tcPr>
          <w:p w14:paraId="705CA91D">
            <w:pPr>
              <w:widowControl/>
              <w:spacing w:line="320" w:lineRule="exact"/>
              <w:textAlignment w:val="center"/>
              <w:rPr>
                <w:rFonts w:hint="eastAsia" w:ascii="宋体" w:hAnsi="宋体" w:cs="宋体"/>
                <w:spacing w:val="-11"/>
                <w:kern w:val="0"/>
                <w:szCs w:val="21"/>
                <w:lang w:bidi="ar"/>
              </w:rPr>
            </w:pPr>
          </w:p>
        </w:tc>
        <w:tc>
          <w:tcPr>
            <w:tcW w:w="3510" w:type="dxa"/>
            <w:vMerge w:val="continue"/>
            <w:tcBorders>
              <w:left w:val="single" w:color="000000" w:sz="4" w:space="0"/>
              <w:right w:val="single" w:color="000000" w:sz="4" w:space="0"/>
            </w:tcBorders>
            <w:noWrap w:val="0"/>
            <w:vAlign w:val="top"/>
          </w:tcPr>
          <w:p w14:paraId="277F7CBB">
            <w:pPr>
              <w:widowControl/>
              <w:spacing w:line="320" w:lineRule="exact"/>
              <w:textAlignment w:val="center"/>
              <w:rPr>
                <w:rFonts w:hint="eastAsia" w:ascii="宋体" w:hAnsi="宋体" w:cs="宋体"/>
                <w:spacing w:val="-11"/>
                <w:kern w:val="0"/>
                <w:szCs w:val="21"/>
                <w:lang w:bidi="ar"/>
              </w:rP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604E966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《中华人民共和国大气污染防治法》第二十四条第一款：“</w:t>
            </w:r>
            <w:r>
              <w:rPr>
                <w:rFonts w:ascii="宋体" w:hAnsi="宋体" w:cs="宋体"/>
                <w:spacing w:val="-11"/>
                <w:kern w:val="0"/>
                <w:szCs w:val="21"/>
                <w:lang w:bidi="ar"/>
              </w:rPr>
              <w:t>企业事业单位和其他生产经营者应当按照国家有关规定和监测规范，对其排放的工业废气和本法第七十八条规定名录中所列有毒有害大气污染物进行监测，并保存原始监测记录。其中，重点排污单位应当安装、使用大气污染物排放自动监测设备，与生态环境主管部门的监控设备联网，保证监测设备正常运行并依法公开排放信息。监测的具体办法和重点排污单位的条件由国务院生态环境主管部门规定。</w:t>
            </w:r>
            <w:r>
              <w:rPr>
                <w:rFonts w:hint="eastAsia" w:ascii="宋体" w:hAnsi="宋体" w:cs="宋体"/>
                <w:spacing w:val="-11"/>
                <w:kern w:val="0"/>
                <w:szCs w:val="21"/>
                <w:lang w:bidi="ar"/>
              </w:rPr>
              <w:t>”</w:t>
            </w:r>
          </w:p>
        </w:tc>
      </w:tr>
      <w:tr w14:paraId="5F005BA1">
        <w:tblPrEx>
          <w:tblCellMar>
            <w:top w:w="0" w:type="dxa"/>
            <w:left w:w="108" w:type="dxa"/>
            <w:bottom w:w="0" w:type="dxa"/>
            <w:right w:w="108" w:type="dxa"/>
          </w:tblCellMar>
        </w:tblPrEx>
        <w:trPr>
          <w:trHeight w:val="1550" w:hRule="atLeast"/>
        </w:trPr>
        <w:tc>
          <w:tcPr>
            <w:tcW w:w="717" w:type="dxa"/>
            <w:vMerge w:val="continue"/>
            <w:tcBorders>
              <w:left w:val="single" w:color="000000" w:sz="4" w:space="0"/>
              <w:right w:val="single" w:color="000000" w:sz="4" w:space="0"/>
            </w:tcBorders>
            <w:noWrap w:val="0"/>
            <w:vAlign w:val="top"/>
          </w:tcPr>
          <w:p w14:paraId="722FA1D5">
            <w:pPr>
              <w:widowControl/>
              <w:spacing w:line="320" w:lineRule="exact"/>
              <w:textAlignment w:val="center"/>
            </w:pPr>
          </w:p>
        </w:tc>
        <w:tc>
          <w:tcPr>
            <w:tcW w:w="3135" w:type="dxa"/>
            <w:vMerge w:val="continue"/>
            <w:tcBorders>
              <w:left w:val="single" w:color="000000" w:sz="4" w:space="0"/>
              <w:right w:val="single" w:color="000000" w:sz="4" w:space="0"/>
            </w:tcBorders>
            <w:noWrap w:val="0"/>
            <w:vAlign w:val="top"/>
          </w:tcPr>
          <w:p w14:paraId="50D5047A">
            <w:pPr>
              <w:widowControl/>
              <w:spacing w:line="320" w:lineRule="exact"/>
              <w:textAlignment w:val="center"/>
            </w:pPr>
          </w:p>
        </w:tc>
        <w:tc>
          <w:tcPr>
            <w:tcW w:w="3510" w:type="dxa"/>
            <w:vMerge w:val="continue"/>
            <w:tcBorders>
              <w:left w:val="single" w:color="000000" w:sz="4" w:space="0"/>
              <w:right w:val="single" w:color="000000" w:sz="4" w:space="0"/>
            </w:tcBorders>
            <w:noWrap w:val="0"/>
            <w:vAlign w:val="top"/>
          </w:tcPr>
          <w:p w14:paraId="5BA95355">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4AE33B2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 xml:space="preserve">《中华人民共和国水污染防治法》第八十二条第一款第（一）项：“违反本法规定，有下列行为之一的，由县级以上人民政府环境保护主管部门责令限期改正，处二万元以上二十万元以下的罚款；逾期不改正的，责令停产整治： </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一）未按照规定对所排放的水污染物自行监测，或者未保存原始监测记录的；......”</w:t>
            </w:r>
          </w:p>
          <w:p w14:paraId="7BB65067">
            <w:pPr>
              <w:widowControl/>
              <w:spacing w:line="320" w:lineRule="exact"/>
              <w:textAlignment w:val="center"/>
              <w:rPr>
                <w:rFonts w:hint="eastAsia" w:ascii="宋体" w:hAnsi="宋体" w:cs="宋体"/>
                <w:spacing w:val="-11"/>
                <w:kern w:val="0"/>
                <w:szCs w:val="21"/>
                <w:lang w:bidi="ar"/>
              </w:rPr>
            </w:pPr>
          </w:p>
        </w:tc>
      </w:tr>
      <w:tr w14:paraId="1E619F7A">
        <w:tblPrEx>
          <w:tblCellMar>
            <w:top w:w="0" w:type="dxa"/>
            <w:left w:w="108" w:type="dxa"/>
            <w:bottom w:w="0" w:type="dxa"/>
            <w:right w:w="108" w:type="dxa"/>
          </w:tblCellMar>
        </w:tblPrEx>
        <w:trPr>
          <w:trHeight w:val="707" w:hRule="atLeast"/>
        </w:trPr>
        <w:tc>
          <w:tcPr>
            <w:tcW w:w="717" w:type="dxa"/>
            <w:vMerge w:val="restart"/>
            <w:tcBorders>
              <w:top w:val="single" w:color="000000" w:sz="4" w:space="0"/>
              <w:left w:val="single" w:color="000000" w:sz="4" w:space="0"/>
              <w:right w:val="single" w:color="000000" w:sz="4" w:space="0"/>
            </w:tcBorders>
            <w:noWrap w:val="0"/>
            <w:vAlign w:val="top"/>
          </w:tcPr>
          <w:p w14:paraId="01EED40D">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9</w:t>
            </w:r>
          </w:p>
        </w:tc>
        <w:tc>
          <w:tcPr>
            <w:tcW w:w="3135" w:type="dxa"/>
            <w:vMerge w:val="restart"/>
            <w:tcBorders>
              <w:top w:val="single" w:color="000000" w:sz="4" w:space="0"/>
              <w:left w:val="single" w:color="000000" w:sz="4" w:space="0"/>
              <w:right w:val="single" w:color="000000" w:sz="4" w:space="0"/>
            </w:tcBorders>
            <w:noWrap w:val="0"/>
            <w:vAlign w:val="top"/>
          </w:tcPr>
          <w:p w14:paraId="4AE3EA4D">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产生含挥发性有机物废气的生产和服务活动，应当在密闭空间或者设备中进行且可以密闭，因未关闭空间或者设备，而导致未在密闭空间或者设备中进行</w:t>
            </w:r>
          </w:p>
        </w:tc>
        <w:tc>
          <w:tcPr>
            <w:tcW w:w="3510" w:type="dxa"/>
            <w:vMerge w:val="restart"/>
            <w:tcBorders>
              <w:top w:val="single" w:color="000000" w:sz="4" w:space="0"/>
              <w:left w:val="single" w:color="000000" w:sz="4" w:space="0"/>
              <w:right w:val="single" w:color="000000" w:sz="4" w:space="0"/>
            </w:tcBorders>
            <w:noWrap w:val="0"/>
            <w:vAlign w:val="top"/>
          </w:tcPr>
          <w:p w14:paraId="55B741D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首次被发现，当场改正，且已按照规定安装、使用污染防治设施的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211F26F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大气污染防治法》第四十五条：“产生含挥发性有机物废气的生产和服务活动，应当在密闭空间或者设备中进行，并按照规定安装、使用污染防治设施；无法密闭的，应当采取措施减少废气排放。”</w:t>
            </w:r>
          </w:p>
        </w:tc>
      </w:tr>
      <w:tr w14:paraId="37F7CC60">
        <w:tblPrEx>
          <w:tblCellMar>
            <w:top w:w="0" w:type="dxa"/>
            <w:left w:w="108" w:type="dxa"/>
            <w:bottom w:w="0" w:type="dxa"/>
            <w:right w:w="108" w:type="dxa"/>
          </w:tblCellMar>
        </w:tblPrEx>
        <w:trPr>
          <w:trHeight w:val="707" w:hRule="atLeast"/>
        </w:trPr>
        <w:tc>
          <w:tcPr>
            <w:tcW w:w="717" w:type="dxa"/>
            <w:vMerge w:val="continue"/>
            <w:tcBorders>
              <w:left w:val="single" w:color="000000" w:sz="4" w:space="0"/>
              <w:bottom w:val="single" w:color="000000" w:sz="4" w:space="0"/>
              <w:right w:val="single" w:color="000000" w:sz="4" w:space="0"/>
            </w:tcBorders>
            <w:noWrap w:val="0"/>
            <w:vAlign w:val="top"/>
          </w:tcPr>
          <w:p w14:paraId="6556C4DC">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7BCEAA8D">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0C48E523">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2FA82BF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大气污染防治法》第一百零八条第一款第（一）项：“违反本法规定，有下列行为之一的，由县级以上人民政府环境保护主管部门责令改正，处二万元以上二十万元以下的罚款；拒不改正的，责令停产整治：（一）产生含挥发性有机物废气的生产和服务活动，未在密闭空间或者设备中进行，未按照规定安装、使用污染防治设施，或者未采取减少废气排放措施的；......”</w:t>
            </w:r>
          </w:p>
        </w:tc>
      </w:tr>
      <w:tr w14:paraId="2D53B75F">
        <w:tblPrEx>
          <w:tblCellMar>
            <w:top w:w="0" w:type="dxa"/>
            <w:left w:w="108" w:type="dxa"/>
            <w:bottom w:w="0" w:type="dxa"/>
            <w:right w:w="108" w:type="dxa"/>
          </w:tblCellMar>
        </w:tblPrEx>
        <w:trPr>
          <w:trHeight w:val="635" w:hRule="atLeast"/>
        </w:trPr>
        <w:tc>
          <w:tcPr>
            <w:tcW w:w="717" w:type="dxa"/>
            <w:vMerge w:val="restart"/>
            <w:tcBorders>
              <w:top w:val="single" w:color="000000" w:sz="4" w:space="0"/>
              <w:left w:val="single" w:color="000000" w:sz="4" w:space="0"/>
              <w:right w:val="single" w:color="000000" w:sz="4" w:space="0"/>
            </w:tcBorders>
            <w:noWrap w:val="0"/>
            <w:vAlign w:val="top"/>
          </w:tcPr>
          <w:p w14:paraId="7133275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10</w:t>
            </w:r>
          </w:p>
        </w:tc>
        <w:tc>
          <w:tcPr>
            <w:tcW w:w="3135" w:type="dxa"/>
            <w:vMerge w:val="restart"/>
            <w:tcBorders>
              <w:top w:val="single" w:color="000000" w:sz="4" w:space="0"/>
              <w:left w:val="single" w:color="000000" w:sz="4" w:space="0"/>
              <w:right w:val="single" w:color="000000" w:sz="4" w:space="0"/>
            </w:tcBorders>
            <w:noWrap w:val="0"/>
            <w:vAlign w:val="top"/>
          </w:tcPr>
          <w:p w14:paraId="489CD6D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易产生扬尘物料的占地面积在10平方米以下</w:t>
            </w:r>
          </w:p>
        </w:tc>
        <w:tc>
          <w:tcPr>
            <w:tcW w:w="3510" w:type="dxa"/>
            <w:vMerge w:val="restart"/>
            <w:tcBorders>
              <w:top w:val="single" w:color="000000" w:sz="4" w:space="0"/>
              <w:left w:val="single" w:color="000000" w:sz="4" w:space="0"/>
              <w:right w:val="single" w:color="000000" w:sz="4" w:space="0"/>
            </w:tcBorders>
            <w:noWrap w:val="0"/>
            <w:vAlign w:val="top"/>
          </w:tcPr>
          <w:p w14:paraId="715889A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首次被发现，且当场改正的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23A1368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大气污染防治法》第七十二条第一款：“贮存煤炭、煤矸石、煤渣、煤灰、水泥、石灰、石膏、砂土等易产生扬尘的物料应当密闭；不能密闭的，应当设置不低于堆放物高度的严密围挡，并采取有效覆盖措施防治扬尘污染。”</w:t>
            </w:r>
          </w:p>
        </w:tc>
      </w:tr>
      <w:tr w14:paraId="0576CCF9">
        <w:tblPrEx>
          <w:tblCellMar>
            <w:top w:w="0" w:type="dxa"/>
            <w:left w:w="108" w:type="dxa"/>
            <w:bottom w:w="0" w:type="dxa"/>
            <w:right w:w="108" w:type="dxa"/>
          </w:tblCellMar>
        </w:tblPrEx>
        <w:trPr>
          <w:trHeight w:val="635" w:hRule="atLeast"/>
        </w:trPr>
        <w:tc>
          <w:tcPr>
            <w:tcW w:w="717" w:type="dxa"/>
            <w:vMerge w:val="continue"/>
            <w:tcBorders>
              <w:left w:val="single" w:color="000000" w:sz="4" w:space="0"/>
              <w:bottom w:val="single" w:color="000000" w:sz="4" w:space="0"/>
              <w:right w:val="single" w:color="000000" w:sz="4" w:space="0"/>
            </w:tcBorders>
            <w:noWrap w:val="0"/>
            <w:vAlign w:val="top"/>
          </w:tcPr>
          <w:p w14:paraId="435B0B11">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6AEDD286">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2589767D">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3D8B16B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大气污染防治法》第一百一十七条第一款第一、二、五项：“违反本法规定，有下列行为之一的，由县级以上人民政府环境保护等主管部门按照职责责令改正，处一万元以上十万元以下的罚款；拒不改正的，责令停工整治或者停业整治：（一）未密闭煤炭、煤矸石、煤渣、煤灰、水泥、石灰、石膏、砂土等易产生扬尘的物料的；（二）对不能密闭的易产生扬尘的物料，未设置不低于堆放物高度的严密围挡，或者未采取有效覆盖措施防治扬尘污染的；......（五）码头、矿山、填埋场和消纳场未采取有效措施防治扬尘污染的；......”</w:t>
            </w:r>
          </w:p>
        </w:tc>
      </w:tr>
      <w:tr w14:paraId="608D65C0">
        <w:tblPrEx>
          <w:tblCellMar>
            <w:top w:w="0" w:type="dxa"/>
            <w:left w:w="108" w:type="dxa"/>
            <w:bottom w:w="0" w:type="dxa"/>
            <w:right w:w="108" w:type="dxa"/>
          </w:tblCellMar>
        </w:tblPrEx>
        <w:trPr>
          <w:trHeight w:val="685" w:hRule="atLeast"/>
        </w:trPr>
        <w:tc>
          <w:tcPr>
            <w:tcW w:w="717" w:type="dxa"/>
            <w:vMerge w:val="restart"/>
            <w:tcBorders>
              <w:top w:val="single" w:color="000000" w:sz="4" w:space="0"/>
              <w:left w:val="single" w:color="000000" w:sz="4" w:space="0"/>
              <w:right w:val="single" w:color="000000" w:sz="4" w:space="0"/>
            </w:tcBorders>
            <w:noWrap w:val="0"/>
            <w:vAlign w:val="top"/>
          </w:tcPr>
          <w:p w14:paraId="371AE73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11</w:t>
            </w:r>
          </w:p>
        </w:tc>
        <w:tc>
          <w:tcPr>
            <w:tcW w:w="3135" w:type="dxa"/>
            <w:vMerge w:val="restart"/>
            <w:tcBorders>
              <w:top w:val="single" w:color="000000" w:sz="4" w:space="0"/>
              <w:left w:val="single" w:color="000000" w:sz="4" w:space="0"/>
              <w:right w:val="single" w:color="000000" w:sz="4" w:space="0"/>
            </w:tcBorders>
            <w:noWrap w:val="0"/>
            <w:vAlign w:val="top"/>
          </w:tcPr>
          <w:p w14:paraId="60A1F7C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露天堆放一般工业固废，占地面积在10平方米以下</w:t>
            </w:r>
          </w:p>
        </w:tc>
        <w:tc>
          <w:tcPr>
            <w:tcW w:w="3510" w:type="dxa"/>
            <w:vMerge w:val="restart"/>
            <w:tcBorders>
              <w:top w:val="single" w:color="000000" w:sz="4" w:space="0"/>
              <w:left w:val="single" w:color="000000" w:sz="4" w:space="0"/>
              <w:right w:val="single" w:color="000000" w:sz="4" w:space="0"/>
            </w:tcBorders>
            <w:noWrap w:val="0"/>
            <w:vAlign w:val="top"/>
          </w:tcPr>
          <w:p w14:paraId="77564B9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首次被发现，且当场改正的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139DD70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《中华人民共和国固体废物污染环境防治法》第二十条：“　产生、收集、贮存、运输、利用、处置固体废物的单位和其他生产经营者，应当采取防扬散、防流失、防渗漏或者其他防止污染环境的措施，不得擅自倾倒、堆放、丢弃、遗撒固体废物。  禁止任何单位或者个人向江河、湖泊、运河、渠道、水库及其最高水位线以下的滩地和岸坡以及法律法规规定的其他地点倾倒、堆放、贮存固体废物。”</w:t>
            </w:r>
          </w:p>
        </w:tc>
      </w:tr>
      <w:tr w14:paraId="30929958">
        <w:tblPrEx>
          <w:tblCellMar>
            <w:top w:w="0" w:type="dxa"/>
            <w:left w:w="108" w:type="dxa"/>
            <w:bottom w:w="0" w:type="dxa"/>
            <w:right w:w="108" w:type="dxa"/>
          </w:tblCellMar>
        </w:tblPrEx>
        <w:trPr>
          <w:trHeight w:val="955" w:hRule="atLeast"/>
        </w:trPr>
        <w:tc>
          <w:tcPr>
            <w:tcW w:w="717" w:type="dxa"/>
            <w:vMerge w:val="continue"/>
            <w:tcBorders>
              <w:left w:val="single" w:color="000000" w:sz="4" w:space="0"/>
              <w:bottom w:val="single" w:color="000000" w:sz="4" w:space="0"/>
              <w:right w:val="single" w:color="000000" w:sz="4" w:space="0"/>
            </w:tcBorders>
            <w:noWrap w:val="0"/>
            <w:vAlign w:val="top"/>
          </w:tcPr>
          <w:p w14:paraId="43F125CE">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6459E5F6">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0D1ACEE0">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0DCF162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《中华人民共和国固体废物污染环境防治法》第一百零二条第一款第（七）项、</w:t>
            </w:r>
            <w:r>
              <w:rPr>
                <w:rFonts w:hint="eastAsia"/>
              </w:rPr>
              <w:t>第二款</w:t>
            </w:r>
            <w:r>
              <w:rPr>
                <w:rFonts w:hint="eastAsia" w:ascii="宋体" w:hAnsi="宋体" w:cs="宋体"/>
                <w:spacing w:val="-11"/>
                <w:kern w:val="0"/>
                <w:szCs w:val="21"/>
                <w:lang w:bidi="ar"/>
              </w:rPr>
              <w:t>：“违反本法规定，有下列行为之一，由生态环境主管部门责令改正，处以罚款，没收违法所得；情节严重的，报经有批准权的人民政府批准，可以责令停业或者关闭：......（七）擅自倾倒、堆放、丢弃、遗撒工业固体废物，或者未采取相应防范措施，造成工业固体废物扬散、流失、渗漏或者其他环境污染的；...... 有前款第一项</w:t>
            </w:r>
            <w:r>
              <w:rPr>
                <w:rFonts w:ascii="宋体" w:hAnsi="宋体" w:cs="宋体"/>
                <w:spacing w:val="-11"/>
                <w:kern w:val="0"/>
                <w:szCs w:val="21"/>
                <w:lang w:bidi="ar"/>
              </w:rPr>
              <w:t>……</w:t>
            </w:r>
            <w:r>
              <w:rPr>
                <w:rFonts w:hint="eastAsia" w:ascii="宋体" w:hAnsi="宋体" w:cs="宋体"/>
                <w:spacing w:val="-11"/>
                <w:kern w:val="0"/>
                <w:szCs w:val="21"/>
                <w:lang w:bidi="ar"/>
              </w:rPr>
              <w:t>有前款第七项行为，处所需处置费用一倍以上三倍以下的罚款，所需处置费用不足十万元的，按十万元计算。对前款第十一项行为的处罚，有关法律、行政法规另有规定的，适用其规定。”</w:t>
            </w:r>
          </w:p>
        </w:tc>
      </w:tr>
      <w:tr w14:paraId="6CF0273F">
        <w:tblPrEx>
          <w:tblCellMar>
            <w:top w:w="0" w:type="dxa"/>
            <w:left w:w="108" w:type="dxa"/>
            <w:bottom w:w="0" w:type="dxa"/>
            <w:right w:w="108" w:type="dxa"/>
          </w:tblCellMar>
        </w:tblPrEx>
        <w:trPr>
          <w:trHeight w:val="565" w:hRule="atLeast"/>
        </w:trPr>
        <w:tc>
          <w:tcPr>
            <w:tcW w:w="717" w:type="dxa"/>
            <w:vMerge w:val="restart"/>
            <w:tcBorders>
              <w:top w:val="single" w:color="000000" w:sz="4" w:space="0"/>
              <w:left w:val="single" w:color="000000" w:sz="4" w:space="0"/>
              <w:right w:val="single" w:color="000000" w:sz="4" w:space="0"/>
            </w:tcBorders>
            <w:noWrap w:val="0"/>
            <w:vAlign w:val="top"/>
          </w:tcPr>
          <w:p w14:paraId="3EF4F25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12</w:t>
            </w:r>
          </w:p>
        </w:tc>
        <w:tc>
          <w:tcPr>
            <w:tcW w:w="3135" w:type="dxa"/>
            <w:vMerge w:val="restart"/>
            <w:tcBorders>
              <w:top w:val="single" w:color="000000" w:sz="4" w:space="0"/>
              <w:left w:val="single" w:color="000000" w:sz="4" w:space="0"/>
              <w:right w:val="single" w:color="000000" w:sz="4" w:space="0"/>
            </w:tcBorders>
            <w:noWrap w:val="0"/>
            <w:vAlign w:val="top"/>
          </w:tcPr>
          <w:p w14:paraId="25ED10C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对危险废物的容器、包装物或者收集、贮存、运输、处置危险废物的设施、场所，未按照规定设置危险废物识别标志</w:t>
            </w:r>
          </w:p>
        </w:tc>
        <w:tc>
          <w:tcPr>
            <w:tcW w:w="3510" w:type="dxa"/>
            <w:vMerge w:val="restart"/>
            <w:tcBorders>
              <w:top w:val="single" w:color="000000" w:sz="4" w:space="0"/>
              <w:left w:val="single" w:color="000000" w:sz="4" w:space="0"/>
              <w:right w:val="single" w:color="000000" w:sz="4" w:space="0"/>
            </w:tcBorders>
            <w:noWrap w:val="0"/>
            <w:vAlign w:val="top"/>
          </w:tcPr>
          <w:p w14:paraId="28DAFD8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首次被发现，在检查之日起3日内改正的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7FED877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《中华人民共和国固体废物污染环境防治法》第七十七条：“对危险废物的容器和包装物以及收集、贮存、运输、利用、处置危险废物的设施、场所，应当按照规定设置危险废物识别标志。”</w:t>
            </w:r>
          </w:p>
        </w:tc>
      </w:tr>
      <w:tr w14:paraId="6E63EEF6">
        <w:tblPrEx>
          <w:tblCellMar>
            <w:top w:w="0" w:type="dxa"/>
            <w:left w:w="108" w:type="dxa"/>
            <w:bottom w:w="0" w:type="dxa"/>
            <w:right w:w="108" w:type="dxa"/>
          </w:tblCellMar>
        </w:tblPrEx>
        <w:trPr>
          <w:trHeight w:val="565" w:hRule="atLeast"/>
        </w:trPr>
        <w:tc>
          <w:tcPr>
            <w:tcW w:w="717" w:type="dxa"/>
            <w:vMerge w:val="continue"/>
            <w:tcBorders>
              <w:left w:val="single" w:color="000000" w:sz="4" w:space="0"/>
              <w:bottom w:val="single" w:color="000000" w:sz="4" w:space="0"/>
              <w:right w:val="single" w:color="000000" w:sz="4" w:space="0"/>
            </w:tcBorders>
            <w:noWrap w:val="0"/>
            <w:vAlign w:val="top"/>
          </w:tcPr>
          <w:p w14:paraId="567A74C7">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4E43A481">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60F210AE">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7EFDC2AD">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固体废物污染环境防治法》第一百一十二条第一款第（一）项、第二款：“违反本法规定，有下列行为之一，由生态环境主管部门责令改正，处以罚款，没收违法所得；情节严重的，报经有批准权的人民政府批准，可以责令停业或者关闭：（一）未按照规定设置危险废物识别标志的</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有前款第一项</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第十三项行为之一，处十万元以上一百万元以下的罚款；.......”</w:t>
            </w:r>
          </w:p>
        </w:tc>
      </w:tr>
      <w:tr w14:paraId="304C8963">
        <w:tblPrEx>
          <w:tblCellMar>
            <w:top w:w="0" w:type="dxa"/>
            <w:left w:w="108" w:type="dxa"/>
            <w:bottom w:w="0" w:type="dxa"/>
            <w:right w:w="108" w:type="dxa"/>
          </w:tblCellMar>
        </w:tblPrEx>
        <w:trPr>
          <w:trHeight w:val="565" w:hRule="atLeast"/>
        </w:trPr>
        <w:tc>
          <w:tcPr>
            <w:tcW w:w="717" w:type="dxa"/>
            <w:vMerge w:val="restart"/>
            <w:tcBorders>
              <w:left w:val="single" w:color="000000" w:sz="4" w:space="0"/>
              <w:right w:val="single" w:color="000000" w:sz="4" w:space="0"/>
            </w:tcBorders>
            <w:noWrap w:val="0"/>
            <w:vAlign w:val="top"/>
          </w:tcPr>
          <w:p w14:paraId="31DF7BC8">
            <w:pPr>
              <w:widowControl/>
              <w:spacing w:line="320" w:lineRule="exact"/>
              <w:textAlignment w:val="center"/>
              <w:rPr>
                <w:rFonts w:ascii="宋体" w:hAnsi="宋体" w:cs="宋体"/>
                <w:spacing w:val="-11"/>
                <w:kern w:val="0"/>
                <w:szCs w:val="21"/>
                <w:lang w:bidi="ar"/>
              </w:rPr>
            </w:pPr>
            <w:r>
              <w:rPr>
                <w:rFonts w:hint="eastAsia" w:ascii="宋体" w:hAnsi="宋体" w:cs="宋体"/>
                <w:spacing w:val="-11"/>
                <w:kern w:val="0"/>
                <w:szCs w:val="21"/>
                <w:lang w:bidi="ar"/>
              </w:rPr>
              <w:t>13</w:t>
            </w:r>
          </w:p>
        </w:tc>
        <w:tc>
          <w:tcPr>
            <w:tcW w:w="3135" w:type="dxa"/>
            <w:vMerge w:val="restart"/>
            <w:tcBorders>
              <w:left w:val="single" w:color="000000" w:sz="4" w:space="0"/>
              <w:right w:val="single" w:color="000000" w:sz="4" w:space="0"/>
            </w:tcBorders>
            <w:noWrap w:val="0"/>
            <w:vAlign w:val="top"/>
          </w:tcPr>
          <w:p w14:paraId="45DF194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不正常运行污染防治设施</w:t>
            </w:r>
          </w:p>
        </w:tc>
        <w:tc>
          <w:tcPr>
            <w:tcW w:w="3510" w:type="dxa"/>
            <w:vMerge w:val="restart"/>
            <w:tcBorders>
              <w:left w:val="single" w:color="000000" w:sz="4" w:space="0"/>
              <w:right w:val="single" w:color="000000" w:sz="4" w:space="0"/>
            </w:tcBorders>
            <w:noWrap w:val="0"/>
            <w:vAlign w:val="top"/>
          </w:tcPr>
          <w:p w14:paraId="3612E08D">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1.因突发故障等非故意因素导致污染防治设施不正常运行，24 小时内及时报告并采取停、限产措施减少污染物排放，且日均值未超标或者污染物浓度未超标的；2.污染防治设施检修前，已向生态环境部门上报检修计划，但因特殊生产工艺或生产安全等原因，主要生产设施无法停产，已采取其他必要减排控制措施，检修期间污染物排放超标 1 倍以内（含 1 倍）的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10F4194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《中华人民共和国环境保护法》第四十二条第四款：“严禁通过暗管、渗井、渗坑、灌注或者篡改、伪造监测数据，或者不正常运行防治污染设施等逃避监管的方式违法排放污染物。”</w:t>
            </w:r>
          </w:p>
        </w:tc>
      </w:tr>
      <w:tr w14:paraId="6DE57DF7">
        <w:tblPrEx>
          <w:tblCellMar>
            <w:top w:w="0" w:type="dxa"/>
            <w:left w:w="108" w:type="dxa"/>
            <w:bottom w:w="0" w:type="dxa"/>
            <w:right w:w="108" w:type="dxa"/>
          </w:tblCellMar>
        </w:tblPrEx>
        <w:trPr>
          <w:trHeight w:val="565" w:hRule="atLeast"/>
        </w:trPr>
        <w:tc>
          <w:tcPr>
            <w:tcW w:w="717" w:type="dxa"/>
            <w:vMerge w:val="continue"/>
            <w:tcBorders>
              <w:left w:val="single" w:color="000000" w:sz="4" w:space="0"/>
              <w:right w:val="single" w:color="000000" w:sz="4" w:space="0"/>
            </w:tcBorders>
            <w:noWrap w:val="0"/>
            <w:vAlign w:val="top"/>
          </w:tcPr>
          <w:p w14:paraId="39A8D8A0">
            <w:pPr>
              <w:widowControl/>
              <w:spacing w:line="320" w:lineRule="exact"/>
              <w:textAlignment w:val="center"/>
            </w:pPr>
          </w:p>
        </w:tc>
        <w:tc>
          <w:tcPr>
            <w:tcW w:w="3135" w:type="dxa"/>
            <w:vMerge w:val="continue"/>
            <w:tcBorders>
              <w:left w:val="single" w:color="000000" w:sz="4" w:space="0"/>
              <w:right w:val="single" w:color="000000" w:sz="4" w:space="0"/>
            </w:tcBorders>
            <w:noWrap w:val="0"/>
            <w:vAlign w:val="top"/>
          </w:tcPr>
          <w:p w14:paraId="78BEC701">
            <w:pPr>
              <w:widowControl/>
              <w:spacing w:line="320" w:lineRule="exact"/>
              <w:textAlignment w:val="center"/>
            </w:pPr>
          </w:p>
        </w:tc>
        <w:tc>
          <w:tcPr>
            <w:tcW w:w="3510" w:type="dxa"/>
            <w:vMerge w:val="continue"/>
            <w:tcBorders>
              <w:left w:val="single" w:color="000000" w:sz="4" w:space="0"/>
              <w:right w:val="single" w:color="000000" w:sz="4" w:space="0"/>
            </w:tcBorders>
            <w:noWrap w:val="0"/>
            <w:vAlign w:val="top"/>
          </w:tcPr>
          <w:p w14:paraId="756AE6D6">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0483945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大气污染防治法》第二十条第二款：“禁止通过偷排、篡改或者伪造监测数据、以逃避现场检查为目的的临时停产、非紧急情况下开启应急排放通道、不正常运行大气污染防治设施等逃避监管的方式排放大气污染物。”</w:t>
            </w:r>
          </w:p>
        </w:tc>
      </w:tr>
      <w:tr w14:paraId="7A26C72A">
        <w:tblPrEx>
          <w:tblCellMar>
            <w:top w:w="0" w:type="dxa"/>
            <w:left w:w="108" w:type="dxa"/>
            <w:bottom w:w="0" w:type="dxa"/>
            <w:right w:w="108" w:type="dxa"/>
          </w:tblCellMar>
        </w:tblPrEx>
        <w:trPr>
          <w:trHeight w:val="950" w:hRule="atLeast"/>
        </w:trPr>
        <w:tc>
          <w:tcPr>
            <w:tcW w:w="717" w:type="dxa"/>
            <w:vMerge w:val="continue"/>
            <w:tcBorders>
              <w:left w:val="single" w:color="000000" w:sz="4" w:space="0"/>
              <w:bottom w:val="single" w:color="000000" w:sz="4" w:space="0"/>
              <w:right w:val="single" w:color="000000" w:sz="4" w:space="0"/>
            </w:tcBorders>
            <w:noWrap w:val="0"/>
            <w:vAlign w:val="top"/>
          </w:tcPr>
          <w:p w14:paraId="4CC30A87">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780049B3">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6818B4D1">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0FE1237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《中华人民共和国水污染防治法》第三十九条：“禁止利用渗井、渗坑、裂隙、溶洞，私设暗管，篡改、伪造监测数据，或者不正常运行水污染防治设施等逃避监管的方式排放水污染物。”</w:t>
            </w:r>
          </w:p>
          <w:p w14:paraId="09A59B56">
            <w:pPr>
              <w:widowControl/>
              <w:spacing w:line="320" w:lineRule="exact"/>
              <w:textAlignment w:val="center"/>
              <w:rPr>
                <w:rFonts w:hint="eastAsia" w:ascii="宋体" w:hAnsi="宋体" w:cs="宋体"/>
                <w:spacing w:val="-11"/>
                <w:kern w:val="0"/>
                <w:szCs w:val="21"/>
                <w:lang w:bidi="ar"/>
              </w:rPr>
            </w:pPr>
          </w:p>
        </w:tc>
      </w:tr>
      <w:tr w14:paraId="3CB2ECD8">
        <w:tblPrEx>
          <w:tblCellMar>
            <w:top w:w="0" w:type="dxa"/>
            <w:left w:w="108" w:type="dxa"/>
            <w:bottom w:w="0" w:type="dxa"/>
            <w:right w:w="108" w:type="dxa"/>
          </w:tblCellMar>
        </w:tblPrEx>
        <w:trPr>
          <w:trHeight w:val="415" w:hRule="atLeast"/>
        </w:trPr>
        <w:tc>
          <w:tcPr>
            <w:tcW w:w="717" w:type="dxa"/>
            <w:vMerge w:val="continue"/>
            <w:tcBorders>
              <w:left w:val="single" w:color="000000" w:sz="4" w:space="0"/>
              <w:bottom w:val="single" w:color="000000" w:sz="4" w:space="0"/>
              <w:right w:val="single" w:color="000000" w:sz="4" w:space="0"/>
            </w:tcBorders>
            <w:noWrap w:val="0"/>
            <w:vAlign w:val="top"/>
          </w:tcPr>
          <w:p w14:paraId="28EFBD41">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76DAEB88">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689F87F6">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56BC0DE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大气污染防治法》第九十九条第（三）项：“违反本法规定，有下列行为之一的，由县级以上人民政府环境保护主管部门责令改正或者限制生产、停产整治，并处十万元以上一百万元以下的罚款；情节严重的，报经有批准权的人民政府批准，责令停业、关闭：......（三）通过逃避监管的方式排放大气污染物的。”</w:t>
            </w:r>
          </w:p>
          <w:p w14:paraId="48E08443">
            <w:pPr>
              <w:pStyle w:val="4"/>
              <w:ind w:firstLine="0" w:firstLineChars="0"/>
              <w:rPr>
                <w:rFonts w:hint="eastAsia" w:ascii="宋体" w:hAnsi="宋体" w:cs="宋体"/>
                <w:spacing w:val="-11"/>
                <w:kern w:val="0"/>
                <w:szCs w:val="21"/>
                <w:lang w:bidi="ar"/>
              </w:rPr>
            </w:pPr>
            <w:r>
              <w:rPr>
                <w:rFonts w:hint="eastAsia" w:ascii="宋体" w:hAnsi="宋体" w:cs="宋体"/>
                <w:spacing w:val="-11"/>
                <w:kern w:val="0"/>
                <w:szCs w:val="21"/>
                <w:lang w:bidi="ar"/>
              </w:rPr>
              <w:t>《中华人民共和国水污染防治法》第八十三条第（三）项：“违反本法规定，有下列行为之一的，由县级以上人民政府环境保护主管部门责令改正或者责令限制生产、停产整治</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并处十万元以上一百万元以下的罚款；情节严重的</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报经有批准权的人民政府批准，责令停业、关闭：......</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三）利用渗井、渗坑、裂隙、溶洞，私设暗管，篡改、伪造监测数据，或者不正常运行水污染防治设施等逃避监管的方式排放水污染物的；......”</w:t>
            </w:r>
          </w:p>
          <w:p w14:paraId="4BB16EB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环境保护法》第六十三条第（三）项：“企业事业单位和其他生产经营者有下列行为之一，尚不构成犯罪的，除依照有关法律法规规定予以处罚外，由县级以上人民政府环境保护主管部门或者其他有关部门将案件移送公安机关，对其直接负责的主管人员和其他直接责任人员，处十日以上十五日以下拘留；情节较轻的，处五日以上十日以下拘留：......（三）通过暗管、渗井、渗坑、灌注或者篡改、伪造监测数据，或者不正常运行防治污染设施等逃避监管的方式违法排放污染物的；......”</w:t>
            </w:r>
          </w:p>
        </w:tc>
      </w:tr>
      <w:tr w14:paraId="394418DC">
        <w:tblPrEx>
          <w:tblCellMar>
            <w:top w:w="0" w:type="dxa"/>
            <w:left w:w="108" w:type="dxa"/>
            <w:bottom w:w="0" w:type="dxa"/>
            <w:right w:w="108" w:type="dxa"/>
          </w:tblCellMar>
        </w:tblPrEx>
        <w:trPr>
          <w:trHeight w:val="565" w:hRule="atLeast"/>
        </w:trPr>
        <w:tc>
          <w:tcPr>
            <w:tcW w:w="717" w:type="dxa"/>
            <w:vMerge w:val="restart"/>
            <w:tcBorders>
              <w:left w:val="single" w:color="000000" w:sz="4" w:space="0"/>
              <w:right w:val="single" w:color="000000" w:sz="4" w:space="0"/>
            </w:tcBorders>
            <w:noWrap w:val="0"/>
            <w:vAlign w:val="top"/>
          </w:tcPr>
          <w:p w14:paraId="4B3C8647">
            <w:pPr>
              <w:widowControl/>
              <w:spacing w:line="320" w:lineRule="exact"/>
              <w:textAlignment w:val="center"/>
              <w:rPr>
                <w:rFonts w:ascii="宋体" w:hAnsi="宋体" w:cs="宋体"/>
                <w:spacing w:val="-11"/>
                <w:kern w:val="0"/>
                <w:szCs w:val="21"/>
                <w:lang w:bidi="ar"/>
              </w:rPr>
            </w:pPr>
            <w:r>
              <w:rPr>
                <w:rFonts w:hint="eastAsia" w:ascii="宋体" w:hAnsi="宋体" w:cs="宋体"/>
                <w:spacing w:val="-11"/>
                <w:kern w:val="0"/>
                <w:szCs w:val="21"/>
                <w:lang w:bidi="ar"/>
              </w:rPr>
              <w:t>14</w:t>
            </w:r>
          </w:p>
        </w:tc>
        <w:tc>
          <w:tcPr>
            <w:tcW w:w="3135" w:type="dxa"/>
            <w:vMerge w:val="restart"/>
            <w:tcBorders>
              <w:left w:val="single" w:color="000000" w:sz="4" w:space="0"/>
              <w:right w:val="single" w:color="000000" w:sz="4" w:space="0"/>
            </w:tcBorders>
            <w:noWrap w:val="0"/>
            <w:vAlign w:val="top"/>
          </w:tcPr>
          <w:p w14:paraId="7E4B2FD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超过排放标准排放污染物</w:t>
            </w:r>
          </w:p>
        </w:tc>
        <w:tc>
          <w:tcPr>
            <w:tcW w:w="3510" w:type="dxa"/>
            <w:vMerge w:val="restart"/>
            <w:tcBorders>
              <w:left w:val="single" w:color="000000" w:sz="4" w:space="0"/>
              <w:right w:val="single" w:color="000000" w:sz="4" w:space="0"/>
            </w:tcBorders>
            <w:noWrap w:val="0"/>
            <w:vAlign w:val="top"/>
          </w:tcPr>
          <w:p w14:paraId="2544140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常规污染物单因子超标倍数≤0.1 倍或者 5≤PH &lt;6 或者9&lt;PH≤10 的，且次日完成整改并达标排放的；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7BA0AA3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大气污染防治法》第十八条：“企业事业单位和其他生产经营者建设对大气环境有影响的项目，应当依法进行环境影响评价、公开环境影响评价文件；向大气排放污染物的，应当符合大气污染物排放标准，遵守重点大气污染物排放总量控制要求。”</w:t>
            </w:r>
          </w:p>
        </w:tc>
      </w:tr>
      <w:tr w14:paraId="374E0200">
        <w:tblPrEx>
          <w:tblCellMar>
            <w:top w:w="0" w:type="dxa"/>
            <w:left w:w="108" w:type="dxa"/>
            <w:bottom w:w="0" w:type="dxa"/>
            <w:right w:w="108" w:type="dxa"/>
          </w:tblCellMar>
        </w:tblPrEx>
        <w:trPr>
          <w:trHeight w:val="565" w:hRule="atLeast"/>
        </w:trPr>
        <w:tc>
          <w:tcPr>
            <w:tcW w:w="717" w:type="dxa"/>
            <w:vMerge w:val="continue"/>
            <w:tcBorders>
              <w:left w:val="single" w:color="000000" w:sz="4" w:space="0"/>
              <w:right w:val="single" w:color="000000" w:sz="4" w:space="0"/>
            </w:tcBorders>
            <w:noWrap w:val="0"/>
            <w:vAlign w:val="top"/>
          </w:tcPr>
          <w:p w14:paraId="35E1BBF1">
            <w:pPr>
              <w:widowControl/>
              <w:spacing w:line="320" w:lineRule="exact"/>
              <w:textAlignment w:val="center"/>
            </w:pPr>
          </w:p>
        </w:tc>
        <w:tc>
          <w:tcPr>
            <w:tcW w:w="3135" w:type="dxa"/>
            <w:vMerge w:val="continue"/>
            <w:tcBorders>
              <w:left w:val="single" w:color="000000" w:sz="4" w:space="0"/>
              <w:right w:val="single" w:color="000000" w:sz="4" w:space="0"/>
            </w:tcBorders>
            <w:noWrap w:val="0"/>
            <w:vAlign w:val="top"/>
          </w:tcPr>
          <w:p w14:paraId="76552990">
            <w:pPr>
              <w:widowControl/>
              <w:spacing w:line="320" w:lineRule="exact"/>
              <w:textAlignment w:val="center"/>
            </w:pPr>
          </w:p>
        </w:tc>
        <w:tc>
          <w:tcPr>
            <w:tcW w:w="3510" w:type="dxa"/>
            <w:vMerge w:val="continue"/>
            <w:tcBorders>
              <w:left w:val="single" w:color="000000" w:sz="4" w:space="0"/>
              <w:right w:val="single" w:color="000000" w:sz="4" w:space="0"/>
            </w:tcBorders>
            <w:noWrap w:val="0"/>
            <w:vAlign w:val="top"/>
          </w:tcPr>
          <w:p w14:paraId="3ABFA872">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1D91752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《中华人民共和国水污染防治法》第十条：“第十条 排放水污染物，不得超过国家或者地方规定的水污染物排放标准和重点水污染物排放总量控制指标。”</w:t>
            </w:r>
          </w:p>
        </w:tc>
      </w:tr>
      <w:tr w14:paraId="204E5801">
        <w:tblPrEx>
          <w:tblCellMar>
            <w:top w:w="0" w:type="dxa"/>
            <w:left w:w="108" w:type="dxa"/>
            <w:bottom w:w="0" w:type="dxa"/>
            <w:right w:w="108" w:type="dxa"/>
          </w:tblCellMar>
        </w:tblPrEx>
        <w:trPr>
          <w:trHeight w:val="565" w:hRule="atLeast"/>
        </w:trPr>
        <w:tc>
          <w:tcPr>
            <w:tcW w:w="717" w:type="dxa"/>
            <w:vMerge w:val="continue"/>
            <w:tcBorders>
              <w:left w:val="single" w:color="000000" w:sz="4" w:space="0"/>
              <w:bottom w:val="single" w:color="000000" w:sz="4" w:space="0"/>
              <w:right w:val="single" w:color="000000" w:sz="4" w:space="0"/>
            </w:tcBorders>
            <w:noWrap w:val="0"/>
            <w:vAlign w:val="top"/>
          </w:tcPr>
          <w:p w14:paraId="21086A7F">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7BA5A5B5">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030DB5C0">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0E8BD73D">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《中华人民共和国大气污染防治法》第九十九条第（二）项</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违反本法规定，有下列行为之一的，由县级以上人民政府环境保护主管部门责令改正或者限制生产、停产整治，并处十万元以上一百万元以下的罚款；情节严重的，报经有批准权的人民政府批准，责令停业、关闭：......（二）超过大气污染物排放标准或者超过重点大气污染物排放总量控制指标排放大气污染物的；......”</w:t>
            </w:r>
          </w:p>
          <w:p w14:paraId="54E842C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《中华人民共和国水污染防治法》第八十三条第（二）项：“违反本法规定，有下列行为之一的，由县级以上人民政府环境保护主管部门责令改正或者责令限制生产、停产整治</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并处十万元以上一百万元以下的罚款；情节严重的</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报经有批准权的人民政府批准，责令停业、关闭：......</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二</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超过水污染物排放标准或者超过重点水污染物排放总量控制指标排放水污染物的；......”</w:t>
            </w:r>
          </w:p>
        </w:tc>
      </w:tr>
      <w:tr w14:paraId="2AC1970C">
        <w:tblPrEx>
          <w:tblCellMar>
            <w:top w:w="0" w:type="dxa"/>
            <w:left w:w="108" w:type="dxa"/>
            <w:bottom w:w="0" w:type="dxa"/>
            <w:right w:w="108" w:type="dxa"/>
          </w:tblCellMar>
        </w:tblPrEx>
        <w:trPr>
          <w:trHeight w:val="850" w:hRule="atLeast"/>
        </w:trPr>
        <w:tc>
          <w:tcPr>
            <w:tcW w:w="717" w:type="dxa"/>
            <w:vMerge w:val="restart"/>
            <w:tcBorders>
              <w:top w:val="single" w:color="000000" w:sz="4" w:space="0"/>
              <w:left w:val="single" w:color="000000" w:sz="4" w:space="0"/>
              <w:right w:val="single" w:color="000000" w:sz="4" w:space="0"/>
            </w:tcBorders>
            <w:noWrap w:val="0"/>
            <w:vAlign w:val="top"/>
          </w:tcPr>
          <w:p w14:paraId="655CDEEF">
            <w:pPr>
              <w:widowControl/>
              <w:spacing w:line="320" w:lineRule="exact"/>
              <w:textAlignment w:val="center"/>
              <w:rPr>
                <w:rFonts w:ascii="宋体" w:hAnsi="宋体" w:cs="宋体"/>
                <w:spacing w:val="-11"/>
                <w:kern w:val="0"/>
                <w:szCs w:val="21"/>
                <w:lang w:bidi="ar"/>
              </w:rPr>
            </w:pPr>
            <w:r>
              <w:rPr>
                <w:rFonts w:hint="eastAsia" w:ascii="宋体" w:hAnsi="宋体" w:cs="宋体"/>
                <w:spacing w:val="-11"/>
                <w:kern w:val="0"/>
                <w:szCs w:val="21"/>
                <w:lang w:bidi="ar"/>
              </w:rPr>
              <w:t>15</w:t>
            </w:r>
          </w:p>
        </w:tc>
        <w:tc>
          <w:tcPr>
            <w:tcW w:w="3135" w:type="dxa"/>
            <w:vMerge w:val="restart"/>
            <w:tcBorders>
              <w:top w:val="single" w:color="000000" w:sz="4" w:space="0"/>
              <w:left w:val="single" w:color="000000" w:sz="4" w:space="0"/>
              <w:right w:val="single" w:color="000000" w:sz="4" w:space="0"/>
            </w:tcBorders>
            <w:noWrap w:val="0"/>
            <w:vAlign w:val="top"/>
          </w:tcPr>
          <w:p w14:paraId="095AC60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将废弃剧毒化学品、医疗废物、实验室产生的危险废物及易燃易爆危险废物以外的危险废物混入非危险废物中贮存，危险废物数量在10千克以下，未导致危险特性扩散到非危险废物中</w:t>
            </w:r>
          </w:p>
        </w:tc>
        <w:tc>
          <w:tcPr>
            <w:tcW w:w="3510" w:type="dxa"/>
            <w:vMerge w:val="restart"/>
            <w:tcBorders>
              <w:top w:val="single" w:color="000000" w:sz="4" w:space="0"/>
              <w:left w:val="single" w:color="000000" w:sz="4" w:space="0"/>
              <w:right w:val="single" w:color="000000" w:sz="4" w:space="0"/>
            </w:tcBorders>
            <w:noWrap w:val="0"/>
            <w:vAlign w:val="top"/>
          </w:tcPr>
          <w:p w14:paraId="1542E0F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首次被发现，且当场改正的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6625159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《中华人民共和国固体废物污染环境防治法》第八十一条第二款：“贮存危险废物应当采取符合国家环境保护标准的防护措施。禁止将危险废物混入非危险废物中贮存。”</w:t>
            </w:r>
          </w:p>
        </w:tc>
      </w:tr>
      <w:tr w14:paraId="29058395">
        <w:tblPrEx>
          <w:tblCellMar>
            <w:top w:w="0" w:type="dxa"/>
            <w:left w:w="108" w:type="dxa"/>
            <w:bottom w:w="0" w:type="dxa"/>
            <w:right w:w="108" w:type="dxa"/>
          </w:tblCellMar>
        </w:tblPrEx>
        <w:trPr>
          <w:trHeight w:val="850" w:hRule="atLeast"/>
        </w:trPr>
        <w:tc>
          <w:tcPr>
            <w:tcW w:w="717" w:type="dxa"/>
            <w:vMerge w:val="continue"/>
            <w:tcBorders>
              <w:left w:val="single" w:color="000000" w:sz="4" w:space="0"/>
              <w:bottom w:val="single" w:color="000000" w:sz="4" w:space="0"/>
              <w:right w:val="single" w:color="000000" w:sz="4" w:space="0"/>
            </w:tcBorders>
            <w:noWrap w:val="0"/>
            <w:vAlign w:val="top"/>
          </w:tcPr>
          <w:p w14:paraId="60117F54">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6D5986C1">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552D2D11">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4FE251C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固体废物污染环境防治法》第一百一十二条第一款第（六）项、第二款：“违反本法规定，有下列行为之一，由生态环境主管部门责令改正，处以罚款，没收违法所得；情节严重的，报经有批准权的人民政府批准，可以责令停业或者关闭：......（六）未按照国家环境保护标准贮存、利用、处置危险废物或者将危险废物混入非危险废物中贮存的；......有前款第一项、第二项、第五项、第六项、第七项、第八项、第九项、第十二项、第十三项行为之一，处十万元以上一百万元以下的罚款；</w:t>
            </w:r>
            <w:r>
              <w:rPr>
                <w:rFonts w:ascii="宋体" w:hAnsi="宋体" w:cs="宋体"/>
                <w:spacing w:val="-11"/>
                <w:kern w:val="0"/>
                <w:szCs w:val="21"/>
                <w:lang w:bidi="ar"/>
              </w:rPr>
              <w:t>……</w:t>
            </w:r>
            <w:r>
              <w:rPr>
                <w:rFonts w:hint="eastAsia" w:ascii="宋体" w:hAnsi="宋体" w:cs="宋体"/>
                <w:spacing w:val="-11"/>
                <w:kern w:val="0"/>
                <w:szCs w:val="21"/>
                <w:lang w:bidi="ar"/>
              </w:rPr>
              <w:t>。”</w:t>
            </w:r>
          </w:p>
        </w:tc>
      </w:tr>
      <w:tr w14:paraId="6645FA47">
        <w:tblPrEx>
          <w:tblCellMar>
            <w:top w:w="0" w:type="dxa"/>
            <w:left w:w="108" w:type="dxa"/>
            <w:bottom w:w="0" w:type="dxa"/>
            <w:right w:w="108" w:type="dxa"/>
          </w:tblCellMar>
        </w:tblPrEx>
        <w:trPr>
          <w:trHeight w:val="795" w:hRule="atLeast"/>
        </w:trPr>
        <w:tc>
          <w:tcPr>
            <w:tcW w:w="717" w:type="dxa"/>
            <w:vMerge w:val="restart"/>
            <w:tcBorders>
              <w:top w:val="single" w:color="000000" w:sz="4" w:space="0"/>
              <w:left w:val="single" w:color="000000" w:sz="4" w:space="0"/>
              <w:right w:val="single" w:color="000000" w:sz="4" w:space="0"/>
            </w:tcBorders>
            <w:noWrap w:val="0"/>
            <w:vAlign w:val="top"/>
          </w:tcPr>
          <w:p w14:paraId="6CAAEAC2">
            <w:pPr>
              <w:widowControl/>
              <w:spacing w:line="320" w:lineRule="exact"/>
              <w:textAlignment w:val="center"/>
              <w:rPr>
                <w:rFonts w:ascii="宋体" w:hAnsi="宋体" w:cs="宋体"/>
                <w:spacing w:val="-11"/>
                <w:kern w:val="0"/>
                <w:szCs w:val="21"/>
                <w:lang w:bidi="ar"/>
              </w:rPr>
            </w:pPr>
            <w:r>
              <w:rPr>
                <w:rFonts w:hint="eastAsia" w:ascii="宋体" w:hAnsi="宋体" w:cs="宋体"/>
                <w:spacing w:val="-11"/>
                <w:kern w:val="0"/>
                <w:szCs w:val="21"/>
                <w:lang w:bidi="ar"/>
              </w:rPr>
              <w:t>16</w:t>
            </w:r>
          </w:p>
        </w:tc>
        <w:tc>
          <w:tcPr>
            <w:tcW w:w="3135" w:type="dxa"/>
            <w:vMerge w:val="restart"/>
            <w:tcBorders>
              <w:top w:val="single" w:color="000000" w:sz="4" w:space="0"/>
              <w:left w:val="single" w:color="000000" w:sz="4" w:space="0"/>
              <w:right w:val="single" w:color="000000" w:sz="4" w:space="0"/>
            </w:tcBorders>
            <w:noWrap w:val="0"/>
            <w:vAlign w:val="top"/>
          </w:tcPr>
          <w:p w14:paraId="06F8BE7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未按规范记录危险废物管理纸质台账，但已按要求在系统中申报了危险废物的种类、产生量、流向、贮存、处置等有关资料</w:t>
            </w:r>
          </w:p>
        </w:tc>
        <w:tc>
          <w:tcPr>
            <w:tcW w:w="3510" w:type="dxa"/>
            <w:vMerge w:val="restart"/>
            <w:tcBorders>
              <w:top w:val="single" w:color="000000" w:sz="4" w:space="0"/>
              <w:left w:val="single" w:color="000000" w:sz="4" w:space="0"/>
              <w:right w:val="single" w:color="000000" w:sz="4" w:space="0"/>
            </w:tcBorders>
            <w:noWrap w:val="0"/>
            <w:vAlign w:val="top"/>
          </w:tcPr>
          <w:p w14:paraId="10930E7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首次被发现，且当日改正的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434F5D0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固体废物污染环境防治法》第七十八条第一款：“产生危险废物的单位，应当按照国家有关规定制定危险废物管理计划；建立危险废物管理台账，如实记录有关信息，并通过国家危险废物信息管理系统向所在地生态环境主管部门申报危险废物的种类、产生量、流向、贮存、处置等有关资料。”</w:t>
            </w:r>
          </w:p>
        </w:tc>
      </w:tr>
      <w:tr w14:paraId="4031863D">
        <w:tblPrEx>
          <w:tblCellMar>
            <w:top w:w="0" w:type="dxa"/>
            <w:left w:w="108" w:type="dxa"/>
            <w:bottom w:w="0" w:type="dxa"/>
            <w:right w:w="108" w:type="dxa"/>
          </w:tblCellMar>
        </w:tblPrEx>
        <w:trPr>
          <w:trHeight w:val="585" w:hRule="atLeast"/>
        </w:trPr>
        <w:tc>
          <w:tcPr>
            <w:tcW w:w="717" w:type="dxa"/>
            <w:vMerge w:val="continue"/>
            <w:tcBorders>
              <w:left w:val="single" w:color="000000" w:sz="4" w:space="0"/>
              <w:bottom w:val="single" w:color="000000" w:sz="4" w:space="0"/>
              <w:right w:val="single" w:color="000000" w:sz="4" w:space="0"/>
            </w:tcBorders>
            <w:noWrap w:val="0"/>
            <w:vAlign w:val="top"/>
          </w:tcPr>
          <w:p w14:paraId="34FFF5CA">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3A414646">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0C75D943">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2D757FF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固体废物污染环境防治法》第一百一十二条第一款第（十三）项、第二款：违反本法规定，有下列行为之一，由生态环境主管部门责令改正，处以罚款，没收违法所得；情节严重的，报经有批准权的人民政府批准，可以责令停业或者关闭：......“（十三）未按照国家有关规定建立危险废物管理台账并如实记录的。  有前款第一项、第二项、第五项、第六项、第七项、第八项、第九项、第十二项、第十三项行为之一，处十万元以上一百万元以下的罚款；</w:t>
            </w:r>
            <w:r>
              <w:rPr>
                <w:rFonts w:ascii="宋体" w:hAnsi="宋体" w:cs="宋体"/>
                <w:spacing w:val="-11"/>
                <w:kern w:val="0"/>
                <w:szCs w:val="21"/>
                <w:lang w:bidi="ar"/>
              </w:rPr>
              <w:t>……</w:t>
            </w:r>
            <w:r>
              <w:rPr>
                <w:rFonts w:hint="eastAsia" w:ascii="宋体" w:hAnsi="宋体" w:cs="宋体"/>
                <w:spacing w:val="-11"/>
                <w:kern w:val="0"/>
                <w:szCs w:val="21"/>
                <w:lang w:bidi="ar"/>
              </w:rPr>
              <w:t>。”</w:t>
            </w:r>
          </w:p>
        </w:tc>
      </w:tr>
      <w:tr w14:paraId="6B4020AB">
        <w:tblPrEx>
          <w:tblCellMar>
            <w:top w:w="0" w:type="dxa"/>
            <w:left w:w="108" w:type="dxa"/>
            <w:bottom w:w="0" w:type="dxa"/>
            <w:right w:w="108" w:type="dxa"/>
          </w:tblCellMar>
        </w:tblPrEx>
        <w:trPr>
          <w:trHeight w:val="1291" w:hRule="atLeast"/>
        </w:trPr>
        <w:tc>
          <w:tcPr>
            <w:tcW w:w="717" w:type="dxa"/>
            <w:vMerge w:val="restart"/>
            <w:tcBorders>
              <w:top w:val="single" w:color="000000" w:sz="4" w:space="0"/>
              <w:left w:val="single" w:color="000000" w:sz="4" w:space="0"/>
              <w:right w:val="single" w:color="000000" w:sz="4" w:space="0"/>
            </w:tcBorders>
            <w:noWrap w:val="0"/>
            <w:vAlign w:val="top"/>
          </w:tcPr>
          <w:p w14:paraId="1F0248C6">
            <w:pPr>
              <w:widowControl/>
              <w:spacing w:line="320" w:lineRule="exact"/>
              <w:textAlignment w:val="center"/>
              <w:rPr>
                <w:rFonts w:ascii="宋体" w:hAnsi="宋体" w:cs="宋体"/>
                <w:spacing w:val="-11"/>
                <w:kern w:val="0"/>
                <w:szCs w:val="21"/>
                <w:lang w:bidi="ar"/>
              </w:rPr>
            </w:pPr>
            <w:r>
              <w:rPr>
                <w:rFonts w:hint="eastAsia" w:ascii="宋体" w:hAnsi="宋体" w:cs="宋体"/>
                <w:spacing w:val="-11"/>
                <w:kern w:val="0"/>
                <w:szCs w:val="21"/>
                <w:lang w:bidi="ar"/>
              </w:rPr>
              <w:t>17</w:t>
            </w:r>
          </w:p>
        </w:tc>
        <w:tc>
          <w:tcPr>
            <w:tcW w:w="3135" w:type="dxa"/>
            <w:vMerge w:val="restart"/>
            <w:tcBorders>
              <w:top w:val="single" w:color="000000" w:sz="4" w:space="0"/>
              <w:left w:val="single" w:color="000000" w:sz="4" w:space="0"/>
              <w:right w:val="single" w:color="000000" w:sz="4" w:space="0"/>
            </w:tcBorders>
            <w:noWrap w:val="0"/>
            <w:vAlign w:val="top"/>
          </w:tcPr>
          <w:p w14:paraId="51A22E9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不规范贮存危险废物</w:t>
            </w:r>
          </w:p>
        </w:tc>
        <w:tc>
          <w:tcPr>
            <w:tcW w:w="3510" w:type="dxa"/>
            <w:vMerge w:val="restart"/>
            <w:tcBorders>
              <w:top w:val="single" w:color="000000" w:sz="4" w:space="0"/>
              <w:left w:val="single" w:color="000000" w:sz="4" w:space="0"/>
              <w:right w:val="single" w:color="000000" w:sz="4" w:space="0"/>
            </w:tcBorders>
            <w:noWrap w:val="0"/>
            <w:vAlign w:val="top"/>
          </w:tcPr>
          <w:p w14:paraId="46FBEAA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首次发现、数量小于 0.01吨，经现场检查指出后立即改正，且未污染外环境的</w:t>
            </w: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537CAE2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《中华人民共和国固体废物污染环境防治法》第七十九条：“产生危险废物的单位，应当按照国家有关规定和环境保护标准要求贮存、利用、处置危险废物，不得擅自倾倒、堆放。”</w:t>
            </w:r>
          </w:p>
        </w:tc>
      </w:tr>
      <w:tr w14:paraId="5F815795">
        <w:tblPrEx>
          <w:tblCellMar>
            <w:top w:w="0" w:type="dxa"/>
            <w:left w:w="108" w:type="dxa"/>
            <w:bottom w:w="0" w:type="dxa"/>
            <w:right w:w="108" w:type="dxa"/>
          </w:tblCellMar>
        </w:tblPrEx>
        <w:trPr>
          <w:trHeight w:val="800" w:hRule="atLeast"/>
        </w:trPr>
        <w:tc>
          <w:tcPr>
            <w:tcW w:w="717" w:type="dxa"/>
            <w:vMerge w:val="continue"/>
            <w:tcBorders>
              <w:left w:val="single" w:color="000000" w:sz="4" w:space="0"/>
              <w:bottom w:val="single" w:color="000000" w:sz="4" w:space="0"/>
              <w:right w:val="single" w:color="000000" w:sz="4" w:space="0"/>
            </w:tcBorders>
            <w:noWrap w:val="0"/>
            <w:vAlign w:val="top"/>
          </w:tcPr>
          <w:p w14:paraId="13D3153C">
            <w:pPr>
              <w:widowControl/>
              <w:spacing w:line="320" w:lineRule="exact"/>
              <w:textAlignment w:val="center"/>
              <w:rPr>
                <w:rFonts w:hint="eastAsia" w:ascii="宋体" w:hAnsi="宋体" w:cs="宋体"/>
                <w:spacing w:val="-11"/>
                <w:kern w:val="0"/>
                <w:szCs w:val="21"/>
                <w:lang w:bidi="ar"/>
              </w:rPr>
            </w:pPr>
          </w:p>
        </w:tc>
        <w:tc>
          <w:tcPr>
            <w:tcW w:w="3135" w:type="dxa"/>
            <w:vMerge w:val="continue"/>
            <w:tcBorders>
              <w:left w:val="single" w:color="000000" w:sz="4" w:space="0"/>
              <w:bottom w:val="single" w:color="000000" w:sz="4" w:space="0"/>
              <w:right w:val="single" w:color="000000" w:sz="4" w:space="0"/>
            </w:tcBorders>
            <w:noWrap w:val="0"/>
            <w:vAlign w:val="top"/>
          </w:tcPr>
          <w:p w14:paraId="505A2132">
            <w:pPr>
              <w:widowControl/>
              <w:spacing w:line="320" w:lineRule="exact"/>
              <w:textAlignment w:val="center"/>
              <w:rPr>
                <w:rFonts w:hint="eastAsia" w:ascii="宋体" w:hAnsi="宋体" w:cs="宋体"/>
                <w:spacing w:val="-11"/>
                <w:kern w:val="0"/>
                <w:szCs w:val="21"/>
                <w:lang w:bidi="ar"/>
              </w:rPr>
            </w:pPr>
          </w:p>
        </w:tc>
        <w:tc>
          <w:tcPr>
            <w:tcW w:w="3510" w:type="dxa"/>
            <w:vMerge w:val="continue"/>
            <w:tcBorders>
              <w:left w:val="single" w:color="000000" w:sz="4" w:space="0"/>
              <w:bottom w:val="single" w:color="000000" w:sz="4" w:space="0"/>
              <w:right w:val="single" w:color="000000" w:sz="4" w:space="0"/>
            </w:tcBorders>
            <w:noWrap w:val="0"/>
            <w:vAlign w:val="top"/>
          </w:tcPr>
          <w:p w14:paraId="3CD831D4">
            <w:pPr>
              <w:widowControl/>
              <w:spacing w:line="320" w:lineRule="exact"/>
              <w:textAlignment w:val="center"/>
              <w:rPr>
                <w:rFonts w:hint="eastAsia" w:ascii="宋体" w:hAnsi="宋体" w:cs="宋体"/>
                <w:spacing w:val="-11"/>
                <w:kern w:val="0"/>
                <w:szCs w:val="21"/>
                <w:lang w:bidi="ar"/>
              </w:rP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4BB9972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《中华人民共和国固体废物污染环境防治法》第八十一条：“</w:t>
            </w:r>
            <w:r>
              <w:rPr>
                <w:rFonts w:ascii="宋体" w:hAnsi="宋体" w:cs="宋体"/>
                <w:spacing w:val="-11"/>
                <w:kern w:val="0"/>
                <w:szCs w:val="21"/>
                <w:lang w:bidi="ar"/>
              </w:rPr>
              <w:t>收集、贮存危险废物，应当按照危险废物特性分类进行。禁止混合收集、贮存、运输、处置性质不相容而未经安全性处置的危险废物。</w:t>
            </w:r>
            <w:r>
              <w:rPr>
                <w:rFonts w:hint="eastAsia" w:ascii="宋体" w:hAnsi="宋体" w:cs="宋体"/>
                <w:spacing w:val="-11"/>
                <w:kern w:val="0"/>
                <w:szCs w:val="21"/>
                <w:lang w:bidi="ar"/>
              </w:rPr>
              <w:t xml:space="preserve">  </w:t>
            </w:r>
            <w:r>
              <w:rPr>
                <w:rFonts w:ascii="宋体" w:hAnsi="宋体" w:cs="宋体"/>
                <w:spacing w:val="-11"/>
                <w:kern w:val="0"/>
                <w:szCs w:val="21"/>
                <w:lang w:bidi="ar"/>
              </w:rPr>
              <w:t>贮存危险废物应当采取符合国家环境保护标准的防护措施。禁止将危险废物混入非危险废物中贮存。</w:t>
            </w:r>
            <w:r>
              <w:rPr>
                <w:rFonts w:hint="eastAsia" w:ascii="宋体" w:hAnsi="宋体" w:cs="宋体"/>
                <w:spacing w:val="-11"/>
                <w:kern w:val="0"/>
                <w:szCs w:val="21"/>
                <w:lang w:bidi="ar"/>
              </w:rPr>
              <w:t>”</w:t>
            </w:r>
          </w:p>
        </w:tc>
      </w:tr>
      <w:tr w14:paraId="13188056">
        <w:tblPrEx>
          <w:tblCellMar>
            <w:top w:w="0" w:type="dxa"/>
            <w:left w:w="108" w:type="dxa"/>
            <w:bottom w:w="0" w:type="dxa"/>
            <w:right w:w="108" w:type="dxa"/>
          </w:tblCellMar>
        </w:tblPrEx>
        <w:trPr>
          <w:trHeight w:val="800" w:hRule="atLeast"/>
        </w:trPr>
        <w:tc>
          <w:tcPr>
            <w:tcW w:w="717" w:type="dxa"/>
            <w:vMerge w:val="continue"/>
            <w:tcBorders>
              <w:left w:val="single" w:color="000000" w:sz="4" w:space="0"/>
              <w:bottom w:val="single" w:color="000000" w:sz="4" w:space="0"/>
              <w:right w:val="single" w:color="000000" w:sz="4" w:space="0"/>
            </w:tcBorders>
            <w:noWrap w:val="0"/>
            <w:vAlign w:val="top"/>
          </w:tcPr>
          <w:p w14:paraId="1A033814">
            <w:pPr>
              <w:widowControl/>
              <w:spacing w:line="320" w:lineRule="exact"/>
              <w:textAlignment w:val="center"/>
            </w:pPr>
          </w:p>
        </w:tc>
        <w:tc>
          <w:tcPr>
            <w:tcW w:w="3135" w:type="dxa"/>
            <w:vMerge w:val="continue"/>
            <w:tcBorders>
              <w:left w:val="single" w:color="000000" w:sz="4" w:space="0"/>
              <w:bottom w:val="single" w:color="000000" w:sz="4" w:space="0"/>
              <w:right w:val="single" w:color="000000" w:sz="4" w:space="0"/>
            </w:tcBorders>
            <w:noWrap w:val="0"/>
            <w:vAlign w:val="top"/>
          </w:tcPr>
          <w:p w14:paraId="516DAE68">
            <w:pPr>
              <w:widowControl/>
              <w:spacing w:line="320" w:lineRule="exact"/>
              <w:textAlignment w:val="center"/>
            </w:pPr>
          </w:p>
        </w:tc>
        <w:tc>
          <w:tcPr>
            <w:tcW w:w="3510" w:type="dxa"/>
            <w:vMerge w:val="continue"/>
            <w:tcBorders>
              <w:left w:val="single" w:color="000000" w:sz="4" w:space="0"/>
              <w:bottom w:val="single" w:color="000000" w:sz="4" w:space="0"/>
              <w:right w:val="single" w:color="000000" w:sz="4" w:space="0"/>
            </w:tcBorders>
            <w:noWrap w:val="0"/>
            <w:vAlign w:val="top"/>
          </w:tcPr>
          <w:p w14:paraId="34A1960F">
            <w:pPr>
              <w:widowControl/>
              <w:spacing w:line="320" w:lineRule="exact"/>
              <w:textAlignment w:val="center"/>
            </w:pPr>
          </w:p>
        </w:tc>
        <w:tc>
          <w:tcPr>
            <w:tcW w:w="6555" w:type="dxa"/>
            <w:tcBorders>
              <w:top w:val="single" w:color="000000" w:sz="4" w:space="0"/>
              <w:left w:val="single" w:color="000000" w:sz="4" w:space="0"/>
              <w:bottom w:val="single" w:color="000000" w:sz="4" w:space="0"/>
              <w:right w:val="single" w:color="000000" w:sz="4" w:space="0"/>
            </w:tcBorders>
            <w:noWrap w:val="0"/>
            <w:vAlign w:val="top"/>
          </w:tcPr>
          <w:p w14:paraId="7CF3A8D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《中华人民共和国固体废物污染环境防治法》第一百一十二条第一款</w:t>
            </w:r>
            <w:r>
              <w:rPr>
                <w:rFonts w:hint="eastAsia"/>
              </w:rPr>
              <w:t>第（七）项</w:t>
            </w:r>
            <w:r>
              <w:rPr>
                <w:rFonts w:hint="eastAsia" w:ascii="宋体" w:hAnsi="宋体" w:cs="宋体"/>
                <w:spacing w:val="-11"/>
                <w:kern w:val="0"/>
                <w:szCs w:val="21"/>
                <w:lang w:bidi="ar"/>
              </w:rPr>
              <w:t>、 第二款：“违反本法规定，有下列行为之一，由生态环境主管部门责令改正，处以罚款，没收违法所得；情节严重的，报经有批准权的人民政府批准，可以责令停业或者关闭：......（七）未经安全性处置，混合收集、贮存、运输、处置具有不相容性质的危险废物的；</w:t>
            </w:r>
            <w:r>
              <w:rPr>
                <w:rFonts w:hint="eastAsia"/>
              </w:rPr>
              <w:t>......</w:t>
            </w:r>
            <w:r>
              <w:rPr>
                <w:rFonts w:hint="eastAsia" w:ascii="宋体" w:hAnsi="宋体" w:cs="宋体"/>
                <w:spacing w:val="-11"/>
                <w:kern w:val="0"/>
                <w:szCs w:val="21"/>
                <w:lang w:bidi="ar"/>
              </w:rPr>
              <w:t>有前款第一项、第二项、第五项、第六项、第七项、第八项、第九项、第十二项、第十三项行为之一，处十万元以上一百万元以下的罚款；</w:t>
            </w:r>
            <w:r>
              <w:rPr>
                <w:rFonts w:ascii="宋体" w:hAnsi="宋体" w:cs="宋体"/>
                <w:spacing w:val="-11"/>
                <w:kern w:val="0"/>
                <w:szCs w:val="21"/>
                <w:lang w:bidi="ar"/>
              </w:rPr>
              <w:t>……</w:t>
            </w:r>
            <w:r>
              <w:rPr>
                <w:rFonts w:hint="eastAsia" w:ascii="宋体" w:hAnsi="宋体" w:cs="宋体"/>
                <w:spacing w:val="-11"/>
                <w:kern w:val="0"/>
                <w:szCs w:val="21"/>
                <w:lang w:bidi="ar"/>
              </w:rPr>
              <w:t>”　</w:t>
            </w:r>
          </w:p>
        </w:tc>
      </w:tr>
      <w:tr w14:paraId="36828AF1">
        <w:tblPrEx>
          <w:tblCellMar>
            <w:top w:w="0" w:type="dxa"/>
            <w:left w:w="108" w:type="dxa"/>
            <w:bottom w:w="0" w:type="dxa"/>
            <w:right w:w="108" w:type="dxa"/>
          </w:tblCellMar>
        </w:tblPrEx>
        <w:trPr>
          <w:trHeight w:val="480" w:hRule="atLeast"/>
        </w:trPr>
        <w:tc>
          <w:tcPr>
            <w:tcW w:w="717" w:type="dxa"/>
            <w:tcBorders>
              <w:top w:val="single" w:color="000000" w:sz="4" w:space="0"/>
              <w:left w:val="single" w:color="000000" w:sz="4" w:space="0"/>
              <w:bottom w:val="single" w:color="000000" w:sz="4" w:space="0"/>
              <w:right w:val="single" w:color="000000" w:sz="4" w:space="0"/>
            </w:tcBorders>
            <w:noWrap w:val="0"/>
            <w:vAlign w:val="center"/>
          </w:tcPr>
          <w:p w14:paraId="52C0E919">
            <w:pPr>
              <w:widowControl/>
              <w:spacing w:line="320" w:lineRule="exact"/>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五、</w:t>
            </w:r>
          </w:p>
        </w:tc>
        <w:tc>
          <w:tcPr>
            <w:tcW w:w="13200" w:type="dxa"/>
            <w:gridSpan w:val="3"/>
            <w:tcBorders>
              <w:top w:val="single" w:color="000000" w:sz="4" w:space="0"/>
              <w:left w:val="single" w:color="000000" w:sz="4" w:space="0"/>
              <w:bottom w:val="single" w:color="000000" w:sz="4" w:space="0"/>
              <w:right w:val="single" w:color="000000" w:sz="4" w:space="0"/>
            </w:tcBorders>
            <w:noWrap w:val="0"/>
            <w:vAlign w:val="center"/>
          </w:tcPr>
          <w:p w14:paraId="06A656D4">
            <w:pPr>
              <w:widowControl/>
              <w:spacing w:line="320" w:lineRule="exact"/>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eastAsia="zh-CN" w:bidi="ar"/>
              </w:rPr>
              <w:t>其他符合</w:t>
            </w:r>
            <w:r>
              <w:rPr>
                <w:rFonts w:hint="eastAsia" w:ascii="宋体" w:hAnsi="宋体" w:cs="宋体"/>
                <w:b/>
                <w:bCs/>
                <w:spacing w:val="-11"/>
                <w:kern w:val="0"/>
                <w:szCs w:val="21"/>
                <w:lang w:bidi="ar"/>
              </w:rPr>
              <w:t>《中华人民共和国行政处罚法》等法律、法规、规章规定的不予行政处罚情形的生态环境轻微违法违规行为，不予行政处罚。</w:t>
            </w:r>
          </w:p>
        </w:tc>
      </w:tr>
    </w:tbl>
    <w:p w14:paraId="09C6B8A9">
      <w:pPr>
        <w:widowControl/>
        <w:spacing w:line="320" w:lineRule="exact"/>
        <w:textAlignment w:val="center"/>
        <w:rPr>
          <w:rFonts w:hint="eastAsia" w:ascii="宋体" w:hAnsi="宋体" w:cs="宋体"/>
          <w:spacing w:val="-11"/>
          <w:kern w:val="0"/>
          <w:szCs w:val="21"/>
          <w:lang w:bidi="ar"/>
        </w:rPr>
      </w:pPr>
    </w:p>
    <w:p w14:paraId="381C65B5">
      <w:pPr>
        <w:pStyle w:val="2"/>
        <w:rPr>
          <w:rFonts w:hint="eastAsia" w:ascii="宋体" w:hAnsi="宋体" w:cs="宋体"/>
          <w:spacing w:val="-11"/>
          <w:kern w:val="0"/>
          <w:szCs w:val="21"/>
          <w:lang w:bidi="ar"/>
        </w:rPr>
      </w:pPr>
    </w:p>
    <w:p w14:paraId="02528281">
      <w:pPr>
        <w:pStyle w:val="2"/>
        <w:rPr>
          <w:rFonts w:hint="eastAsia" w:ascii="宋体" w:hAnsi="宋体" w:cs="宋体"/>
          <w:spacing w:val="-11"/>
          <w:kern w:val="0"/>
          <w:szCs w:val="21"/>
          <w:lang w:bidi="ar"/>
        </w:rPr>
      </w:pPr>
    </w:p>
    <w:p w14:paraId="1D5D2E81">
      <w:pPr>
        <w:pStyle w:val="2"/>
        <w:rPr>
          <w:rFonts w:hint="eastAsia" w:ascii="宋体" w:hAnsi="宋体" w:cs="宋体"/>
          <w:spacing w:val="-11"/>
          <w:kern w:val="0"/>
          <w:szCs w:val="21"/>
          <w:lang w:bidi="ar"/>
        </w:rPr>
      </w:pPr>
    </w:p>
    <w:p w14:paraId="561F0198">
      <w:pPr>
        <w:pStyle w:val="2"/>
        <w:rPr>
          <w:rFonts w:hint="eastAsia" w:ascii="宋体" w:hAnsi="宋体" w:cs="宋体"/>
          <w:spacing w:val="-11"/>
          <w:kern w:val="0"/>
          <w:szCs w:val="21"/>
          <w:lang w:bidi="ar"/>
        </w:rPr>
      </w:pPr>
    </w:p>
    <w:p w14:paraId="1BCB06A8">
      <w:pPr>
        <w:pStyle w:val="2"/>
        <w:rPr>
          <w:rFonts w:hint="eastAsia" w:ascii="宋体" w:hAnsi="宋体" w:cs="宋体"/>
          <w:spacing w:val="-11"/>
          <w:kern w:val="0"/>
          <w:szCs w:val="21"/>
          <w:lang w:bidi="ar"/>
        </w:rPr>
      </w:pPr>
    </w:p>
    <w:p w14:paraId="1FC30BD5">
      <w:pPr>
        <w:pStyle w:val="2"/>
        <w:rPr>
          <w:rFonts w:hint="eastAsia" w:ascii="宋体" w:hAnsi="宋体" w:cs="宋体"/>
          <w:spacing w:val="-11"/>
          <w:kern w:val="0"/>
          <w:szCs w:val="21"/>
          <w:lang w:bidi="ar"/>
        </w:rPr>
      </w:pPr>
    </w:p>
    <w:tbl>
      <w:tblPr>
        <w:tblStyle w:val="9"/>
        <w:tblpPr w:leftFromText="180" w:rightFromText="180" w:vertAnchor="text" w:horzAnchor="page" w:tblpX="1515" w:tblpY="756"/>
        <w:tblOverlap w:val="never"/>
        <w:tblW w:w="14054" w:type="dxa"/>
        <w:tblInd w:w="0" w:type="dxa"/>
        <w:tblLayout w:type="autofit"/>
        <w:tblCellMar>
          <w:top w:w="0" w:type="dxa"/>
          <w:left w:w="0" w:type="dxa"/>
          <w:bottom w:w="0" w:type="dxa"/>
          <w:right w:w="0" w:type="dxa"/>
        </w:tblCellMar>
      </w:tblPr>
      <w:tblGrid>
        <w:gridCol w:w="595"/>
        <w:gridCol w:w="2613"/>
        <w:gridCol w:w="2295"/>
        <w:gridCol w:w="8551"/>
      </w:tblGrid>
      <w:tr w14:paraId="2BE969B0">
        <w:tblPrEx>
          <w:tblCellMar>
            <w:top w:w="0" w:type="dxa"/>
            <w:left w:w="0" w:type="dxa"/>
            <w:bottom w:w="0" w:type="dxa"/>
            <w:right w:w="0" w:type="dxa"/>
          </w:tblCellMar>
        </w:tblPrEx>
        <w:trPr>
          <w:trHeight w:val="375" w:hRule="atLeast"/>
        </w:trPr>
        <w:tc>
          <w:tcPr>
            <w:tcW w:w="14054" w:type="dxa"/>
            <w:gridSpan w:val="4"/>
            <w:tcBorders>
              <w:top w:val="nil"/>
              <w:left w:val="nil"/>
              <w:bottom w:val="single" w:color="auto" w:sz="4" w:space="0"/>
              <w:right w:val="nil"/>
            </w:tcBorders>
            <w:noWrap w:val="0"/>
            <w:tcMar>
              <w:top w:w="15" w:type="dxa"/>
              <w:left w:w="15" w:type="dxa"/>
              <w:right w:w="15" w:type="dxa"/>
            </w:tcMar>
            <w:vAlign w:val="center"/>
          </w:tcPr>
          <w:p w14:paraId="69AF9374">
            <w:pPr>
              <w:pStyle w:val="4"/>
              <w:ind w:firstLine="0" w:firstLineChars="0"/>
              <w:rPr>
                <w:rFonts w:hint="eastAsia"/>
              </w:rPr>
            </w:pPr>
            <w:r>
              <w:rPr>
                <w:rFonts w:hint="eastAsia" w:ascii="黑体" w:hAnsi="黑体" w:eastAsia="黑体" w:cs="黑体"/>
                <w:spacing w:val="-11"/>
                <w:kern w:val="0"/>
                <w:sz w:val="32"/>
                <w:szCs w:val="32"/>
                <w:lang w:bidi="ar"/>
              </w:rPr>
              <w:t>三、新余市交通运输领域轻微违法行为不予处罚清单</w:t>
            </w:r>
          </w:p>
          <w:p w14:paraId="240D9966">
            <w:pPr>
              <w:widowControl/>
              <w:spacing w:line="240" w:lineRule="atLeast"/>
              <w:textAlignment w:val="center"/>
              <w:rPr>
                <w:rFonts w:ascii="宋体" w:hAnsi="宋体" w:cs="宋体"/>
                <w:spacing w:val="-11"/>
                <w:kern w:val="0"/>
                <w:szCs w:val="21"/>
                <w:lang w:bidi="ar"/>
              </w:rPr>
            </w:pPr>
          </w:p>
        </w:tc>
      </w:tr>
      <w:tr w14:paraId="51EA9D6A">
        <w:tblPrEx>
          <w:tblCellMar>
            <w:top w:w="0" w:type="dxa"/>
            <w:left w:w="0" w:type="dxa"/>
            <w:bottom w:w="0" w:type="dxa"/>
            <w:right w:w="0" w:type="dxa"/>
          </w:tblCellMar>
        </w:tblPrEx>
        <w:trPr>
          <w:trHeight w:val="375" w:hRule="atLeast"/>
        </w:trPr>
        <w:tc>
          <w:tcPr>
            <w:tcW w:w="595"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7E2A364B">
            <w:pPr>
              <w:widowControl/>
              <w:spacing w:line="320" w:lineRule="exact"/>
              <w:jc w:val="center"/>
              <w:textAlignment w:val="center"/>
              <w:rPr>
                <w:rFonts w:hint="eastAsia" w:ascii="宋体" w:hAnsi="宋体" w:cs="宋体"/>
                <w:b/>
                <w:bCs/>
                <w:spacing w:val="-11"/>
                <w:kern w:val="0"/>
                <w:szCs w:val="21"/>
                <w:lang w:bidi="ar"/>
              </w:rPr>
            </w:pPr>
            <w:r>
              <w:rPr>
                <w:rFonts w:ascii="宋体" w:hAnsi="宋体" w:cs="宋体"/>
                <w:b/>
                <w:bCs/>
                <w:spacing w:val="-11"/>
                <w:kern w:val="0"/>
                <w:szCs w:val="21"/>
                <w:lang w:bidi="ar"/>
              </w:rPr>
              <w:t>序号</w:t>
            </w:r>
          </w:p>
        </w:tc>
        <w:tc>
          <w:tcPr>
            <w:tcW w:w="2613"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225F1AF6">
            <w:pPr>
              <w:widowControl/>
              <w:spacing w:line="320" w:lineRule="exact"/>
              <w:jc w:val="center"/>
              <w:textAlignment w:val="center"/>
              <w:rPr>
                <w:rFonts w:ascii="宋体" w:hAnsi="宋体" w:cs="宋体"/>
                <w:b/>
                <w:bCs/>
                <w:spacing w:val="-11"/>
                <w:kern w:val="0"/>
                <w:szCs w:val="21"/>
                <w:lang w:bidi="ar"/>
              </w:rPr>
            </w:pPr>
            <w:r>
              <w:rPr>
                <w:rFonts w:ascii="宋体" w:hAnsi="宋体" w:cs="宋体"/>
                <w:b/>
                <w:bCs/>
                <w:spacing w:val="-11"/>
                <w:kern w:val="0"/>
                <w:szCs w:val="21"/>
                <w:lang w:bidi="ar"/>
              </w:rPr>
              <w:t>违法行为</w:t>
            </w:r>
          </w:p>
        </w:tc>
        <w:tc>
          <w:tcPr>
            <w:tcW w:w="2295"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689DFB4E">
            <w:pPr>
              <w:widowControl/>
              <w:spacing w:line="320" w:lineRule="exact"/>
              <w:jc w:val="center"/>
              <w:textAlignment w:val="center"/>
              <w:rPr>
                <w:rFonts w:ascii="宋体" w:hAnsi="宋体" w:cs="宋体"/>
                <w:b/>
                <w:bCs/>
                <w:spacing w:val="-11"/>
                <w:kern w:val="0"/>
                <w:szCs w:val="21"/>
                <w:lang w:bidi="ar"/>
              </w:rPr>
            </w:pPr>
            <w:r>
              <w:rPr>
                <w:rFonts w:ascii="宋体" w:hAnsi="宋体" w:cs="宋体"/>
                <w:b/>
                <w:bCs/>
                <w:spacing w:val="-11"/>
                <w:kern w:val="0"/>
                <w:szCs w:val="21"/>
                <w:lang w:bidi="ar"/>
              </w:rPr>
              <w:t>不予处罚条件</w:t>
            </w:r>
          </w:p>
        </w:tc>
        <w:tc>
          <w:tcPr>
            <w:tcW w:w="8551"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32658DB3">
            <w:pPr>
              <w:widowControl/>
              <w:spacing w:line="320" w:lineRule="exact"/>
              <w:jc w:val="center"/>
              <w:textAlignment w:val="center"/>
              <w:rPr>
                <w:rFonts w:ascii="宋体" w:hAnsi="宋体" w:cs="宋体"/>
                <w:b/>
                <w:bCs/>
                <w:spacing w:val="-11"/>
                <w:kern w:val="0"/>
                <w:szCs w:val="21"/>
                <w:lang w:bidi="ar"/>
              </w:rPr>
            </w:pPr>
            <w:r>
              <w:rPr>
                <w:rFonts w:ascii="宋体" w:hAnsi="宋体" w:cs="宋体"/>
                <w:b/>
                <w:bCs/>
                <w:spacing w:val="-11"/>
                <w:kern w:val="0"/>
                <w:szCs w:val="21"/>
                <w:lang w:bidi="ar"/>
              </w:rPr>
              <w:t>法律依据</w:t>
            </w:r>
          </w:p>
        </w:tc>
      </w:tr>
      <w:tr w14:paraId="2B5E7849">
        <w:tblPrEx>
          <w:tblCellMar>
            <w:top w:w="0" w:type="dxa"/>
            <w:left w:w="0" w:type="dxa"/>
            <w:bottom w:w="0" w:type="dxa"/>
            <w:right w:w="0" w:type="dxa"/>
          </w:tblCellMar>
        </w:tblPrEx>
        <w:trPr>
          <w:trHeight w:val="90"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E3201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EB5C8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摆摊设点、堆放物品、倾倒垃圾、摊晒物品、设置障碍、拌料、拉钢筋等占道作业</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FEBD93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临时占道摆摊设点、堆放物品、倾倒垃圾、摊晒物品、设置障碍、拌料、拉钢筋等占道作业影响交通安全畅通，初次违法能及时纠正。</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A5463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公路法第四十六条：“任何单位和个人不得在公路上及公路用地范围内摆摊设点、堆放物品、倾倒垃圾、设置障碍、挖沟引水、利用公路边沟排放污物或者进行其他损坏、污染公路和影响公路畅通的活动。”</w:t>
            </w:r>
          </w:p>
        </w:tc>
      </w:tr>
      <w:tr w14:paraId="69757A69">
        <w:tblPrEx>
          <w:tblCellMar>
            <w:top w:w="0" w:type="dxa"/>
            <w:left w:w="0" w:type="dxa"/>
            <w:bottom w:w="0" w:type="dxa"/>
            <w:right w:w="0" w:type="dxa"/>
          </w:tblCellMar>
        </w:tblPrEx>
        <w:trPr>
          <w:trHeight w:val="938"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49821AC">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7389005">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E87051">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9167C6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《中华人民共和国公路法》第七十七条：“违反本法第四十六条的规定，造成公路路面损坏、污染或者影响公路畅通的，由交通主管部门责令停止违法行为，可以处五千元以下的罚款。”</w:t>
            </w:r>
          </w:p>
        </w:tc>
      </w:tr>
      <w:tr w14:paraId="3E91ACF4">
        <w:tblPrEx>
          <w:tblCellMar>
            <w:top w:w="0" w:type="dxa"/>
            <w:left w:w="0" w:type="dxa"/>
            <w:bottom w:w="0" w:type="dxa"/>
            <w:right w:w="0" w:type="dxa"/>
          </w:tblCellMar>
        </w:tblPrEx>
        <w:trPr>
          <w:trHeight w:val="677"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9014F0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2</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42FE730">
            <w:pPr>
              <w:widowControl/>
              <w:spacing w:line="320" w:lineRule="exact"/>
              <w:textAlignment w:val="center"/>
              <w:rPr>
                <w:rFonts w:hint="eastAsia" w:ascii="宋体" w:hAnsi="宋体" w:eastAsia="宋体" w:cs="宋体"/>
                <w:spacing w:val="-11"/>
                <w:kern w:val="0"/>
                <w:szCs w:val="21"/>
                <w:lang w:eastAsia="zh-CN" w:bidi="ar"/>
              </w:rPr>
            </w:pPr>
          </w:p>
          <w:p w14:paraId="6529074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擅自利用公路边沟排放污物的行为</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6C3FCD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临时利用边沟排放污物未造成公路排水系统堵塞的并及时纠正。</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0BC18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公路法》第四十六条：“任何单位和个人不得在公路上及公路用地范围内摆摊设点、堆放物品、倾倒垃圾、设置障碍、挖沟引水、利用公路边沟排放污物或者进行其他损坏、污染公路和影响公路畅通的活动。”</w:t>
            </w:r>
          </w:p>
        </w:tc>
      </w:tr>
      <w:tr w14:paraId="5CF9F5BD">
        <w:tblPrEx>
          <w:tblCellMar>
            <w:top w:w="0" w:type="dxa"/>
            <w:left w:w="0" w:type="dxa"/>
            <w:bottom w:w="0" w:type="dxa"/>
            <w:right w:w="0" w:type="dxa"/>
          </w:tblCellMar>
        </w:tblPrEx>
        <w:trPr>
          <w:trHeight w:val="677"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D16FE1A">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B67FDB4">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95A7105">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6859B4D">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《中华人民共和国公路法》第七十七条：“违反本法第四十六条的规定，造成公路路面损坏、污染或者影响公路畅通的，由交通主管部门责令停止违法行为，可以处五千元以下的罚款。”</w:t>
            </w:r>
          </w:p>
        </w:tc>
      </w:tr>
      <w:tr w14:paraId="3729F5D8">
        <w:tblPrEx>
          <w:tblCellMar>
            <w:top w:w="0" w:type="dxa"/>
            <w:left w:w="0" w:type="dxa"/>
            <w:bottom w:w="0" w:type="dxa"/>
            <w:right w:w="0" w:type="dxa"/>
          </w:tblCellMar>
        </w:tblPrEx>
        <w:trPr>
          <w:trHeight w:val="626"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BCCB4D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3</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83343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涉路工程设施影响公路完好、安全和畅通</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8C088A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涉路工程设施影响公路畅通，但未造成公路损坏和其他危害后果</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及时纠正。</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F241E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《公路安全保护条例》第二十九条第三款：“涉路工程设施的所有人、管理人应当加强维护和管理，确保工程设施不影响公路的完好、安全和畅通。”</w:t>
            </w:r>
          </w:p>
        </w:tc>
      </w:tr>
      <w:tr w14:paraId="44843768">
        <w:tblPrEx>
          <w:tblCellMar>
            <w:top w:w="0" w:type="dxa"/>
            <w:left w:w="0" w:type="dxa"/>
            <w:bottom w:w="0" w:type="dxa"/>
            <w:right w:w="0" w:type="dxa"/>
          </w:tblCellMar>
        </w:tblPrEx>
        <w:trPr>
          <w:trHeight w:val="626"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BE3132">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CEA952">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2B38B1B">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FF05F0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《公路安全保护条例》第六十条第（二）项：“违反本条例的规定，有下列行为之一的，由公路管理机构责令改正，可以处3万元以下的罚款。”</w:t>
            </w:r>
          </w:p>
        </w:tc>
      </w:tr>
      <w:tr w14:paraId="62A5E959">
        <w:tblPrEx>
          <w:tblCellMar>
            <w:top w:w="0" w:type="dxa"/>
            <w:left w:w="0" w:type="dxa"/>
            <w:bottom w:w="0" w:type="dxa"/>
            <w:right w:w="0" w:type="dxa"/>
          </w:tblCellMar>
        </w:tblPrEx>
        <w:trPr>
          <w:trHeight w:val="677"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09CF23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4</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4AE1C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未经许可利用跨越公路的设施悬挂非公路标志</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3BD691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未经许可利用跨越公路的设施悬挂非公路标志，及时纠正，未造成后果。</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4FF1C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《公路安全保护条例》第二十七条第（五）项：“进行下列涉路施工活动，建设单位应当向公路管理机构提出申请：......（五）利用跨越公路的设施悬挂非公路标志；......”</w:t>
            </w:r>
          </w:p>
        </w:tc>
      </w:tr>
      <w:tr w14:paraId="71FCECFD">
        <w:tblPrEx>
          <w:tblCellMar>
            <w:top w:w="0" w:type="dxa"/>
            <w:left w:w="0" w:type="dxa"/>
            <w:bottom w:w="0" w:type="dxa"/>
            <w:right w:w="0" w:type="dxa"/>
          </w:tblCellMar>
        </w:tblPrEx>
        <w:trPr>
          <w:trHeight w:val="677"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AB5B21">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75231A0">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0AE2BE3">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674F00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《公路安全保护条例》第六十二条：“违反本条例的规定，未经许可进行本条例第二十七条第一项至第五项规定的涉路施工活动的，由公路管理机构责令改正，可以处3万元以下的罚款。”</w:t>
            </w:r>
          </w:p>
        </w:tc>
      </w:tr>
      <w:tr w14:paraId="42D401F1">
        <w:tblPrEx>
          <w:tblCellMar>
            <w:top w:w="0" w:type="dxa"/>
            <w:left w:w="0" w:type="dxa"/>
            <w:bottom w:w="0" w:type="dxa"/>
            <w:right w:w="0" w:type="dxa"/>
          </w:tblCellMar>
        </w:tblPrEx>
        <w:trPr>
          <w:trHeight w:val="1892"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A8199F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5</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889477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建设单位未按照国家规定办理工程质量监督手续的。</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24442C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施工未超过1个月，且主动来办理质量监督手续的。</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FAC0D6">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cs="宋体"/>
                <w:spacing w:val="-11"/>
                <w:kern w:val="0"/>
                <w:szCs w:val="21"/>
                <w:lang w:bidi="ar"/>
              </w:rPr>
              <w:t>《建设工程质量管理条例》第十三条：“建设单位在开工前，应当按照国家有关规定办理工程质量监督手续，工程质量监督手续可以与施工许可证或者开工报告合并办理。”</w:t>
            </w:r>
          </w:p>
          <w:p w14:paraId="6BD5F6F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《公路水运工程质量监督管理规定》第二十二条第二款：“建设单位应当按照国家规定向交通运输主管部门或者其委托的建设工程质量监督机构提交以下材料，办理工程质量监督手续。”</w:t>
            </w:r>
          </w:p>
        </w:tc>
      </w:tr>
      <w:tr w14:paraId="6FA48A4C">
        <w:tblPrEx>
          <w:tblCellMar>
            <w:top w:w="0" w:type="dxa"/>
            <w:left w:w="0" w:type="dxa"/>
            <w:bottom w:w="0" w:type="dxa"/>
            <w:right w:w="0" w:type="dxa"/>
          </w:tblCellMar>
        </w:tblPrEx>
        <w:trPr>
          <w:trHeight w:val="2162"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87C606">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65FEA23">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DC6F28">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AEA8FB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《建设工程质量管理条例》第五十六条第（六）项</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“违反本条例规定，建设单位有下列行为之一的，责令改正，处20万元以上50万元以下的罚款：</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六</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未按照国家规定办理工程质量监督手续的。”</w:t>
            </w:r>
          </w:p>
          <w:p w14:paraId="6807E5B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公路水运工程质量监督管理规定》第四十五条：“违反本规定第二十二条规定，建设单位未按照规定办理工程质量监督手续的，依照《建设工程质量管理条例》第五十六条规定，责令改正，按以下标准处以罚款：（一）未造成工程质量事故的，处20万元以上30万元以下的罚款；（二）造成工程质量一般事故的，处30万元以上40万元以下的罚款；（三）造成工程质量较大及以上等级事故的，处40万元以上50万元以下的罚款。”</w:t>
            </w:r>
          </w:p>
        </w:tc>
      </w:tr>
      <w:tr w14:paraId="1389306B">
        <w:tblPrEx>
          <w:tblCellMar>
            <w:top w:w="0" w:type="dxa"/>
            <w:left w:w="0" w:type="dxa"/>
            <w:bottom w:w="0" w:type="dxa"/>
            <w:right w:w="0" w:type="dxa"/>
          </w:tblCellMar>
        </w:tblPrEx>
        <w:trPr>
          <w:trHeight w:val="812"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A12C1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6</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83EFC1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建设单位未取得施工许可证或者开工报告未经批准，擅自施工的</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7F51F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施工后1个月内未办理的。</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4F008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《建设工程质量管理条例》第五条第一款</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“从事建设工程活动，必须严格执行基本建设程序，坚持先勘察、后设计、再施工的原则。”</w:t>
            </w:r>
          </w:p>
        </w:tc>
      </w:tr>
      <w:tr w14:paraId="12DA9E72">
        <w:tblPrEx>
          <w:tblCellMar>
            <w:top w:w="0" w:type="dxa"/>
            <w:left w:w="0" w:type="dxa"/>
            <w:bottom w:w="0" w:type="dxa"/>
            <w:right w:w="0" w:type="dxa"/>
          </w:tblCellMar>
        </w:tblPrEx>
        <w:trPr>
          <w:trHeight w:val="812"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088D35D">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7785A4">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2722FD1">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68CB0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《建设工程质量管理条例》第五十七条：“违反本条例规定，建设单位未取得施工许可证或者开工报告未经批准，擅自施工的，责令停止施工，限期改正，处工程合同价款的百分之一以上百分之二以下的罚款。”</w:t>
            </w:r>
          </w:p>
        </w:tc>
      </w:tr>
      <w:tr w14:paraId="2B97041E">
        <w:tblPrEx>
          <w:tblCellMar>
            <w:top w:w="0" w:type="dxa"/>
            <w:left w:w="0" w:type="dxa"/>
            <w:bottom w:w="0" w:type="dxa"/>
            <w:right w:w="0" w:type="dxa"/>
          </w:tblCellMar>
        </w:tblPrEx>
        <w:trPr>
          <w:trHeight w:val="938"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D878D5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7</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068AC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建设工程竣工验收后，建设单位未向建设行政主管部门或者其他有关部门移交建设项目档案的</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ED9BF2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3个月至半年未移交，主动改正的。</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B7DEE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工程质量管理条例》第十七条：“建设单位应当严格按照国家有关档案管理的规定，及时收集、整理建设项目各环节的文件资料，建立、健全建设项目档案，并在建设工程竣工验收后，及时向建设行政主管部门或者其他有关部门移交建设项目档案。”</w:t>
            </w:r>
          </w:p>
        </w:tc>
      </w:tr>
      <w:tr w14:paraId="24734575">
        <w:tblPrEx>
          <w:tblCellMar>
            <w:top w:w="0" w:type="dxa"/>
            <w:left w:w="0" w:type="dxa"/>
            <w:bottom w:w="0" w:type="dxa"/>
            <w:right w:w="0" w:type="dxa"/>
          </w:tblCellMar>
        </w:tblPrEx>
        <w:trPr>
          <w:trHeight w:val="938"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82F5F27">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59DD9F2">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93D29C1">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8250CF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《建设工程质量管理条例》第五十九条：“违反本条例规定，建设工程竣工验收后，建设单位未向建设行政主管部门或者其他有关部门移交建设项目档案的，责令改正，处1万元以上10万元以下的罚款。”</w:t>
            </w:r>
          </w:p>
        </w:tc>
      </w:tr>
      <w:tr w14:paraId="1DCB2673">
        <w:tblPrEx>
          <w:tblCellMar>
            <w:top w:w="0" w:type="dxa"/>
            <w:left w:w="0" w:type="dxa"/>
            <w:bottom w:w="0" w:type="dxa"/>
            <w:right w:w="0" w:type="dxa"/>
          </w:tblCellMar>
        </w:tblPrEx>
        <w:trPr>
          <w:trHeight w:val="2012"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DA75D1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8</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E30D69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勘察单位未按照工程建设强制性标准进行勘察的</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B144D9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工程尚未开工建设的。</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D4D1C6E">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cs="宋体"/>
                <w:spacing w:val="-11"/>
                <w:kern w:val="0"/>
                <w:szCs w:val="21"/>
                <w:lang w:bidi="ar"/>
              </w:rPr>
              <w:t>《建设工程质量管理条例》第十九条第一款：“勘察、设计单位必须按照工程建设强制性标准进行勘察、设计，并对其勘察、设计的质量负责。”</w:t>
            </w:r>
          </w:p>
          <w:p w14:paraId="4A6BAE3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公路水运工程质量监督管理规定》第十条：“勘察、设计单位对勘察、设计质量负责，应当按照有关规定、强制性标准进行勘察、设计，保证勘察、设计工作深度和质量。勘察单位提供的勘察成果文件应当满足工程设计的需要。设计单位应当根据勘察成果文件进行工程设计。”</w:t>
            </w:r>
          </w:p>
        </w:tc>
      </w:tr>
      <w:tr w14:paraId="4DBC2F5F">
        <w:tblPrEx>
          <w:tblCellMar>
            <w:top w:w="0" w:type="dxa"/>
            <w:left w:w="0" w:type="dxa"/>
            <w:bottom w:w="0" w:type="dxa"/>
            <w:right w:w="0" w:type="dxa"/>
          </w:tblCellMar>
        </w:tblPrEx>
        <w:trPr>
          <w:trHeight w:val="2702" w:hRule="atLeast"/>
        </w:trPr>
        <w:tc>
          <w:tcPr>
            <w:tcW w:w="595" w:type="dxa"/>
            <w:vMerge w:val="continue"/>
            <w:tcBorders>
              <w:top w:val="single" w:color="auto" w:sz="4" w:space="0"/>
              <w:left w:val="single" w:color="auto" w:sz="4" w:space="0"/>
              <w:bottom w:val="single" w:color="000000" w:sz="4" w:space="0"/>
              <w:right w:val="single" w:color="000000" w:sz="4" w:space="0"/>
            </w:tcBorders>
            <w:noWrap w:val="0"/>
            <w:tcMar>
              <w:top w:w="15" w:type="dxa"/>
              <w:left w:w="15" w:type="dxa"/>
              <w:right w:w="15" w:type="dxa"/>
            </w:tcMar>
            <w:vAlign w:val="center"/>
          </w:tcPr>
          <w:p w14:paraId="55FDBB27">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305E57">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C0CE50">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3A10AD">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cs="宋体"/>
                <w:spacing w:val="-11"/>
                <w:kern w:val="0"/>
                <w:szCs w:val="21"/>
                <w:lang w:bidi="ar"/>
              </w:rPr>
              <w:t>《建设工程质量管理条例》第六十三条第一项：违反本条例规定，有下列行为之一的，责令改正，处10万元以上30万元以下的罚款：（一）勘察单位未按照工程建设强制性标准进行勘察的。有前款所列行为，造成工程质量事故的，责令停业整顿，降低资质等级；情节严重的，吊销资质证书；造成损失的，依法承担赔偿责任。</w:t>
            </w:r>
          </w:p>
          <w:p w14:paraId="3961035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公路水运工程质量监督管理规定》第三十九条：违反本规定第十条规定，勘察、设计单位未按照工程建设强制性标准进行勘察、设计的，设计单位未根据勘察成果文件进行工程设计的，依照《建设工程质量管理条例》第六十三条规定，责令改正，按以下标准处以罚款；造成质量事故的，责令停工整顿：（一）工程尚未开工建设的，处10万元以上20万元以下的罚款；（二）工程已开工建设的，处20万元以上30万元以下的罚款。</w:t>
            </w:r>
          </w:p>
        </w:tc>
      </w:tr>
      <w:tr w14:paraId="14D50D4C">
        <w:tblPrEx>
          <w:tblCellMar>
            <w:top w:w="0" w:type="dxa"/>
            <w:left w:w="0" w:type="dxa"/>
            <w:bottom w:w="0" w:type="dxa"/>
            <w:right w:w="0" w:type="dxa"/>
          </w:tblCellMar>
        </w:tblPrEx>
        <w:trPr>
          <w:trHeight w:val="1172" w:hRule="atLeast"/>
        </w:trPr>
        <w:tc>
          <w:tcPr>
            <w:tcW w:w="59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7CD73E7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9</w:t>
            </w:r>
          </w:p>
        </w:tc>
        <w:tc>
          <w:tcPr>
            <w:tcW w:w="2613"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4F62346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设计单位未按照工程建设强制性标准或未根据勘察成果文件进行工程设计的</w:t>
            </w:r>
          </w:p>
        </w:tc>
        <w:tc>
          <w:tcPr>
            <w:tcW w:w="229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5B7E94C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工程尚未开工建设的</w:t>
            </w:r>
          </w:p>
        </w:tc>
        <w:tc>
          <w:tcPr>
            <w:tcW w:w="85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C4B34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《建设工程质量管理条例》第十九条：“勘察、设计单位必须按照工程建设强制性标准进行勘察、设计、并对勘察、设计的质量负责。第二十一条第一款：设计单位应当根据勘察成果文件进行建设工程设计。”</w:t>
            </w:r>
          </w:p>
        </w:tc>
      </w:tr>
      <w:tr w14:paraId="2319093E">
        <w:tblPrEx>
          <w:tblCellMar>
            <w:top w:w="0" w:type="dxa"/>
            <w:left w:w="0" w:type="dxa"/>
            <w:bottom w:w="0" w:type="dxa"/>
            <w:right w:w="0" w:type="dxa"/>
          </w:tblCellMar>
        </w:tblPrEx>
        <w:trPr>
          <w:trHeight w:val="2837" w:hRule="atLeast"/>
        </w:trPr>
        <w:tc>
          <w:tcPr>
            <w:tcW w:w="595"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694F8C7B">
            <w:pPr>
              <w:widowControl/>
              <w:spacing w:line="320" w:lineRule="exact"/>
              <w:textAlignment w:val="center"/>
              <w:rPr>
                <w:rFonts w:hint="eastAsia" w:ascii="宋体" w:hAnsi="宋体" w:cs="宋体"/>
                <w:spacing w:val="-11"/>
                <w:kern w:val="0"/>
                <w:szCs w:val="21"/>
                <w:lang w:bidi="ar"/>
              </w:rPr>
            </w:pPr>
          </w:p>
        </w:tc>
        <w:tc>
          <w:tcPr>
            <w:tcW w:w="2613"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0A46A63B">
            <w:pPr>
              <w:widowControl/>
              <w:spacing w:line="320" w:lineRule="exact"/>
              <w:textAlignment w:val="center"/>
              <w:rPr>
                <w:rFonts w:hint="eastAsia" w:ascii="宋体" w:hAnsi="宋体" w:cs="宋体"/>
                <w:spacing w:val="-11"/>
                <w:kern w:val="0"/>
                <w:szCs w:val="21"/>
                <w:lang w:bidi="ar"/>
              </w:rPr>
            </w:pPr>
          </w:p>
        </w:tc>
        <w:tc>
          <w:tcPr>
            <w:tcW w:w="2295"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775F06B7">
            <w:pPr>
              <w:widowControl/>
              <w:spacing w:line="320" w:lineRule="exact"/>
              <w:textAlignment w:val="center"/>
              <w:rPr>
                <w:rFonts w:hint="eastAsia" w:ascii="宋体" w:hAnsi="宋体" w:cs="宋体"/>
                <w:spacing w:val="-11"/>
                <w:kern w:val="0"/>
                <w:szCs w:val="21"/>
                <w:lang w:bidi="ar"/>
              </w:rPr>
            </w:pPr>
          </w:p>
        </w:tc>
        <w:tc>
          <w:tcPr>
            <w:tcW w:w="8551"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43D469C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工程质量管理条例》第六十三条：“违反本条例规定，有下列行为之一的，责令改正，处10万元以上30万元以下的罚款：（二）设计单位未根据勘察成果文件进行工程设计的；（四）设计单位未按照工程建设强制性标准进行设计的。有前款所列行为，造成工程质量事故的，责令停业整顿，降低资质等级，情节严重的，吊销资质证书；造成损失的，依法承担赔偿责任。”</w:t>
            </w:r>
          </w:p>
          <w:p w14:paraId="25F87CF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公路水运工程质量监督管理规定》第三十九条：“违反本规定第十条规定，勘察、设计单位未按照工程建设强制性标准进行勘察、设计的，设计单位未根据勘察成果文件进行工程设计的，依照《建设工程质量管理条例》第六十三条规定，责令改正，按以下标准处以罚款；造成质量事故的，责令停工整顿：（一）工程尚未开工建设的，处10万元以上20万元以下的罚款；（二）工程已开工建设的，处20万元以上30万元以下的罚款。”</w:t>
            </w:r>
          </w:p>
        </w:tc>
      </w:tr>
      <w:tr w14:paraId="1C39A287">
        <w:tblPrEx>
          <w:tblCellMar>
            <w:top w:w="0" w:type="dxa"/>
            <w:left w:w="0" w:type="dxa"/>
            <w:bottom w:w="0" w:type="dxa"/>
            <w:right w:w="0" w:type="dxa"/>
          </w:tblCellMar>
        </w:tblPrEx>
        <w:trPr>
          <w:trHeight w:val="1217"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9653B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10</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44EFF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设计单位指定建筑材料、建筑构配件的生产厂、供应商的</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2BA50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工程尚未实施。</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FC109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《建设工程质量管理条例》第二十二条：“设计单位在设计文件中选用的建筑材料、建筑构配件和设备，应当注明规格、型号、性能等技术指标，其质量要求必须符合国家规定的标准。  除有特殊要求的建筑材料、专用设备、工艺生产线等外，设计单位不得指定生产石、供应商。”</w:t>
            </w:r>
          </w:p>
        </w:tc>
      </w:tr>
      <w:tr w14:paraId="77380EBD">
        <w:tblPrEx>
          <w:tblCellMar>
            <w:top w:w="0" w:type="dxa"/>
            <w:left w:w="0" w:type="dxa"/>
            <w:bottom w:w="0" w:type="dxa"/>
            <w:right w:w="0" w:type="dxa"/>
          </w:tblCellMar>
        </w:tblPrEx>
        <w:trPr>
          <w:trHeight w:val="1217"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7B368F">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AE9CDD4">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F7CDA2B">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0AFEE7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工程质量管理条例》第六十三条第（三）项：“违反本条例规定，有下列行为之一的，责令改正，处10万元以上30万元以下的罚款：......（三）设计单位指定建筑材料、建筑构配件的生产厂、供应商的。有前款所列行为，造成工程质量事故的，责令停业整顿，降低资质等级，情节严重的，吊销资质证书；造成损失的，依法承担赔偿责任。”</w:t>
            </w:r>
          </w:p>
        </w:tc>
      </w:tr>
      <w:tr w14:paraId="1E86F5CE">
        <w:tblPrEx>
          <w:tblCellMar>
            <w:top w:w="0" w:type="dxa"/>
            <w:left w:w="0" w:type="dxa"/>
            <w:bottom w:w="0" w:type="dxa"/>
            <w:right w:w="0" w:type="dxa"/>
          </w:tblCellMar>
        </w:tblPrEx>
        <w:trPr>
          <w:trHeight w:val="1172"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1AB12D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11</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18B7CF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监理单位监理人员同时担任两个以上监理合同段的监理工作的</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408B27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发现后能及时主动改正的。</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4BFEF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《江西省交通建设工程质量与安全生产监督管理条例》第三十二条第三款：“监理人员不得同时担任两个以上监理合同段的监理工作。”</w:t>
            </w:r>
          </w:p>
        </w:tc>
      </w:tr>
      <w:tr w14:paraId="14D08666">
        <w:tblPrEx>
          <w:tblCellMar>
            <w:top w:w="0" w:type="dxa"/>
            <w:left w:w="0" w:type="dxa"/>
            <w:bottom w:w="0" w:type="dxa"/>
            <w:right w:w="0" w:type="dxa"/>
          </w:tblCellMar>
        </w:tblPrEx>
        <w:trPr>
          <w:trHeight w:val="1622"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1653BD9">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18723D7">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06A2F61">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D7E97F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江西省交通建设工程质量与安全生产监督管理条例》第五十一条第（一）项：“监理单位有下列情形之一的，由省、设区的市交通工程质量安全监督机构或者县级人民政府交通运输主管部门按照下列规定进行处罚：（一）违反本条例第三十二条第三款规定，监理人员同时担任两个以上监理合同段的监理工作的，责令限期改正；逾期不改正的，对监理单位每人每次处二万元以上五万元以下的罚款；情节严重的，对监理单位每人每次处五万元以上二十万元以下的罚款。......”</w:t>
            </w:r>
          </w:p>
        </w:tc>
      </w:tr>
      <w:tr w14:paraId="08DE5A81">
        <w:tblPrEx>
          <w:tblCellMar>
            <w:top w:w="0" w:type="dxa"/>
            <w:left w:w="0" w:type="dxa"/>
            <w:bottom w:w="0" w:type="dxa"/>
            <w:right w:w="0" w:type="dxa"/>
          </w:tblCellMar>
        </w:tblPrEx>
        <w:trPr>
          <w:trHeight w:val="812"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BFF330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12</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8A3CD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施工单位取得资质证书后，降低安全生产条件的</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9CF0A8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取得资质证书后，降低安全生产条件。</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A307F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工程安全生产管理条例》第二十条：“施工单位从事建设工程的新建、扩建、改建和拆除等活动，应当具备国家规定的注册资本、专业技术人员、技术装备和安全生产等条件，依法取得相应等级的资质证书，并在其资质等级许可的范围内承揽工程。”</w:t>
            </w:r>
          </w:p>
        </w:tc>
      </w:tr>
      <w:tr w14:paraId="0B60BCB1">
        <w:tblPrEx>
          <w:tblCellMar>
            <w:top w:w="0" w:type="dxa"/>
            <w:left w:w="0" w:type="dxa"/>
            <w:bottom w:w="0" w:type="dxa"/>
            <w:right w:w="0" w:type="dxa"/>
          </w:tblCellMar>
        </w:tblPrEx>
        <w:trPr>
          <w:trHeight w:val="812"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174A53">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B99A71">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AB25FC">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727C18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建设工程安全生产管理条例》第六十七条：“施工单位取得资质证书后，降低安全生产条件的，责令限期改正；经整改仍未达到与其资质等级相适应的安全生产条件的，责令停业整顿，降低其资质等级直至吊销资质证书。”</w:t>
            </w:r>
          </w:p>
        </w:tc>
      </w:tr>
      <w:tr w14:paraId="67C63E3E">
        <w:tblPrEx>
          <w:tblCellMar>
            <w:top w:w="0" w:type="dxa"/>
            <w:left w:w="0" w:type="dxa"/>
            <w:bottom w:w="0" w:type="dxa"/>
            <w:right w:w="0" w:type="dxa"/>
          </w:tblCellMar>
        </w:tblPrEx>
        <w:trPr>
          <w:trHeight w:val="1055"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95DD7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13</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867412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施工单位拒绝、阻碍负有安全生产监督管理职责的部门依法实施监督检查的</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F1953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生产经营单位拒绝、阻碍负有安全生产监督管理职责的部门依法实施监督检查。</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DEE737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《中华人民共和国安全生产法》第六十三条：“生产经营单位对负有安全生产监督管理职责的部门的监督检查人员（以下统称安全生产监督检查人员）依法履行监督检查职责，应当予以配合，不得拒绝、阻挠。”</w:t>
            </w:r>
          </w:p>
        </w:tc>
      </w:tr>
      <w:tr w14:paraId="2D352214">
        <w:tblPrEx>
          <w:tblCellMar>
            <w:top w:w="0" w:type="dxa"/>
            <w:left w:w="0" w:type="dxa"/>
            <w:bottom w:w="0" w:type="dxa"/>
            <w:right w:w="0" w:type="dxa"/>
          </w:tblCellMar>
        </w:tblPrEx>
        <w:trPr>
          <w:trHeight w:val="1250"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08846D">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02EC571">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6B1F397">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8E9724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安全生产法》第一百零五条：“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tc>
      </w:tr>
      <w:tr w14:paraId="61ABF9B8">
        <w:tblPrEx>
          <w:tblCellMar>
            <w:top w:w="0" w:type="dxa"/>
            <w:left w:w="0" w:type="dxa"/>
            <w:bottom w:w="0" w:type="dxa"/>
            <w:right w:w="0" w:type="dxa"/>
          </w:tblCellMar>
        </w:tblPrEx>
        <w:trPr>
          <w:trHeight w:val="1406"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351B8C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14</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01DB36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施工单位未按规定对桥梁、隧道、高边坡、深基坑、通航建筑物、大型临时围堰等工程开展施工安全风险评估的</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EE1ED9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未按照国家和省有关规定对桥梁、隧道、高边坡、深基坑、通航建筑物、大型临时围堰等工程开展施工安全风险评估。</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58D4A6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江西省交通建设工程质量与安全生产监督管理条例》第二十四条第一款：“对桥梁、隧道、高边坡、深基坑、通航建筑物、大型临时围堰等工程，施工单位应当按照国家和省有关规定开展施工安全风险评估，必要时应当组织专家论证。”</w:t>
            </w:r>
          </w:p>
        </w:tc>
      </w:tr>
      <w:tr w14:paraId="3CBD97E4">
        <w:tblPrEx>
          <w:tblCellMar>
            <w:top w:w="0" w:type="dxa"/>
            <w:left w:w="0" w:type="dxa"/>
            <w:bottom w:w="0" w:type="dxa"/>
            <w:right w:w="0" w:type="dxa"/>
          </w:tblCellMar>
        </w:tblPrEx>
        <w:trPr>
          <w:trHeight w:val="1406"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7001758">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A82169">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0D170AA">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897F64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江西省交通建设工程质量与安全生产监督管理条例》第四十九条：“违反本条例第二十四条第一款规定，施工单位未按照国家和省有关规定对桥梁、隧道、高边坡、深基坑、通航建筑物、大型临时围堰等工程开展施工安全风险评估的，由省、设区的市交通工程质量安全监督机构或者县级人民政府交通运输主管部门责令限期改正；逾期不改正的，处十万元以上三十万元以下的罚款。”</w:t>
            </w:r>
          </w:p>
        </w:tc>
      </w:tr>
      <w:tr w14:paraId="785D0486">
        <w:tblPrEx>
          <w:tblCellMar>
            <w:top w:w="0" w:type="dxa"/>
            <w:left w:w="0" w:type="dxa"/>
            <w:bottom w:w="0" w:type="dxa"/>
            <w:right w:w="0" w:type="dxa"/>
          </w:tblCellMar>
        </w:tblPrEx>
        <w:trPr>
          <w:trHeight w:val="952" w:hRule="atLeast"/>
        </w:trPr>
        <w:tc>
          <w:tcPr>
            <w:tcW w:w="5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E1682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15</w:t>
            </w:r>
          </w:p>
        </w:tc>
        <w:tc>
          <w:tcPr>
            <w:tcW w:w="261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E66CB8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施工单位的安全生产管理人员未履行《中华人民共和国安全生产法》规定的安全生产管理职责的</w:t>
            </w:r>
          </w:p>
        </w:tc>
        <w:tc>
          <w:tcPr>
            <w:tcW w:w="229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9D0785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生产经营单位的安全生产管理人员未履行本法规定的安全生产管理职责的。</w:t>
            </w: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620E1C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安全生产法》第二十二条：“生产经营单位的安全生产管理机构以及安全生产管理人员履行下列职责：（一）组织或者参与拟订本单位安全生产规章制度、操作规程和生产安全事故应急救援预案；（二）组织或者参与本单位安全生产教育和培训，如实记录安全生产教育和培训情况；（三）督促落实本单位重大危险源的安全管理措施；（四）组织或者参与本单位应急救援演练；（五）检查本单位的安全生产状况，及时排查生产安全事故隐患，提出改进安全生产管理的建议；（六）制止和纠正违章指挥、强令冒险作业、违反操作规程的行为；（七）督促落实本单位安全生产整改措施。”</w:t>
            </w:r>
          </w:p>
        </w:tc>
      </w:tr>
      <w:tr w14:paraId="7CB775D4">
        <w:tblPrEx>
          <w:tblCellMar>
            <w:top w:w="0" w:type="dxa"/>
            <w:left w:w="0" w:type="dxa"/>
            <w:bottom w:w="0" w:type="dxa"/>
            <w:right w:w="0" w:type="dxa"/>
          </w:tblCellMar>
        </w:tblPrEx>
        <w:trPr>
          <w:trHeight w:val="952" w:hRule="atLeast"/>
        </w:trPr>
        <w:tc>
          <w:tcPr>
            <w:tcW w:w="5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6EE1FA">
            <w:pPr>
              <w:widowControl/>
              <w:spacing w:line="320" w:lineRule="exact"/>
              <w:textAlignment w:val="center"/>
              <w:rPr>
                <w:rFonts w:hint="eastAsia" w:ascii="宋体" w:hAnsi="宋体" w:cs="宋体"/>
                <w:spacing w:val="-11"/>
                <w:kern w:val="0"/>
                <w:szCs w:val="21"/>
                <w:lang w:bidi="ar"/>
              </w:rPr>
            </w:pPr>
          </w:p>
        </w:tc>
        <w:tc>
          <w:tcPr>
            <w:tcW w:w="2613"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A0357FF">
            <w:pPr>
              <w:widowControl/>
              <w:spacing w:line="320" w:lineRule="exact"/>
              <w:textAlignment w:val="center"/>
              <w:rPr>
                <w:rFonts w:hint="eastAsia" w:ascii="宋体" w:hAnsi="宋体" w:cs="宋体"/>
                <w:spacing w:val="-11"/>
                <w:kern w:val="0"/>
                <w:szCs w:val="21"/>
                <w:lang w:bidi="ar"/>
              </w:rPr>
            </w:pPr>
          </w:p>
        </w:tc>
        <w:tc>
          <w:tcPr>
            <w:tcW w:w="229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C38BB0">
            <w:pPr>
              <w:widowControl/>
              <w:spacing w:line="320" w:lineRule="exact"/>
              <w:textAlignment w:val="center"/>
              <w:rPr>
                <w:rFonts w:hint="eastAsia" w:ascii="宋体" w:hAnsi="宋体" w:cs="宋体"/>
                <w:spacing w:val="-11"/>
                <w:kern w:val="0"/>
                <w:szCs w:val="21"/>
                <w:lang w:bidi="ar"/>
              </w:rPr>
            </w:pPr>
          </w:p>
        </w:tc>
        <w:tc>
          <w:tcPr>
            <w:tcW w:w="85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462836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安全生产法》第九十三条：“生产经营单位的安全生产管理人员未履行本法规定的安全生产管理职责的，责令限期改正；导致发生生产安全事故的，暂停或者撤销其与安全生产有关的资格；构成犯罪的，依照刑法有关规定追究刑事责任。”</w:t>
            </w:r>
          </w:p>
        </w:tc>
      </w:tr>
    </w:tbl>
    <w:p w14:paraId="763A5F74">
      <w:pPr>
        <w:jc w:val="center"/>
        <w:rPr>
          <w:rFonts w:hint="eastAsia" w:ascii="仿宋_GB2312" w:hAnsi="仿宋_GB2312" w:eastAsia="仿宋_GB2312" w:cs="仿宋_GB2312"/>
          <w:sz w:val="32"/>
          <w:szCs w:val="32"/>
        </w:rPr>
      </w:pPr>
    </w:p>
    <w:p w14:paraId="2D913C58">
      <w:pPr>
        <w:widowControl/>
        <w:spacing w:line="320" w:lineRule="exact"/>
        <w:textAlignment w:val="center"/>
        <w:rPr>
          <w:rFonts w:hint="eastAsia" w:ascii="黑体" w:hAnsi="黑体" w:eastAsia="黑体" w:cs="黑体"/>
          <w:spacing w:val="-11"/>
          <w:kern w:val="0"/>
          <w:sz w:val="32"/>
          <w:szCs w:val="32"/>
          <w:lang w:bidi="ar"/>
        </w:rPr>
      </w:pPr>
    </w:p>
    <w:p w14:paraId="7E665EA9">
      <w:pPr>
        <w:widowControl/>
        <w:textAlignment w:val="center"/>
        <w:rPr>
          <w:rFonts w:hint="eastAsia" w:ascii="黑体" w:hAnsi="黑体" w:eastAsia="黑体" w:cs="黑体"/>
          <w:spacing w:val="-11"/>
          <w:kern w:val="0"/>
          <w:sz w:val="32"/>
          <w:szCs w:val="32"/>
          <w:lang w:bidi="ar"/>
        </w:rPr>
      </w:pPr>
      <w:r>
        <w:rPr>
          <w:rFonts w:hint="eastAsia" w:ascii="黑体" w:hAnsi="黑体" w:eastAsia="黑体" w:cs="黑体"/>
          <w:spacing w:val="-11"/>
          <w:kern w:val="0"/>
          <w:sz w:val="32"/>
          <w:szCs w:val="32"/>
          <w:lang w:bidi="ar"/>
        </w:rPr>
        <w:t>四、新余市农业农村领域轻微违法违规行为免罚清单</w:t>
      </w:r>
    </w:p>
    <w:p w14:paraId="06A65091">
      <w:pPr>
        <w:widowControl/>
        <w:spacing w:line="320" w:lineRule="exact"/>
        <w:textAlignment w:val="center"/>
        <w:rPr>
          <w:rFonts w:hint="eastAsia" w:ascii="宋体" w:hAnsi="宋体" w:cs="宋体"/>
          <w:spacing w:val="-11"/>
          <w:kern w:val="0"/>
          <w:szCs w:val="21"/>
          <w:lang w:bidi="ar"/>
        </w:rPr>
      </w:pPr>
    </w:p>
    <w:tbl>
      <w:tblPr>
        <w:tblStyle w:val="10"/>
        <w:tblW w:w="142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907"/>
        <w:gridCol w:w="2844"/>
        <w:gridCol w:w="7764"/>
      </w:tblGrid>
      <w:tr w14:paraId="6C0EA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698" w:type="dxa"/>
            <w:noWrap w:val="0"/>
            <w:vAlign w:val="center"/>
          </w:tcPr>
          <w:p w14:paraId="3CF43E38">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序号</w:t>
            </w:r>
          </w:p>
        </w:tc>
        <w:tc>
          <w:tcPr>
            <w:tcW w:w="2873" w:type="dxa"/>
            <w:noWrap w:val="0"/>
            <w:vAlign w:val="center"/>
          </w:tcPr>
          <w:p w14:paraId="5346CFBE">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违法行为</w:t>
            </w:r>
          </w:p>
        </w:tc>
        <w:tc>
          <w:tcPr>
            <w:tcW w:w="2811" w:type="dxa"/>
            <w:noWrap w:val="0"/>
            <w:vAlign w:val="center"/>
          </w:tcPr>
          <w:p w14:paraId="117F8936">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不予处罚条件</w:t>
            </w:r>
          </w:p>
        </w:tc>
        <w:tc>
          <w:tcPr>
            <w:tcW w:w="7674" w:type="dxa"/>
            <w:noWrap w:val="0"/>
            <w:vAlign w:val="center"/>
          </w:tcPr>
          <w:p w14:paraId="31D44801">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法律依据</w:t>
            </w:r>
          </w:p>
        </w:tc>
      </w:tr>
      <w:tr w14:paraId="6C5CE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698" w:type="dxa"/>
            <w:noWrap w:val="0"/>
            <w:vAlign w:val="center"/>
          </w:tcPr>
          <w:p w14:paraId="775A9242">
            <w:pPr>
              <w:widowControl/>
              <w:spacing w:line="320" w:lineRule="exact"/>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一</w:t>
            </w:r>
          </w:p>
        </w:tc>
        <w:tc>
          <w:tcPr>
            <w:tcW w:w="13358" w:type="dxa"/>
            <w:gridSpan w:val="3"/>
            <w:noWrap w:val="0"/>
            <w:vAlign w:val="center"/>
          </w:tcPr>
          <w:p w14:paraId="2473C436">
            <w:pPr>
              <w:widowControl/>
              <w:spacing w:line="320" w:lineRule="exact"/>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违反行政许可有关规定的情形</w:t>
            </w:r>
          </w:p>
        </w:tc>
      </w:tr>
      <w:tr w14:paraId="085BE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698" w:type="dxa"/>
            <w:vMerge w:val="restart"/>
            <w:noWrap w:val="0"/>
            <w:vAlign w:val="center"/>
          </w:tcPr>
          <w:p w14:paraId="6CFAD78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w:t>
            </w:r>
          </w:p>
        </w:tc>
        <w:tc>
          <w:tcPr>
            <w:tcW w:w="2873" w:type="dxa"/>
            <w:vMerge w:val="restart"/>
            <w:noWrap w:val="0"/>
            <w:vAlign w:val="top"/>
          </w:tcPr>
          <w:p w14:paraId="39C17DE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违反销售、收购 国务院畜牧兽医行政主管部门规定应当加施标识而没有标识的畜禽，涉及销售金额不足二千元</w:t>
            </w:r>
          </w:p>
        </w:tc>
        <w:tc>
          <w:tcPr>
            <w:tcW w:w="2811" w:type="dxa"/>
            <w:vMerge w:val="restart"/>
            <w:noWrap w:val="0"/>
            <w:vAlign w:val="top"/>
          </w:tcPr>
          <w:p w14:paraId="34AD649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属于初次违法，且立即自行改正或在行政机关责令改正的期限内改正，未造成危害后果的；</w:t>
            </w:r>
          </w:p>
        </w:tc>
        <w:tc>
          <w:tcPr>
            <w:tcW w:w="7674" w:type="dxa"/>
            <w:noWrap w:val="0"/>
            <w:vAlign w:val="top"/>
          </w:tcPr>
          <w:p w14:paraId="20B53B2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畜牧法》第六十八条：“违反本法有关规定，销售的种畜禽未附具种畜禽合格证明、检疫合格证明、家畜系谱的，销售、收购国务院畜牧兽医行政主管部门规定应当加施标识而没有标识的畜禽的，或者重复使用畜禽标识的，由县级以上地方人民政府畜牧兽医行政主管部门或者工商行政管理部门责令改正，可以处二千元以下罚款。”</w:t>
            </w:r>
          </w:p>
        </w:tc>
      </w:tr>
      <w:tr w14:paraId="24C3D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98" w:type="dxa"/>
            <w:vMerge w:val="restart"/>
            <w:noWrap w:val="0"/>
            <w:vAlign w:val="center"/>
          </w:tcPr>
          <w:p w14:paraId="541A089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2</w:t>
            </w:r>
          </w:p>
        </w:tc>
        <w:tc>
          <w:tcPr>
            <w:tcW w:w="2873" w:type="dxa"/>
            <w:vMerge w:val="restart"/>
            <w:noWrap w:val="0"/>
            <w:vAlign w:val="top"/>
          </w:tcPr>
          <w:p w14:paraId="6CD079C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违反畜禽养殖场、 养殖小区未按照规定保存养殖档案</w:t>
            </w:r>
          </w:p>
        </w:tc>
        <w:tc>
          <w:tcPr>
            <w:tcW w:w="2811" w:type="dxa"/>
            <w:vMerge w:val="restart"/>
            <w:noWrap w:val="0"/>
            <w:vAlign w:val="top"/>
          </w:tcPr>
          <w:p w14:paraId="0515579D">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属于初次违法，且在行政机 关责令改正的期限内改正，未造成危害后果的；</w:t>
            </w:r>
          </w:p>
        </w:tc>
        <w:tc>
          <w:tcPr>
            <w:tcW w:w="7674" w:type="dxa"/>
            <w:noWrap w:val="0"/>
            <w:vAlign w:val="top"/>
          </w:tcPr>
          <w:p w14:paraId="2C2C6DC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《中华人民共和国畜牧法》第四十一条：“</w:t>
            </w:r>
            <w:r>
              <w:rPr>
                <w:rFonts w:ascii="宋体" w:hAnsi="宋体" w:cs="宋体"/>
                <w:spacing w:val="-11"/>
                <w:kern w:val="0"/>
                <w:szCs w:val="21"/>
                <w:lang w:bidi="ar"/>
              </w:rPr>
              <w:t>畜禽养殖场应当建立养殖档案，载明以下内容：</w:t>
            </w:r>
          </w:p>
          <w:p w14:paraId="73A16E98">
            <w:pPr>
              <w:widowControl/>
              <w:spacing w:line="320" w:lineRule="exact"/>
              <w:textAlignment w:val="center"/>
              <w:rPr>
                <w:rFonts w:ascii="宋体" w:hAnsi="宋体" w:cs="宋体"/>
                <w:spacing w:val="-11"/>
                <w:kern w:val="0"/>
                <w:szCs w:val="21"/>
                <w:lang w:bidi="ar"/>
              </w:rPr>
            </w:pPr>
            <w:r>
              <w:rPr>
                <w:rFonts w:ascii="宋体" w:hAnsi="宋体" w:cs="宋体"/>
                <w:spacing w:val="-11"/>
                <w:kern w:val="0"/>
                <w:szCs w:val="21"/>
                <w:lang w:bidi="ar"/>
              </w:rPr>
              <w:t>（一）畜禽的品种、数量、繁殖记录、标识情况、来源和进出场日期；</w:t>
            </w:r>
          </w:p>
          <w:p w14:paraId="2C7298F1">
            <w:pPr>
              <w:widowControl/>
              <w:spacing w:line="320" w:lineRule="exact"/>
              <w:textAlignment w:val="center"/>
              <w:rPr>
                <w:rFonts w:ascii="宋体" w:hAnsi="宋体" w:cs="宋体"/>
                <w:spacing w:val="-11"/>
                <w:kern w:val="0"/>
                <w:szCs w:val="21"/>
                <w:lang w:bidi="ar"/>
              </w:rPr>
            </w:pPr>
            <w:r>
              <w:rPr>
                <w:rFonts w:ascii="宋体" w:hAnsi="宋体" w:cs="宋体"/>
                <w:spacing w:val="-11"/>
                <w:kern w:val="0"/>
                <w:szCs w:val="21"/>
                <w:lang w:bidi="ar"/>
              </w:rPr>
              <w:t>（二）饲料、饲料添加剂、兽药等投入品的来源、名称、使用对象、时间和用量；</w:t>
            </w:r>
          </w:p>
          <w:p w14:paraId="65C0745F">
            <w:pPr>
              <w:widowControl/>
              <w:spacing w:line="320" w:lineRule="exact"/>
              <w:textAlignment w:val="center"/>
              <w:rPr>
                <w:rFonts w:ascii="宋体" w:hAnsi="宋体" w:cs="宋体"/>
                <w:spacing w:val="-11"/>
                <w:kern w:val="0"/>
                <w:szCs w:val="21"/>
                <w:lang w:bidi="ar"/>
              </w:rPr>
            </w:pPr>
            <w:r>
              <w:rPr>
                <w:rFonts w:ascii="宋体" w:hAnsi="宋体" w:cs="宋体"/>
                <w:spacing w:val="-11"/>
                <w:kern w:val="0"/>
                <w:szCs w:val="21"/>
                <w:lang w:bidi="ar"/>
              </w:rPr>
              <w:t>（三）检疫、免疫、消毒情况；</w:t>
            </w:r>
          </w:p>
          <w:p w14:paraId="3D059D05">
            <w:pPr>
              <w:widowControl/>
              <w:spacing w:line="320" w:lineRule="exact"/>
              <w:textAlignment w:val="center"/>
              <w:rPr>
                <w:rFonts w:ascii="宋体" w:hAnsi="宋体" w:cs="宋体"/>
                <w:spacing w:val="-11"/>
                <w:kern w:val="0"/>
                <w:szCs w:val="21"/>
                <w:lang w:bidi="ar"/>
              </w:rPr>
            </w:pPr>
            <w:r>
              <w:rPr>
                <w:rFonts w:ascii="宋体" w:hAnsi="宋体" w:cs="宋体"/>
                <w:spacing w:val="-11"/>
                <w:kern w:val="0"/>
                <w:szCs w:val="21"/>
                <w:lang w:bidi="ar"/>
              </w:rPr>
              <w:t>（四）畜禽发病、死亡和无害化处理情况；</w:t>
            </w:r>
          </w:p>
          <w:p w14:paraId="2374A88A">
            <w:pPr>
              <w:widowControl/>
              <w:spacing w:line="320" w:lineRule="exact"/>
              <w:textAlignment w:val="center"/>
              <w:rPr>
                <w:rFonts w:hint="eastAsia" w:ascii="宋体" w:hAnsi="宋体" w:cs="宋体"/>
                <w:spacing w:val="-11"/>
                <w:kern w:val="0"/>
                <w:szCs w:val="21"/>
                <w:lang w:bidi="ar"/>
              </w:rPr>
            </w:pPr>
            <w:r>
              <w:rPr>
                <w:rFonts w:ascii="宋体" w:hAnsi="宋体" w:cs="宋体"/>
                <w:spacing w:val="-11"/>
                <w:kern w:val="0"/>
                <w:szCs w:val="21"/>
                <w:lang w:bidi="ar"/>
              </w:rPr>
              <w:t>（五）国务院畜牧兽医行政主管部门规定的其他内容。</w:t>
            </w:r>
            <w:r>
              <w:rPr>
                <w:rFonts w:hint="eastAsia" w:ascii="宋体" w:hAnsi="宋体" w:cs="宋体"/>
                <w:spacing w:val="-11"/>
                <w:kern w:val="0"/>
                <w:szCs w:val="21"/>
                <w:lang w:bidi="ar"/>
              </w:rPr>
              <w:t>”</w:t>
            </w:r>
          </w:p>
        </w:tc>
      </w:tr>
      <w:tr w14:paraId="53281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98" w:type="dxa"/>
            <w:vMerge w:val="continue"/>
            <w:noWrap w:val="0"/>
            <w:vAlign w:val="center"/>
          </w:tcPr>
          <w:p w14:paraId="42A22473">
            <w:pPr>
              <w:widowControl/>
              <w:spacing w:line="320" w:lineRule="exact"/>
              <w:textAlignment w:val="center"/>
            </w:pPr>
          </w:p>
        </w:tc>
        <w:tc>
          <w:tcPr>
            <w:tcW w:w="2873" w:type="dxa"/>
            <w:vMerge w:val="continue"/>
            <w:noWrap w:val="0"/>
            <w:vAlign w:val="top"/>
          </w:tcPr>
          <w:p w14:paraId="33D9CC72">
            <w:pPr>
              <w:widowControl/>
              <w:spacing w:line="320" w:lineRule="exact"/>
              <w:textAlignment w:val="center"/>
            </w:pPr>
          </w:p>
        </w:tc>
        <w:tc>
          <w:tcPr>
            <w:tcW w:w="2811" w:type="dxa"/>
            <w:vMerge w:val="continue"/>
            <w:noWrap w:val="0"/>
            <w:vAlign w:val="top"/>
          </w:tcPr>
          <w:p w14:paraId="375CCCF8">
            <w:pPr>
              <w:widowControl/>
              <w:spacing w:line="320" w:lineRule="exact"/>
              <w:textAlignment w:val="center"/>
            </w:pPr>
          </w:p>
        </w:tc>
        <w:tc>
          <w:tcPr>
            <w:tcW w:w="7674" w:type="dxa"/>
            <w:noWrap w:val="0"/>
            <w:vAlign w:val="top"/>
          </w:tcPr>
          <w:p w14:paraId="7366DC9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畜牧法》第六十六条：“违反本法第四十一条规定，畜禽养殖场未建立养殖档案的，或者未按照规定保存养殖档案的，由县级以上人民政府畜牧兽医行政主管部门责令限期改正，可以处一万元以下罚款。”</w:t>
            </w:r>
          </w:p>
        </w:tc>
      </w:tr>
      <w:tr w14:paraId="731AC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2" w:hRule="atLeast"/>
        </w:trPr>
        <w:tc>
          <w:tcPr>
            <w:tcW w:w="698" w:type="dxa"/>
            <w:noWrap w:val="0"/>
            <w:vAlign w:val="center"/>
          </w:tcPr>
          <w:p w14:paraId="124990F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3</w:t>
            </w:r>
          </w:p>
        </w:tc>
        <w:tc>
          <w:tcPr>
            <w:tcW w:w="2873" w:type="dxa"/>
            <w:noWrap w:val="0"/>
            <w:vAlign w:val="top"/>
          </w:tcPr>
          <w:p w14:paraId="5976CCC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农产品生产企业、农民专业合作经济组织未建立或者未按照规定保存农产品生产记录的、农业投入品经营者未建立或者未按照规定保存农业投入品经营档案</w:t>
            </w:r>
          </w:p>
        </w:tc>
        <w:tc>
          <w:tcPr>
            <w:tcW w:w="2811" w:type="dxa"/>
            <w:noWrap w:val="0"/>
            <w:vAlign w:val="top"/>
          </w:tcPr>
          <w:p w14:paraId="0341364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在行政机关责令改正的期限内改 正，未造成危害后果的；</w:t>
            </w:r>
          </w:p>
          <w:p w14:paraId="437F56DA">
            <w:pPr>
              <w:widowControl/>
              <w:spacing w:line="320" w:lineRule="exact"/>
              <w:textAlignment w:val="center"/>
              <w:rPr>
                <w:rFonts w:hint="eastAsia" w:ascii="宋体" w:hAnsi="宋体" w:cs="宋体"/>
                <w:spacing w:val="-11"/>
                <w:kern w:val="0"/>
                <w:szCs w:val="21"/>
                <w:lang w:bidi="ar"/>
              </w:rPr>
            </w:pPr>
          </w:p>
        </w:tc>
        <w:tc>
          <w:tcPr>
            <w:tcW w:w="7674" w:type="dxa"/>
            <w:noWrap w:val="0"/>
            <w:vAlign w:val="top"/>
          </w:tcPr>
          <w:p w14:paraId="3E5DFBB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农产品质量安全法》第四十七条：“农产品生产企业、农民专业合作经济组织未建立或者未按照规定保存农产品生产记录的，或者伪造农产品生产记录的，责令限期改正；逾期不改正的，可以处二千元以下罚款。”</w:t>
            </w:r>
          </w:p>
        </w:tc>
      </w:tr>
      <w:tr w14:paraId="4A1F9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698" w:type="dxa"/>
            <w:vMerge w:val="restart"/>
            <w:noWrap w:val="0"/>
            <w:vAlign w:val="center"/>
          </w:tcPr>
          <w:p w14:paraId="1FC5A49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4</w:t>
            </w:r>
          </w:p>
        </w:tc>
        <w:tc>
          <w:tcPr>
            <w:tcW w:w="2873" w:type="dxa"/>
            <w:vMerge w:val="restart"/>
            <w:noWrap w:val="0"/>
            <w:vAlign w:val="top"/>
          </w:tcPr>
          <w:p w14:paraId="3A1D6D1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销售的农产品未按照规定进行包装、标识</w:t>
            </w:r>
          </w:p>
        </w:tc>
        <w:tc>
          <w:tcPr>
            <w:tcW w:w="2811" w:type="dxa"/>
            <w:vMerge w:val="restart"/>
            <w:noWrap w:val="0"/>
            <w:vAlign w:val="top"/>
          </w:tcPr>
          <w:p w14:paraId="2AC58F1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属于初次违法，且在 行政机关责令改正的期限内改正，未造成危害后果的；</w:t>
            </w:r>
          </w:p>
        </w:tc>
        <w:tc>
          <w:tcPr>
            <w:tcW w:w="7674" w:type="dxa"/>
            <w:noWrap w:val="0"/>
            <w:vAlign w:val="top"/>
          </w:tcPr>
          <w:p w14:paraId="1BAB2B7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农产品质量安全法》第二十八条：“农产品生产企业、农民专业合作经济组织以及从事农产品收购的单位或者个人销售的农产品，按照规定应当包装或者附加标识的，须经包装或者附加标识后方可销售。包装物或者标识上应当按照规定标明产品的品名、产地、生产者、生产日期、保质期、产品质量等级等内容；使用添加剂的，还应当按照规定标明添加剂的名称。具体办法由国务院农业行政主管部门制定。”</w:t>
            </w:r>
          </w:p>
        </w:tc>
      </w:tr>
      <w:tr w14:paraId="06EC2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698" w:type="dxa"/>
            <w:vMerge w:val="continue"/>
            <w:noWrap w:val="0"/>
            <w:vAlign w:val="center"/>
          </w:tcPr>
          <w:p w14:paraId="17D4AA7C">
            <w:pPr>
              <w:widowControl/>
              <w:spacing w:line="320" w:lineRule="exact"/>
              <w:textAlignment w:val="center"/>
            </w:pPr>
          </w:p>
        </w:tc>
        <w:tc>
          <w:tcPr>
            <w:tcW w:w="2873" w:type="dxa"/>
            <w:vMerge w:val="continue"/>
            <w:noWrap w:val="0"/>
            <w:vAlign w:val="top"/>
          </w:tcPr>
          <w:p w14:paraId="2473D270">
            <w:pPr>
              <w:widowControl/>
              <w:spacing w:line="320" w:lineRule="exact"/>
              <w:textAlignment w:val="center"/>
            </w:pPr>
          </w:p>
        </w:tc>
        <w:tc>
          <w:tcPr>
            <w:tcW w:w="2811" w:type="dxa"/>
            <w:vMerge w:val="continue"/>
            <w:noWrap w:val="0"/>
            <w:vAlign w:val="top"/>
          </w:tcPr>
          <w:p w14:paraId="192E9AE1">
            <w:pPr>
              <w:widowControl/>
              <w:spacing w:line="320" w:lineRule="exact"/>
              <w:textAlignment w:val="center"/>
            </w:pPr>
          </w:p>
        </w:tc>
        <w:tc>
          <w:tcPr>
            <w:tcW w:w="7674" w:type="dxa"/>
            <w:noWrap w:val="0"/>
            <w:vAlign w:val="top"/>
          </w:tcPr>
          <w:p w14:paraId="598ECD0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《中华人民共和国农产品质量安全法》第四十八条：“违反本法第二十八条规定，销售的农产品未按照规定进行包装、标识的，责令限期改正；逾期不改正的，可以处二千元以下罚款。”</w:t>
            </w:r>
          </w:p>
        </w:tc>
      </w:tr>
      <w:tr w14:paraId="3F42B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98" w:type="dxa"/>
            <w:noWrap w:val="0"/>
            <w:vAlign w:val="center"/>
          </w:tcPr>
          <w:p w14:paraId="1FE8ADD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5</w:t>
            </w:r>
          </w:p>
        </w:tc>
        <w:tc>
          <w:tcPr>
            <w:tcW w:w="2873" w:type="dxa"/>
            <w:noWrap w:val="0"/>
            <w:vAlign w:val="top"/>
          </w:tcPr>
          <w:p w14:paraId="57AC04A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取得农药经营许可证的农药经营者不再符合规定条件继续经营农药</w:t>
            </w:r>
          </w:p>
        </w:tc>
        <w:tc>
          <w:tcPr>
            <w:tcW w:w="2811" w:type="dxa"/>
            <w:noWrap w:val="0"/>
            <w:vAlign w:val="top"/>
          </w:tcPr>
          <w:p w14:paraId="07CD1E3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属于初次 违法，且在行政机关责令改正的期限内改正，未造成危害后果的</w:t>
            </w:r>
            <w:r>
              <w:rPr>
                <w:rFonts w:hint="eastAsia" w:ascii="宋体" w:hAnsi="宋体" w:cs="宋体"/>
                <w:spacing w:val="-11"/>
                <w:kern w:val="0"/>
                <w:szCs w:val="21"/>
                <w:lang w:eastAsia="zh-CN" w:bidi="ar"/>
              </w:rPr>
              <w:t>；</w:t>
            </w:r>
          </w:p>
        </w:tc>
        <w:tc>
          <w:tcPr>
            <w:tcW w:w="7674" w:type="dxa"/>
            <w:noWrap w:val="0"/>
            <w:vAlign w:val="top"/>
          </w:tcPr>
          <w:p w14:paraId="20622F9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农药管理条例》第五十五条第三款：“取得农药经营许可证的农药经营者不再符合规定条件继续经营农药的，由县级以上地方人民政府农业主管部门责令限期整改；逾期拒不整改或者整改后仍不符合规定条件的，由发证机关吊销农药经营许可证。”</w:t>
            </w:r>
          </w:p>
        </w:tc>
      </w:tr>
      <w:tr w14:paraId="1999D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698" w:type="dxa"/>
            <w:noWrap w:val="0"/>
            <w:vAlign w:val="center"/>
          </w:tcPr>
          <w:p w14:paraId="27FD593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6</w:t>
            </w:r>
          </w:p>
        </w:tc>
        <w:tc>
          <w:tcPr>
            <w:tcW w:w="2873" w:type="dxa"/>
            <w:noWrap w:val="0"/>
            <w:vAlign w:val="top"/>
          </w:tcPr>
          <w:p w14:paraId="34ED1D1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农药经营 者不执行农药采购台账、销售台账制度，货值金额不足一千元</w:t>
            </w:r>
          </w:p>
        </w:tc>
        <w:tc>
          <w:tcPr>
            <w:tcW w:w="2811" w:type="dxa"/>
            <w:noWrap w:val="0"/>
            <w:vAlign w:val="top"/>
          </w:tcPr>
          <w:p w14:paraId="0E96852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属于初次违法，且立即自行改正或在行政机关责令改正的期限内 改正，未造成危害后果的；</w:t>
            </w:r>
          </w:p>
        </w:tc>
        <w:tc>
          <w:tcPr>
            <w:tcW w:w="7674" w:type="dxa"/>
            <w:noWrap w:val="0"/>
            <w:vAlign w:val="top"/>
          </w:tcPr>
          <w:p w14:paraId="58253C1D">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《农药管理条例》第五十八条第一款第（一）项：“</w:t>
            </w:r>
            <w:r>
              <w:rPr>
                <w:rFonts w:ascii="宋体" w:hAnsi="宋体" w:cs="宋体"/>
                <w:spacing w:val="-11"/>
                <w:kern w:val="0"/>
                <w:szCs w:val="21"/>
                <w:lang w:bidi="ar"/>
              </w:rPr>
              <w:t>农药经营者有下列行为之一的，由县级以上地方人民政府农业主管部门责令改正；拒不改正或者情节严重的，处2000元以上2万元以下罚款，并由发证机关吊销农药经营许可证： （一）不执行农药采购台账、销售台账制度；</w:t>
            </w:r>
            <w:r>
              <w:rPr>
                <w:rFonts w:hint="eastAsia" w:ascii="宋体" w:hAnsi="宋体" w:cs="宋体"/>
                <w:spacing w:val="-11"/>
                <w:kern w:val="0"/>
                <w:szCs w:val="21"/>
                <w:lang w:bidi="ar"/>
              </w:rPr>
              <w:t>......”</w:t>
            </w:r>
          </w:p>
        </w:tc>
      </w:tr>
      <w:tr w14:paraId="7ADB0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698" w:type="dxa"/>
            <w:noWrap w:val="0"/>
            <w:vAlign w:val="center"/>
          </w:tcPr>
          <w:p w14:paraId="262A8D61">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7</w:t>
            </w:r>
          </w:p>
        </w:tc>
        <w:tc>
          <w:tcPr>
            <w:tcW w:w="2873" w:type="dxa"/>
            <w:noWrap w:val="0"/>
            <w:vAlign w:val="top"/>
          </w:tcPr>
          <w:p w14:paraId="2789F0B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未按照规 定办理登记手续并取得相应的证书和牌照，擅自将拖拉机、联合 收割机投入使用，或者未按照规定办理变更登记手续</w:t>
            </w:r>
          </w:p>
        </w:tc>
        <w:tc>
          <w:tcPr>
            <w:tcW w:w="2811" w:type="dxa"/>
            <w:noWrap w:val="0"/>
            <w:vAlign w:val="top"/>
          </w:tcPr>
          <w:p w14:paraId="78D16D2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属于初次 违法，且在行政机关责令补办限期内及时办理相关手续，未造成 危害后果的；</w:t>
            </w:r>
          </w:p>
        </w:tc>
        <w:tc>
          <w:tcPr>
            <w:tcW w:w="7674" w:type="dxa"/>
            <w:noWrap w:val="0"/>
            <w:vAlign w:val="top"/>
          </w:tcPr>
          <w:p w14:paraId="1E39D5FD">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《农业机械安全监督管理条例》第五十条：“</w:t>
            </w:r>
            <w:r>
              <w:rPr>
                <w:rFonts w:ascii="宋体" w:hAnsi="宋体" w:cs="宋体"/>
                <w:spacing w:val="-11"/>
                <w:kern w:val="0"/>
                <w:szCs w:val="21"/>
                <w:lang w:bidi="ar"/>
              </w:rPr>
              <w:t>未按照规定办理登记手续并取得相应的证书和牌照，擅自将拖拉机、联合收割机投入使用，或者未按照规定办理变更登记手续的，由县级以上地方人民政府农业机械化主管部门责令限期补办相关手续；逾期不补办的，责令停止使用；拒不停止使用的，扣押拖拉机、联合收割机，并处200元以上2000元以下罚款。</w:t>
            </w:r>
            <w:r>
              <w:rPr>
                <w:rFonts w:hint="eastAsia" w:ascii="宋体" w:hAnsi="宋体" w:cs="宋体"/>
                <w:spacing w:val="-11"/>
                <w:kern w:val="0"/>
                <w:szCs w:val="21"/>
                <w:lang w:bidi="ar"/>
              </w:rPr>
              <w:t xml:space="preserve">  </w:t>
            </w:r>
            <w:r>
              <w:rPr>
                <w:rFonts w:ascii="宋体" w:hAnsi="宋体" w:cs="宋体"/>
                <w:spacing w:val="-11"/>
                <w:kern w:val="0"/>
                <w:szCs w:val="21"/>
                <w:lang w:bidi="ar"/>
              </w:rPr>
              <w:t>当事人补办相关手续的，应当及时退还扣押的拖拉机、联合收割机。</w:t>
            </w:r>
            <w:r>
              <w:rPr>
                <w:rFonts w:hint="eastAsia" w:ascii="宋体" w:hAnsi="宋体" w:cs="宋体"/>
                <w:spacing w:val="-11"/>
                <w:kern w:val="0"/>
                <w:szCs w:val="21"/>
                <w:lang w:bidi="ar"/>
              </w:rPr>
              <w:t>”</w:t>
            </w:r>
          </w:p>
        </w:tc>
      </w:tr>
      <w:tr w14:paraId="5AA3D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698" w:type="dxa"/>
            <w:noWrap w:val="0"/>
            <w:vAlign w:val="center"/>
          </w:tcPr>
          <w:p w14:paraId="432A90D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8</w:t>
            </w:r>
          </w:p>
        </w:tc>
        <w:tc>
          <w:tcPr>
            <w:tcW w:w="2873" w:type="dxa"/>
            <w:noWrap w:val="0"/>
            <w:vAlign w:val="top"/>
          </w:tcPr>
          <w:p w14:paraId="2C485D2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农产品生产企业、农民专业合作经济组织未按规定建立和实施农产品质量安全检测制度</w:t>
            </w:r>
          </w:p>
        </w:tc>
        <w:tc>
          <w:tcPr>
            <w:tcW w:w="2811" w:type="dxa"/>
            <w:noWrap w:val="0"/>
            <w:vAlign w:val="top"/>
          </w:tcPr>
          <w:p w14:paraId="60B3D14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属于初次违法，且在行政机关责令改正的期限内改 正，未造成危害后果的。</w:t>
            </w:r>
          </w:p>
        </w:tc>
        <w:tc>
          <w:tcPr>
            <w:tcW w:w="7674" w:type="dxa"/>
            <w:noWrap w:val="0"/>
            <w:vAlign w:val="top"/>
          </w:tcPr>
          <w:p w14:paraId="639AD06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动物防疫条件审查办法》第三十七条：“违反本办法第二十四条和第二十五条规定，经营动物和动物产品的集贸市场不符合动物防疫条件的，由动物卫生监督机构责令改正；拒不改正的，由动物卫生监督机构处五千元以上两万元以下的罚款，并通报同级工商行政管理部门依法处理。”</w:t>
            </w:r>
          </w:p>
        </w:tc>
      </w:tr>
      <w:tr w14:paraId="2F2E7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698" w:type="dxa"/>
            <w:noWrap w:val="0"/>
            <w:vAlign w:val="center"/>
          </w:tcPr>
          <w:p w14:paraId="6607BD72">
            <w:pPr>
              <w:widowControl/>
              <w:spacing w:line="320" w:lineRule="exact"/>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二</w:t>
            </w:r>
          </w:p>
        </w:tc>
        <w:tc>
          <w:tcPr>
            <w:tcW w:w="13358" w:type="dxa"/>
            <w:gridSpan w:val="3"/>
            <w:noWrap w:val="0"/>
            <w:vAlign w:val="center"/>
          </w:tcPr>
          <w:p w14:paraId="326EDCA6">
            <w:pPr>
              <w:widowControl/>
              <w:spacing w:line="320" w:lineRule="exact"/>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其他符合《中华人民共和国行政处罚法》等法律、法规、规章规定的不予行政处罚情形的轻微违法违规行为，不予行政处罚。</w:t>
            </w:r>
          </w:p>
        </w:tc>
      </w:tr>
    </w:tbl>
    <w:tbl>
      <w:tblPr>
        <w:tblStyle w:val="9"/>
        <w:tblW w:w="14221" w:type="dxa"/>
        <w:tblInd w:w="93" w:type="dxa"/>
        <w:tblLayout w:type="fixed"/>
        <w:tblCellMar>
          <w:top w:w="0" w:type="dxa"/>
          <w:left w:w="108" w:type="dxa"/>
          <w:bottom w:w="0" w:type="dxa"/>
          <w:right w:w="108" w:type="dxa"/>
        </w:tblCellMar>
      </w:tblPr>
      <w:tblGrid>
        <w:gridCol w:w="710"/>
        <w:gridCol w:w="2295"/>
        <w:gridCol w:w="2612"/>
        <w:gridCol w:w="8604"/>
      </w:tblGrid>
      <w:tr w14:paraId="41247651">
        <w:tblPrEx>
          <w:tblCellMar>
            <w:top w:w="0" w:type="dxa"/>
            <w:left w:w="108" w:type="dxa"/>
            <w:bottom w:w="0" w:type="dxa"/>
            <w:right w:w="108" w:type="dxa"/>
          </w:tblCellMar>
        </w:tblPrEx>
        <w:trPr>
          <w:trHeight w:val="780" w:hRule="atLeast"/>
        </w:trPr>
        <w:tc>
          <w:tcPr>
            <w:tcW w:w="14128" w:type="dxa"/>
            <w:gridSpan w:val="4"/>
            <w:tcBorders>
              <w:top w:val="nil"/>
              <w:left w:val="nil"/>
              <w:bottom w:val="nil"/>
              <w:right w:val="nil"/>
            </w:tcBorders>
            <w:noWrap/>
            <w:vAlign w:val="center"/>
          </w:tcPr>
          <w:p w14:paraId="0DE2B2C3">
            <w:pPr>
              <w:widowControl/>
              <w:spacing w:line="320" w:lineRule="exact"/>
              <w:textAlignment w:val="center"/>
              <w:rPr>
                <w:rFonts w:hint="eastAsia" w:ascii="黑体" w:hAnsi="黑体" w:eastAsia="黑体" w:cs="黑体"/>
                <w:spacing w:val="-11"/>
                <w:kern w:val="0"/>
                <w:sz w:val="32"/>
                <w:szCs w:val="32"/>
                <w:lang w:bidi="ar"/>
              </w:rPr>
            </w:pPr>
          </w:p>
          <w:p w14:paraId="7D0264F0">
            <w:pPr>
              <w:widowControl/>
              <w:spacing w:line="320" w:lineRule="exact"/>
              <w:textAlignment w:val="center"/>
              <w:rPr>
                <w:rFonts w:hint="eastAsia" w:ascii="黑体" w:hAnsi="黑体" w:eastAsia="黑体" w:cs="黑体"/>
                <w:spacing w:val="-11"/>
                <w:kern w:val="0"/>
                <w:sz w:val="32"/>
                <w:szCs w:val="32"/>
                <w:lang w:bidi="ar"/>
              </w:rPr>
            </w:pPr>
          </w:p>
          <w:p w14:paraId="2F8F6320">
            <w:pPr>
              <w:widowControl/>
              <w:spacing w:line="320" w:lineRule="exact"/>
              <w:textAlignment w:val="center"/>
              <w:rPr>
                <w:rFonts w:hint="eastAsia" w:ascii="宋体" w:hAnsi="宋体" w:cs="宋体"/>
                <w:spacing w:val="-11"/>
                <w:kern w:val="0"/>
                <w:szCs w:val="21"/>
                <w:lang w:bidi="ar"/>
              </w:rPr>
            </w:pPr>
            <w:r>
              <w:rPr>
                <w:rFonts w:hint="eastAsia" w:ascii="黑体" w:hAnsi="黑体" w:eastAsia="黑体" w:cs="黑体"/>
                <w:spacing w:val="-11"/>
                <w:kern w:val="0"/>
                <w:sz w:val="32"/>
                <w:szCs w:val="32"/>
                <w:lang w:bidi="ar"/>
              </w:rPr>
              <w:t>五、新余市文广新旅领域轻微违法行为不予处罚清单</w:t>
            </w:r>
          </w:p>
        </w:tc>
      </w:tr>
      <w:tr w14:paraId="66CEFFFF">
        <w:tblPrEx>
          <w:tblCellMar>
            <w:top w:w="0" w:type="dxa"/>
            <w:left w:w="108" w:type="dxa"/>
            <w:bottom w:w="0" w:type="dxa"/>
            <w:right w:w="108" w:type="dxa"/>
          </w:tblCellMar>
        </w:tblPrEx>
        <w:trPr>
          <w:trHeight w:val="600" w:hRule="atLeast"/>
        </w:trPr>
        <w:tc>
          <w:tcPr>
            <w:tcW w:w="705" w:type="dxa"/>
            <w:tcBorders>
              <w:top w:val="single" w:color="000000" w:sz="4" w:space="0"/>
              <w:left w:val="single" w:color="000000" w:sz="4" w:space="0"/>
              <w:bottom w:val="single" w:color="000000" w:sz="4" w:space="0"/>
              <w:right w:val="single" w:color="000000" w:sz="4" w:space="0"/>
            </w:tcBorders>
            <w:noWrap w:val="0"/>
            <w:vAlign w:val="center"/>
          </w:tcPr>
          <w:p w14:paraId="1220E608">
            <w:pPr>
              <w:widowControl/>
              <w:spacing w:line="320" w:lineRule="exact"/>
              <w:jc w:val="center"/>
              <w:textAlignment w:val="center"/>
              <w:rPr>
                <w:rFonts w:hint="eastAsia" w:ascii="宋体" w:hAnsi="宋体" w:cs="宋体"/>
                <w:b/>
                <w:spacing w:val="-11"/>
                <w:kern w:val="0"/>
                <w:szCs w:val="21"/>
                <w:lang w:bidi="ar"/>
              </w:rPr>
            </w:pPr>
            <w:r>
              <w:rPr>
                <w:rFonts w:hint="eastAsia" w:ascii="宋体" w:hAnsi="宋体" w:cs="宋体"/>
                <w:b/>
                <w:spacing w:val="-11"/>
                <w:kern w:val="0"/>
                <w:szCs w:val="21"/>
                <w:lang w:bidi="ar"/>
              </w:rPr>
              <w:t>序号</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14:paraId="1E847CB2">
            <w:pPr>
              <w:widowControl/>
              <w:spacing w:line="320" w:lineRule="exact"/>
              <w:jc w:val="center"/>
              <w:textAlignment w:val="center"/>
              <w:rPr>
                <w:rFonts w:hint="eastAsia" w:ascii="宋体" w:hAnsi="宋体" w:cs="宋体"/>
                <w:b/>
                <w:spacing w:val="-11"/>
                <w:kern w:val="0"/>
                <w:szCs w:val="21"/>
                <w:lang w:bidi="ar"/>
              </w:rPr>
            </w:pPr>
            <w:r>
              <w:rPr>
                <w:rFonts w:hint="eastAsia" w:ascii="宋体" w:hAnsi="宋体" w:cs="宋体"/>
                <w:b/>
                <w:spacing w:val="-11"/>
                <w:kern w:val="0"/>
                <w:szCs w:val="21"/>
                <w:lang w:bidi="ar"/>
              </w:rPr>
              <w:t>违法行为</w:t>
            </w:r>
          </w:p>
        </w:tc>
        <w:tc>
          <w:tcPr>
            <w:tcW w:w="2595" w:type="dxa"/>
            <w:tcBorders>
              <w:top w:val="single" w:color="000000" w:sz="4" w:space="0"/>
              <w:left w:val="single" w:color="000000" w:sz="4" w:space="0"/>
              <w:bottom w:val="single" w:color="000000" w:sz="4" w:space="0"/>
              <w:right w:val="single" w:color="000000" w:sz="4" w:space="0"/>
            </w:tcBorders>
            <w:noWrap w:val="0"/>
            <w:vAlign w:val="center"/>
          </w:tcPr>
          <w:p w14:paraId="214273B1">
            <w:pPr>
              <w:widowControl/>
              <w:spacing w:line="320" w:lineRule="exact"/>
              <w:jc w:val="center"/>
              <w:textAlignment w:val="center"/>
              <w:rPr>
                <w:rFonts w:hint="eastAsia" w:ascii="宋体" w:hAnsi="宋体" w:cs="宋体"/>
                <w:b/>
                <w:spacing w:val="-11"/>
                <w:kern w:val="0"/>
                <w:szCs w:val="21"/>
                <w:lang w:bidi="ar"/>
              </w:rPr>
            </w:pPr>
            <w:r>
              <w:rPr>
                <w:rFonts w:hint="eastAsia" w:ascii="宋体" w:hAnsi="宋体" w:cs="宋体"/>
                <w:b/>
                <w:spacing w:val="-11"/>
                <w:kern w:val="0"/>
                <w:szCs w:val="21"/>
                <w:lang w:bidi="ar"/>
              </w:rPr>
              <w:t>不予处罚条件</w:t>
            </w:r>
          </w:p>
        </w:tc>
        <w:tc>
          <w:tcPr>
            <w:tcW w:w="8548" w:type="dxa"/>
            <w:tcBorders>
              <w:top w:val="single" w:color="000000" w:sz="4" w:space="0"/>
              <w:left w:val="single" w:color="000000" w:sz="4" w:space="0"/>
              <w:bottom w:val="single" w:color="000000" w:sz="4" w:space="0"/>
              <w:right w:val="single" w:color="000000" w:sz="4" w:space="0"/>
            </w:tcBorders>
            <w:noWrap w:val="0"/>
            <w:vAlign w:val="center"/>
          </w:tcPr>
          <w:p w14:paraId="7A5448AB">
            <w:pPr>
              <w:widowControl/>
              <w:spacing w:line="320" w:lineRule="exact"/>
              <w:jc w:val="center"/>
              <w:textAlignment w:val="center"/>
              <w:rPr>
                <w:rFonts w:hint="eastAsia" w:ascii="宋体" w:hAnsi="宋体" w:cs="宋体"/>
                <w:b/>
                <w:spacing w:val="-11"/>
                <w:kern w:val="0"/>
                <w:szCs w:val="21"/>
                <w:lang w:bidi="ar"/>
              </w:rPr>
            </w:pPr>
            <w:r>
              <w:rPr>
                <w:rFonts w:hint="eastAsia" w:ascii="宋体" w:hAnsi="宋体" w:cs="宋体"/>
                <w:b/>
                <w:spacing w:val="-11"/>
                <w:kern w:val="0"/>
                <w:szCs w:val="21"/>
                <w:lang w:bidi="ar"/>
              </w:rPr>
              <w:t>法律依据</w:t>
            </w:r>
          </w:p>
        </w:tc>
      </w:tr>
      <w:tr w14:paraId="4665B5C9">
        <w:tblPrEx>
          <w:tblCellMar>
            <w:top w:w="0" w:type="dxa"/>
            <w:left w:w="108" w:type="dxa"/>
            <w:bottom w:w="0" w:type="dxa"/>
            <w:right w:w="108" w:type="dxa"/>
          </w:tblCellMar>
        </w:tblPrEx>
        <w:trPr>
          <w:trHeight w:val="1020" w:hRule="atLeast"/>
        </w:trPr>
        <w:tc>
          <w:tcPr>
            <w:tcW w:w="705" w:type="dxa"/>
            <w:vMerge w:val="restart"/>
            <w:tcBorders>
              <w:top w:val="single" w:color="000000" w:sz="4" w:space="0"/>
              <w:left w:val="single" w:color="000000" w:sz="4" w:space="0"/>
              <w:bottom w:val="single" w:color="000000" w:sz="4" w:space="0"/>
              <w:right w:val="single" w:color="000000" w:sz="4" w:space="0"/>
            </w:tcBorders>
            <w:noWrap w:val="0"/>
            <w:vAlign w:val="center"/>
          </w:tcPr>
          <w:p w14:paraId="706C857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1</w:t>
            </w:r>
          </w:p>
        </w:tc>
        <w:tc>
          <w:tcPr>
            <w:tcW w:w="2280" w:type="dxa"/>
            <w:vMerge w:val="restart"/>
            <w:tcBorders>
              <w:top w:val="single" w:color="000000" w:sz="4" w:space="0"/>
              <w:left w:val="single" w:color="000000" w:sz="4" w:space="0"/>
              <w:bottom w:val="single" w:color="000000" w:sz="4" w:space="0"/>
              <w:right w:val="single" w:color="000000" w:sz="4" w:space="0"/>
            </w:tcBorders>
            <w:noWrap w:val="0"/>
            <w:vAlign w:val="center"/>
          </w:tcPr>
          <w:p w14:paraId="778555E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娱乐场所从业人员在营业期间未统一着装</w:t>
            </w:r>
            <w:r>
              <w:rPr>
                <w:rFonts w:hint="eastAsia" w:ascii="宋体" w:hAnsi="宋体" w:cs="宋体"/>
                <w:spacing w:val="-11"/>
                <w:kern w:val="0"/>
                <w:szCs w:val="21"/>
                <w:lang w:eastAsia="zh-CN" w:bidi="ar"/>
              </w:rPr>
              <w:t>并佩戴工作标志</w:t>
            </w:r>
            <w:r>
              <w:rPr>
                <w:rFonts w:hint="eastAsia" w:ascii="宋体" w:hAnsi="宋体" w:cs="宋体"/>
                <w:spacing w:val="-11"/>
                <w:kern w:val="0"/>
                <w:szCs w:val="21"/>
                <w:lang w:bidi="ar"/>
              </w:rPr>
              <w:t>的。</w:t>
            </w:r>
          </w:p>
        </w:tc>
        <w:tc>
          <w:tcPr>
            <w:tcW w:w="2595" w:type="dxa"/>
            <w:vMerge w:val="restart"/>
            <w:tcBorders>
              <w:top w:val="single" w:color="000000" w:sz="4" w:space="0"/>
              <w:left w:val="single" w:color="000000" w:sz="4" w:space="0"/>
              <w:bottom w:val="single" w:color="000000" w:sz="4" w:space="0"/>
              <w:right w:val="single" w:color="000000" w:sz="4" w:space="0"/>
            </w:tcBorders>
            <w:noWrap w:val="0"/>
            <w:vAlign w:val="center"/>
          </w:tcPr>
          <w:p w14:paraId="5470710D">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首次违法，且能在行政机关责令改正的期限内改正的。</w:t>
            </w:r>
          </w:p>
        </w:tc>
        <w:tc>
          <w:tcPr>
            <w:tcW w:w="8548" w:type="dxa"/>
            <w:tcBorders>
              <w:top w:val="single" w:color="000000" w:sz="4" w:space="0"/>
              <w:left w:val="single" w:color="000000" w:sz="4" w:space="0"/>
              <w:bottom w:val="single" w:color="000000" w:sz="4" w:space="0"/>
              <w:right w:val="single" w:color="000000" w:sz="4" w:space="0"/>
            </w:tcBorders>
            <w:noWrap w:val="0"/>
            <w:vAlign w:val="center"/>
          </w:tcPr>
          <w:p w14:paraId="5EC8CAC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《娱乐场所管理条例》第二十七条： “营业期间，娱乐场所的从业人员应当统一着工作服，</w:t>
            </w:r>
            <w:r>
              <w:rPr>
                <w:rFonts w:hint="eastAsia" w:ascii="宋体" w:hAnsi="宋体" w:cs="宋体"/>
                <w:spacing w:val="-11"/>
                <w:kern w:val="0"/>
                <w:szCs w:val="21"/>
                <w:lang w:eastAsia="zh-CN" w:bidi="ar"/>
              </w:rPr>
              <w:t>佩戴</w:t>
            </w:r>
            <w:r>
              <w:rPr>
                <w:rFonts w:hint="eastAsia" w:ascii="宋体" w:hAnsi="宋体" w:cs="宋体"/>
                <w:spacing w:val="-11"/>
                <w:kern w:val="0"/>
                <w:szCs w:val="21"/>
                <w:lang w:bidi="ar"/>
              </w:rPr>
              <w:t>工作标志并携带居民身份证或者外国人就业许可证。”</w:t>
            </w:r>
          </w:p>
        </w:tc>
      </w:tr>
      <w:tr w14:paraId="5971E657">
        <w:tblPrEx>
          <w:tblCellMar>
            <w:top w:w="0" w:type="dxa"/>
            <w:left w:w="108" w:type="dxa"/>
            <w:bottom w:w="0" w:type="dxa"/>
            <w:right w:w="108" w:type="dxa"/>
          </w:tblCellMar>
        </w:tblPrEx>
        <w:trPr>
          <w:trHeight w:val="960" w:hRule="atLeast"/>
        </w:trPr>
        <w:tc>
          <w:tcPr>
            <w:tcW w:w="70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47F02A">
            <w:pPr>
              <w:widowControl/>
              <w:spacing w:line="320" w:lineRule="exact"/>
              <w:textAlignment w:val="center"/>
              <w:rPr>
                <w:rFonts w:hint="eastAsia" w:ascii="宋体" w:hAnsi="宋体" w:cs="宋体"/>
                <w:spacing w:val="-11"/>
                <w:kern w:val="0"/>
                <w:szCs w:val="21"/>
                <w:lang w:bidi="ar"/>
              </w:rPr>
            </w:pPr>
          </w:p>
        </w:tc>
        <w:tc>
          <w:tcPr>
            <w:tcW w:w="22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8D8800">
            <w:pPr>
              <w:widowControl/>
              <w:spacing w:line="320" w:lineRule="exact"/>
              <w:textAlignment w:val="center"/>
              <w:rPr>
                <w:rFonts w:hint="eastAsia" w:ascii="宋体" w:hAnsi="宋体" w:cs="宋体"/>
                <w:spacing w:val="-11"/>
                <w:kern w:val="0"/>
                <w:szCs w:val="21"/>
                <w:lang w:bidi="ar"/>
              </w:rPr>
            </w:pPr>
          </w:p>
        </w:tc>
        <w:tc>
          <w:tcPr>
            <w:tcW w:w="25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2D0059">
            <w:pPr>
              <w:widowControl/>
              <w:spacing w:line="320" w:lineRule="exact"/>
              <w:textAlignment w:val="center"/>
              <w:rPr>
                <w:rFonts w:hint="eastAsia" w:ascii="宋体" w:hAnsi="宋体" w:cs="宋体"/>
                <w:spacing w:val="-11"/>
                <w:kern w:val="0"/>
                <w:szCs w:val="21"/>
                <w:lang w:bidi="ar"/>
              </w:rPr>
            </w:pPr>
          </w:p>
        </w:tc>
        <w:tc>
          <w:tcPr>
            <w:tcW w:w="8548" w:type="dxa"/>
            <w:tcBorders>
              <w:top w:val="single" w:color="000000" w:sz="4" w:space="0"/>
              <w:left w:val="single" w:color="000000" w:sz="4" w:space="0"/>
              <w:bottom w:val="single" w:color="000000" w:sz="4" w:space="0"/>
              <w:right w:val="single" w:color="000000" w:sz="4" w:space="0"/>
            </w:tcBorders>
            <w:noWrap w:val="0"/>
            <w:vAlign w:val="center"/>
          </w:tcPr>
          <w:p w14:paraId="5094BDC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《娱乐场所管理条例》第四十九条：“ 娱乐场所违反本条例规定，有下列情形之一的，由县级人民政府文化主管部门责令改正，给予警告；情节严重的，责令停业整顿1个月至3个月：（三）从业人员在营业期间未统一着装</w:t>
            </w:r>
            <w:r>
              <w:rPr>
                <w:rFonts w:hint="eastAsia" w:ascii="宋体" w:hAnsi="宋体" w:cs="宋体"/>
                <w:spacing w:val="-11"/>
                <w:kern w:val="0"/>
                <w:szCs w:val="21"/>
                <w:lang w:eastAsia="zh-CN" w:bidi="ar"/>
              </w:rPr>
              <w:t>并佩戴工作标志</w:t>
            </w:r>
            <w:r>
              <w:rPr>
                <w:rFonts w:hint="eastAsia" w:ascii="宋体" w:hAnsi="宋体" w:cs="宋体"/>
                <w:spacing w:val="-11"/>
                <w:kern w:val="0"/>
                <w:szCs w:val="21"/>
                <w:lang w:bidi="ar"/>
              </w:rPr>
              <w:t>的。”</w:t>
            </w:r>
          </w:p>
        </w:tc>
      </w:tr>
      <w:tr w14:paraId="22E660F1">
        <w:tblPrEx>
          <w:tblCellMar>
            <w:top w:w="0" w:type="dxa"/>
            <w:left w:w="108" w:type="dxa"/>
            <w:bottom w:w="0" w:type="dxa"/>
            <w:right w:w="108" w:type="dxa"/>
          </w:tblCellMar>
        </w:tblPrEx>
        <w:trPr>
          <w:trHeight w:val="980" w:hRule="atLeast"/>
        </w:trPr>
        <w:tc>
          <w:tcPr>
            <w:tcW w:w="705" w:type="dxa"/>
            <w:vMerge w:val="restart"/>
            <w:tcBorders>
              <w:top w:val="single" w:color="000000" w:sz="4" w:space="0"/>
              <w:left w:val="single" w:color="000000" w:sz="4" w:space="0"/>
              <w:bottom w:val="single" w:color="000000" w:sz="4" w:space="0"/>
              <w:right w:val="single" w:color="000000" w:sz="4" w:space="0"/>
            </w:tcBorders>
            <w:noWrap w:val="0"/>
            <w:vAlign w:val="center"/>
          </w:tcPr>
          <w:p w14:paraId="00923A7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2</w:t>
            </w:r>
          </w:p>
        </w:tc>
        <w:tc>
          <w:tcPr>
            <w:tcW w:w="2280" w:type="dxa"/>
            <w:vMerge w:val="restart"/>
            <w:tcBorders>
              <w:top w:val="single" w:color="000000" w:sz="4" w:space="0"/>
              <w:left w:val="single" w:color="000000" w:sz="4" w:space="0"/>
              <w:bottom w:val="single" w:color="000000" w:sz="4" w:space="0"/>
              <w:right w:val="single" w:color="000000" w:sz="4" w:space="0"/>
            </w:tcBorders>
            <w:noWrap w:val="0"/>
            <w:vAlign w:val="center"/>
          </w:tcPr>
          <w:p w14:paraId="389AF21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 xml:space="preserve">   娱乐场所未按规定悬挂警示标志、未成年人禁入或者限入标志的。</w:t>
            </w:r>
          </w:p>
        </w:tc>
        <w:tc>
          <w:tcPr>
            <w:tcW w:w="2595" w:type="dxa"/>
            <w:vMerge w:val="restart"/>
            <w:tcBorders>
              <w:top w:val="single" w:color="000000" w:sz="4" w:space="0"/>
              <w:left w:val="single" w:color="000000" w:sz="4" w:space="0"/>
              <w:bottom w:val="single" w:color="000000" w:sz="4" w:space="0"/>
              <w:right w:val="single" w:color="000000" w:sz="4" w:space="0"/>
            </w:tcBorders>
            <w:noWrap w:val="0"/>
            <w:vAlign w:val="center"/>
          </w:tcPr>
          <w:p w14:paraId="1210C51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首次违法，且能在行政机关责令改正的期限内改正，按规定悬挂的。</w:t>
            </w:r>
          </w:p>
        </w:tc>
        <w:tc>
          <w:tcPr>
            <w:tcW w:w="8548" w:type="dxa"/>
            <w:tcBorders>
              <w:top w:val="single" w:color="000000" w:sz="4" w:space="0"/>
              <w:left w:val="single" w:color="000000" w:sz="4" w:space="0"/>
              <w:bottom w:val="single" w:color="000000" w:sz="4" w:space="0"/>
              <w:right w:val="single" w:color="000000" w:sz="4" w:space="0"/>
            </w:tcBorders>
            <w:noWrap w:val="0"/>
            <w:vAlign w:val="center"/>
          </w:tcPr>
          <w:p w14:paraId="7394E64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 xml:space="preserve">《娱乐场所管理条例》第三十条：“娱乐场所应当在营业场所的大厅、包厢、包间内的显著位置悬挂含有禁毒、禁赌、禁止卖淫嫖娼等内容的警示标志、未成年人禁入或者限入标志。标志应当注明公安部门、文化主管部门的举报电话。” </w:t>
            </w:r>
          </w:p>
        </w:tc>
      </w:tr>
      <w:tr w14:paraId="54FB9BD7">
        <w:tblPrEx>
          <w:tblCellMar>
            <w:top w:w="0" w:type="dxa"/>
            <w:left w:w="108" w:type="dxa"/>
            <w:bottom w:w="0" w:type="dxa"/>
            <w:right w:w="108" w:type="dxa"/>
          </w:tblCellMar>
        </w:tblPrEx>
        <w:trPr>
          <w:trHeight w:val="1020" w:hRule="atLeast"/>
        </w:trPr>
        <w:tc>
          <w:tcPr>
            <w:tcW w:w="70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DBB3F0">
            <w:pPr>
              <w:widowControl/>
              <w:spacing w:line="320" w:lineRule="exact"/>
              <w:textAlignment w:val="center"/>
              <w:rPr>
                <w:rFonts w:hint="eastAsia" w:ascii="宋体" w:hAnsi="宋体" w:cs="宋体"/>
                <w:spacing w:val="-11"/>
                <w:kern w:val="0"/>
                <w:szCs w:val="21"/>
                <w:lang w:bidi="ar"/>
              </w:rPr>
            </w:pPr>
          </w:p>
        </w:tc>
        <w:tc>
          <w:tcPr>
            <w:tcW w:w="22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95D7C8">
            <w:pPr>
              <w:widowControl/>
              <w:spacing w:line="320" w:lineRule="exact"/>
              <w:textAlignment w:val="center"/>
              <w:rPr>
                <w:rFonts w:hint="eastAsia" w:ascii="宋体" w:hAnsi="宋体" w:cs="宋体"/>
                <w:spacing w:val="-11"/>
                <w:kern w:val="0"/>
                <w:szCs w:val="21"/>
                <w:lang w:bidi="ar"/>
              </w:rPr>
            </w:pPr>
          </w:p>
        </w:tc>
        <w:tc>
          <w:tcPr>
            <w:tcW w:w="25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D99D3B">
            <w:pPr>
              <w:widowControl/>
              <w:spacing w:line="320" w:lineRule="exact"/>
              <w:textAlignment w:val="center"/>
              <w:rPr>
                <w:rFonts w:hint="eastAsia" w:ascii="宋体" w:hAnsi="宋体" w:cs="宋体"/>
                <w:spacing w:val="-11"/>
                <w:kern w:val="0"/>
                <w:szCs w:val="21"/>
                <w:lang w:bidi="ar"/>
              </w:rPr>
            </w:pPr>
          </w:p>
        </w:tc>
        <w:tc>
          <w:tcPr>
            <w:tcW w:w="8548" w:type="dxa"/>
            <w:tcBorders>
              <w:top w:val="single" w:color="000000" w:sz="4" w:space="0"/>
              <w:left w:val="single" w:color="000000" w:sz="4" w:space="0"/>
              <w:bottom w:val="single" w:color="000000" w:sz="4" w:space="0"/>
              <w:right w:val="single" w:color="000000" w:sz="4" w:space="0"/>
            </w:tcBorders>
            <w:noWrap w:val="0"/>
            <w:vAlign w:val="center"/>
          </w:tcPr>
          <w:p w14:paraId="3EF4D10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 xml:space="preserve">《娱乐场所管理条例》第五十一条：“娱乐场所未按照本条例规定悬挂警示标志、未成年人禁入或者限入标志的，由县级人民政府文化主管部门、县级公安部门依据法定职权责令改正，给予警告。” </w:t>
            </w:r>
          </w:p>
        </w:tc>
      </w:tr>
      <w:tr w14:paraId="2AEB4DBC">
        <w:tblPrEx>
          <w:tblCellMar>
            <w:top w:w="0" w:type="dxa"/>
            <w:left w:w="108" w:type="dxa"/>
            <w:bottom w:w="0" w:type="dxa"/>
            <w:right w:w="108" w:type="dxa"/>
          </w:tblCellMar>
        </w:tblPrEx>
        <w:trPr>
          <w:trHeight w:val="840" w:hRule="atLeast"/>
        </w:trPr>
        <w:tc>
          <w:tcPr>
            <w:tcW w:w="705" w:type="dxa"/>
            <w:vMerge w:val="restart"/>
            <w:tcBorders>
              <w:top w:val="single" w:color="000000" w:sz="4" w:space="0"/>
              <w:left w:val="single" w:color="000000" w:sz="4" w:space="0"/>
              <w:bottom w:val="single" w:color="000000" w:sz="4" w:space="0"/>
              <w:right w:val="single" w:color="000000" w:sz="4" w:space="0"/>
            </w:tcBorders>
            <w:noWrap w:val="0"/>
            <w:vAlign w:val="center"/>
          </w:tcPr>
          <w:p w14:paraId="3DE4C6C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3</w:t>
            </w:r>
          </w:p>
        </w:tc>
        <w:tc>
          <w:tcPr>
            <w:tcW w:w="2280" w:type="dxa"/>
            <w:vMerge w:val="restart"/>
            <w:tcBorders>
              <w:top w:val="single" w:color="000000" w:sz="4" w:space="0"/>
              <w:left w:val="single" w:color="000000" w:sz="4" w:space="0"/>
              <w:bottom w:val="single" w:color="000000" w:sz="4" w:space="0"/>
              <w:right w:val="single" w:color="000000" w:sz="4" w:space="0"/>
            </w:tcBorders>
            <w:noWrap w:val="0"/>
            <w:vAlign w:val="center"/>
          </w:tcPr>
          <w:p w14:paraId="55F8750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未悬挂《网络文化经营许可证》或者未成年人禁入标志的。</w:t>
            </w:r>
          </w:p>
        </w:tc>
        <w:tc>
          <w:tcPr>
            <w:tcW w:w="2595" w:type="dxa"/>
            <w:vMerge w:val="restart"/>
            <w:tcBorders>
              <w:top w:val="single" w:color="000000" w:sz="4" w:space="0"/>
              <w:left w:val="single" w:color="000000" w:sz="4" w:space="0"/>
              <w:bottom w:val="single" w:color="000000" w:sz="4" w:space="0"/>
              <w:right w:val="single" w:color="000000" w:sz="4" w:space="0"/>
            </w:tcBorders>
            <w:noWrap w:val="0"/>
            <w:vAlign w:val="center"/>
          </w:tcPr>
          <w:p w14:paraId="164E508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首次违法，且能当场改正，按规定悬挂的。</w:t>
            </w:r>
          </w:p>
        </w:tc>
        <w:tc>
          <w:tcPr>
            <w:tcW w:w="8548" w:type="dxa"/>
            <w:tcBorders>
              <w:top w:val="single" w:color="000000" w:sz="4" w:space="0"/>
              <w:left w:val="single" w:color="000000" w:sz="4" w:space="0"/>
              <w:bottom w:val="single" w:color="000000" w:sz="4" w:space="0"/>
              <w:right w:val="single" w:color="000000" w:sz="4" w:space="0"/>
            </w:tcBorders>
            <w:noWrap w:val="0"/>
            <w:vAlign w:val="center"/>
          </w:tcPr>
          <w:p w14:paraId="7097557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《互联网上网服务营业场所管理条例》第二十条：“互联网上网服务营业场所经营单位应当在营业场所的显著位置悬挂《网络文化经营许可证》和营业执照。”　</w:t>
            </w:r>
          </w:p>
        </w:tc>
      </w:tr>
      <w:tr w14:paraId="1FC6271A">
        <w:tblPrEx>
          <w:tblCellMar>
            <w:top w:w="0" w:type="dxa"/>
            <w:left w:w="108" w:type="dxa"/>
            <w:bottom w:w="0" w:type="dxa"/>
            <w:right w:w="108" w:type="dxa"/>
          </w:tblCellMar>
        </w:tblPrEx>
        <w:trPr>
          <w:trHeight w:val="1280" w:hRule="atLeast"/>
        </w:trPr>
        <w:tc>
          <w:tcPr>
            <w:tcW w:w="70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E98E54">
            <w:pPr>
              <w:widowControl/>
              <w:spacing w:line="320" w:lineRule="exact"/>
              <w:textAlignment w:val="center"/>
              <w:rPr>
                <w:rFonts w:hint="eastAsia" w:ascii="宋体" w:hAnsi="宋体" w:cs="宋体"/>
                <w:spacing w:val="-11"/>
                <w:kern w:val="0"/>
                <w:szCs w:val="21"/>
                <w:lang w:bidi="ar"/>
              </w:rPr>
            </w:pPr>
          </w:p>
        </w:tc>
        <w:tc>
          <w:tcPr>
            <w:tcW w:w="22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40FD76">
            <w:pPr>
              <w:widowControl/>
              <w:spacing w:line="320" w:lineRule="exact"/>
              <w:textAlignment w:val="center"/>
              <w:rPr>
                <w:rFonts w:hint="eastAsia" w:ascii="宋体" w:hAnsi="宋体" w:cs="宋体"/>
                <w:spacing w:val="-11"/>
                <w:kern w:val="0"/>
                <w:szCs w:val="21"/>
                <w:lang w:bidi="ar"/>
              </w:rPr>
            </w:pPr>
          </w:p>
        </w:tc>
        <w:tc>
          <w:tcPr>
            <w:tcW w:w="25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1F0914">
            <w:pPr>
              <w:widowControl/>
              <w:spacing w:line="320" w:lineRule="exact"/>
              <w:textAlignment w:val="center"/>
              <w:rPr>
                <w:rFonts w:hint="eastAsia" w:ascii="宋体" w:hAnsi="宋体" w:cs="宋体"/>
                <w:spacing w:val="-11"/>
                <w:kern w:val="0"/>
                <w:szCs w:val="21"/>
                <w:lang w:bidi="ar"/>
              </w:rPr>
            </w:pPr>
          </w:p>
        </w:tc>
        <w:tc>
          <w:tcPr>
            <w:tcW w:w="8548" w:type="dxa"/>
            <w:tcBorders>
              <w:top w:val="single" w:color="000000" w:sz="4" w:space="0"/>
              <w:left w:val="single" w:color="000000" w:sz="4" w:space="0"/>
              <w:bottom w:val="single" w:color="000000" w:sz="4" w:space="0"/>
              <w:right w:val="single" w:color="000000" w:sz="4" w:space="0"/>
            </w:tcBorders>
            <w:noWrap w:val="0"/>
            <w:vAlign w:val="center"/>
          </w:tcPr>
          <w:p w14:paraId="09AE5A0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互联网上网服务营业场所管理条例》第三十一条：“互联网上网服务营业场所经营单位违反本条例的规定，有下列行为之一的，由文化行政部门给予警告，可以并处15000元以下的罚款；情节严重的，责令停业整顿，直至吊销《网络文化经营许可证》：</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五</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未悬挂《网络文化经营许可证》或者未成年人禁入标志的。”</w:t>
            </w:r>
          </w:p>
        </w:tc>
      </w:tr>
      <w:tr w14:paraId="43FC1321">
        <w:tblPrEx>
          <w:tblCellMar>
            <w:top w:w="0" w:type="dxa"/>
            <w:left w:w="108" w:type="dxa"/>
            <w:bottom w:w="0" w:type="dxa"/>
            <w:right w:w="108" w:type="dxa"/>
          </w:tblCellMar>
        </w:tblPrEx>
        <w:trPr>
          <w:trHeight w:val="1505" w:hRule="atLeast"/>
        </w:trPr>
        <w:tc>
          <w:tcPr>
            <w:tcW w:w="705" w:type="dxa"/>
            <w:vMerge w:val="restart"/>
            <w:tcBorders>
              <w:top w:val="single" w:color="000000" w:sz="4" w:space="0"/>
              <w:left w:val="single" w:color="000000" w:sz="4" w:space="0"/>
              <w:bottom w:val="single" w:color="000000" w:sz="4" w:space="0"/>
              <w:right w:val="single" w:color="000000" w:sz="4" w:space="0"/>
            </w:tcBorders>
            <w:noWrap w:val="0"/>
            <w:vAlign w:val="center"/>
          </w:tcPr>
          <w:p w14:paraId="1E7C01E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4</w:t>
            </w:r>
          </w:p>
        </w:tc>
        <w:tc>
          <w:tcPr>
            <w:tcW w:w="2280" w:type="dxa"/>
            <w:vMerge w:val="restart"/>
            <w:tcBorders>
              <w:top w:val="single" w:color="000000" w:sz="4" w:space="0"/>
              <w:left w:val="single" w:color="000000" w:sz="4" w:space="0"/>
              <w:bottom w:val="single" w:color="000000" w:sz="4" w:space="0"/>
              <w:right w:val="single" w:color="000000" w:sz="4" w:space="0"/>
            </w:tcBorders>
            <w:noWrap w:val="0"/>
            <w:vAlign w:val="center"/>
          </w:tcPr>
          <w:p w14:paraId="410B141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在广播电视设施传输线路塔桅</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杆</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、拉线上拴系牲畜、悬挂物品、攀附农作物。</w:t>
            </w:r>
          </w:p>
        </w:tc>
        <w:tc>
          <w:tcPr>
            <w:tcW w:w="2595" w:type="dxa"/>
            <w:vMerge w:val="restart"/>
            <w:tcBorders>
              <w:top w:val="single" w:color="000000" w:sz="4" w:space="0"/>
              <w:left w:val="single" w:color="000000" w:sz="4" w:space="0"/>
              <w:bottom w:val="single" w:color="000000" w:sz="4" w:space="0"/>
              <w:right w:val="single" w:color="000000" w:sz="4" w:space="0"/>
            </w:tcBorders>
            <w:noWrap w:val="0"/>
            <w:vAlign w:val="center"/>
          </w:tcPr>
          <w:p w14:paraId="64FF6DC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首次违法，能当场改正，未造成危害后果的。</w:t>
            </w:r>
          </w:p>
        </w:tc>
        <w:tc>
          <w:tcPr>
            <w:tcW w:w="8548" w:type="dxa"/>
            <w:tcBorders>
              <w:top w:val="single" w:color="000000" w:sz="4" w:space="0"/>
              <w:left w:val="single" w:color="000000" w:sz="4" w:space="0"/>
              <w:bottom w:val="single" w:color="000000" w:sz="4" w:space="0"/>
              <w:right w:val="single" w:color="000000" w:sz="4" w:space="0"/>
            </w:tcBorders>
            <w:noWrap w:val="0"/>
            <w:vAlign w:val="center"/>
          </w:tcPr>
          <w:p w14:paraId="3B4B70F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《广播电视设施保护条例》第七条：“禁止危及广播电视信号专用传输设施的安全和损害其使用效能的下列行为</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六</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在传输线路塔桅</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杆</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、拉线上拴系牲畜、悬挂物品、攀附农作物。”</w:t>
            </w:r>
          </w:p>
        </w:tc>
      </w:tr>
      <w:tr w14:paraId="6046B384">
        <w:tblPrEx>
          <w:tblCellMar>
            <w:top w:w="0" w:type="dxa"/>
            <w:left w:w="108" w:type="dxa"/>
            <w:bottom w:w="0" w:type="dxa"/>
            <w:right w:w="108" w:type="dxa"/>
          </w:tblCellMar>
        </w:tblPrEx>
        <w:trPr>
          <w:trHeight w:val="1320" w:hRule="atLeast"/>
        </w:trPr>
        <w:tc>
          <w:tcPr>
            <w:tcW w:w="70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5295CD">
            <w:pPr>
              <w:widowControl/>
              <w:spacing w:line="320" w:lineRule="exact"/>
              <w:textAlignment w:val="center"/>
              <w:rPr>
                <w:rFonts w:hint="eastAsia" w:ascii="宋体" w:hAnsi="宋体" w:cs="宋体"/>
                <w:spacing w:val="-11"/>
                <w:kern w:val="0"/>
                <w:szCs w:val="21"/>
                <w:lang w:bidi="ar"/>
              </w:rPr>
            </w:pPr>
          </w:p>
        </w:tc>
        <w:tc>
          <w:tcPr>
            <w:tcW w:w="22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1BB58C">
            <w:pPr>
              <w:widowControl/>
              <w:spacing w:line="320" w:lineRule="exact"/>
              <w:textAlignment w:val="center"/>
              <w:rPr>
                <w:rFonts w:hint="eastAsia" w:ascii="宋体" w:hAnsi="宋体" w:cs="宋体"/>
                <w:spacing w:val="-11"/>
                <w:kern w:val="0"/>
                <w:szCs w:val="21"/>
                <w:lang w:bidi="ar"/>
              </w:rPr>
            </w:pPr>
          </w:p>
        </w:tc>
        <w:tc>
          <w:tcPr>
            <w:tcW w:w="25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EE0A8A">
            <w:pPr>
              <w:widowControl/>
              <w:spacing w:line="320" w:lineRule="exact"/>
              <w:textAlignment w:val="center"/>
              <w:rPr>
                <w:rFonts w:hint="eastAsia" w:ascii="宋体" w:hAnsi="宋体" w:cs="宋体"/>
                <w:spacing w:val="-11"/>
                <w:kern w:val="0"/>
                <w:szCs w:val="21"/>
                <w:lang w:bidi="ar"/>
              </w:rPr>
            </w:pPr>
          </w:p>
        </w:tc>
        <w:tc>
          <w:tcPr>
            <w:tcW w:w="8548" w:type="dxa"/>
            <w:tcBorders>
              <w:top w:val="single" w:color="000000" w:sz="4" w:space="0"/>
              <w:left w:val="single" w:color="000000" w:sz="4" w:space="0"/>
              <w:bottom w:val="single" w:color="000000" w:sz="4" w:space="0"/>
              <w:right w:val="single" w:color="000000" w:sz="4" w:space="0"/>
            </w:tcBorders>
            <w:noWrap w:val="0"/>
            <w:vAlign w:val="center"/>
          </w:tcPr>
          <w:p w14:paraId="5B68B21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《广播电视设施保护条例》第二十二条：“违反本条例规定</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在广播电视设施保护范围内有下列行为之一的</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由县级以上人民政府广播电视行政管理部门或者其授权的广播电视设施管理单位责令改正</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给予警告</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对个人可处以2000元以下的罚款</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对单位可处以2万元以下的罚款</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四</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拴系牲畜、悬挂物品、攀附农作物的。”</w:t>
            </w:r>
          </w:p>
        </w:tc>
      </w:tr>
      <w:tr w14:paraId="3E95C801">
        <w:tblPrEx>
          <w:tblCellMar>
            <w:top w:w="0" w:type="dxa"/>
            <w:left w:w="108" w:type="dxa"/>
            <w:bottom w:w="0" w:type="dxa"/>
            <w:right w:w="108" w:type="dxa"/>
          </w:tblCellMar>
        </w:tblPrEx>
        <w:trPr>
          <w:trHeight w:val="1540" w:hRule="atLeast"/>
        </w:trPr>
        <w:tc>
          <w:tcPr>
            <w:tcW w:w="705" w:type="dxa"/>
            <w:vMerge w:val="restart"/>
            <w:tcBorders>
              <w:top w:val="single" w:color="000000" w:sz="4" w:space="0"/>
              <w:left w:val="single" w:color="000000" w:sz="4" w:space="0"/>
              <w:bottom w:val="single" w:color="000000" w:sz="4" w:space="0"/>
              <w:right w:val="single" w:color="000000" w:sz="4" w:space="0"/>
            </w:tcBorders>
            <w:noWrap w:val="0"/>
            <w:vAlign w:val="center"/>
          </w:tcPr>
          <w:p w14:paraId="4493225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5</w:t>
            </w:r>
          </w:p>
        </w:tc>
        <w:tc>
          <w:tcPr>
            <w:tcW w:w="2280" w:type="dxa"/>
            <w:vMerge w:val="restart"/>
            <w:tcBorders>
              <w:top w:val="single" w:color="000000" w:sz="4" w:space="0"/>
              <w:left w:val="single" w:color="000000" w:sz="4" w:space="0"/>
              <w:bottom w:val="single" w:color="000000" w:sz="4" w:space="0"/>
              <w:right w:val="single" w:color="000000" w:sz="4" w:space="0"/>
            </w:tcBorders>
            <w:noWrap w:val="0"/>
            <w:vAlign w:val="center"/>
          </w:tcPr>
          <w:p w14:paraId="4E2837C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旅行社设立服务网点未向旅游行政管理部门备案。</w:t>
            </w:r>
          </w:p>
        </w:tc>
        <w:tc>
          <w:tcPr>
            <w:tcW w:w="2595" w:type="dxa"/>
            <w:vMerge w:val="restart"/>
            <w:tcBorders>
              <w:top w:val="single" w:color="000000" w:sz="4" w:space="0"/>
              <w:left w:val="single" w:color="000000" w:sz="4" w:space="0"/>
              <w:bottom w:val="single" w:color="000000" w:sz="4" w:space="0"/>
              <w:right w:val="single" w:color="000000" w:sz="4" w:space="0"/>
            </w:tcBorders>
            <w:noWrap w:val="0"/>
            <w:vAlign w:val="center"/>
          </w:tcPr>
          <w:p w14:paraId="649F9D7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首次违法，且能在行政机关责令改正的期限内改正，未造成危害后果的。</w:t>
            </w:r>
          </w:p>
        </w:tc>
        <w:tc>
          <w:tcPr>
            <w:tcW w:w="8548" w:type="dxa"/>
            <w:tcBorders>
              <w:top w:val="single" w:color="000000" w:sz="4" w:space="0"/>
              <w:left w:val="single" w:color="000000" w:sz="4" w:space="0"/>
              <w:bottom w:val="single" w:color="000000" w:sz="4" w:space="0"/>
              <w:right w:val="single" w:color="000000" w:sz="4" w:space="0"/>
            </w:tcBorders>
            <w:noWrap w:val="0"/>
            <w:vAlign w:val="center"/>
          </w:tcPr>
          <w:p w14:paraId="60CE2CC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旅行社条例实施细则》第二十三条：“设立社向服务网点所在地工商行政管理部门办理服务网点设立登记后，应当在3个工作日内，持下列文件向服务网点所在地与工商登记同级的旅游行政管理部门备案：（一）服务网点的《营业执照》；（二）服务网点经理的履历表和身份证明。没有同级的旅游行政管理部门的，向上一级旅游行政管理部门备案。”</w:t>
            </w:r>
          </w:p>
        </w:tc>
      </w:tr>
      <w:tr w14:paraId="02E03782">
        <w:tblPrEx>
          <w:tblCellMar>
            <w:top w:w="0" w:type="dxa"/>
            <w:left w:w="108" w:type="dxa"/>
            <w:bottom w:w="0" w:type="dxa"/>
            <w:right w:w="108" w:type="dxa"/>
          </w:tblCellMar>
        </w:tblPrEx>
        <w:trPr>
          <w:trHeight w:val="1260" w:hRule="atLeast"/>
        </w:trPr>
        <w:tc>
          <w:tcPr>
            <w:tcW w:w="70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EF1C7C">
            <w:pPr>
              <w:widowControl/>
              <w:spacing w:line="320" w:lineRule="exact"/>
              <w:textAlignment w:val="center"/>
              <w:rPr>
                <w:rFonts w:hint="eastAsia" w:ascii="宋体" w:hAnsi="宋体" w:cs="宋体"/>
                <w:spacing w:val="-11"/>
                <w:kern w:val="0"/>
                <w:szCs w:val="21"/>
                <w:lang w:bidi="ar"/>
              </w:rPr>
            </w:pPr>
          </w:p>
        </w:tc>
        <w:tc>
          <w:tcPr>
            <w:tcW w:w="22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7CF357">
            <w:pPr>
              <w:widowControl/>
              <w:spacing w:line="320" w:lineRule="exact"/>
              <w:textAlignment w:val="center"/>
              <w:rPr>
                <w:rFonts w:hint="eastAsia" w:ascii="宋体" w:hAnsi="宋体" w:cs="宋体"/>
                <w:spacing w:val="-11"/>
                <w:kern w:val="0"/>
                <w:szCs w:val="21"/>
                <w:lang w:bidi="ar"/>
              </w:rPr>
            </w:pPr>
          </w:p>
        </w:tc>
        <w:tc>
          <w:tcPr>
            <w:tcW w:w="25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2EAE23">
            <w:pPr>
              <w:widowControl/>
              <w:spacing w:line="320" w:lineRule="exact"/>
              <w:textAlignment w:val="center"/>
              <w:rPr>
                <w:rFonts w:hint="eastAsia" w:ascii="宋体" w:hAnsi="宋体" w:cs="宋体"/>
                <w:spacing w:val="-11"/>
                <w:kern w:val="0"/>
                <w:szCs w:val="21"/>
                <w:lang w:bidi="ar"/>
              </w:rPr>
            </w:pPr>
          </w:p>
        </w:tc>
        <w:tc>
          <w:tcPr>
            <w:tcW w:w="8548" w:type="dxa"/>
            <w:tcBorders>
              <w:top w:val="single" w:color="000000" w:sz="4" w:space="0"/>
              <w:left w:val="single" w:color="000000" w:sz="4" w:space="0"/>
              <w:bottom w:val="single" w:color="000000" w:sz="4" w:space="0"/>
              <w:right w:val="single" w:color="000000" w:sz="4" w:space="0"/>
            </w:tcBorders>
            <w:noWrap w:val="0"/>
            <w:vAlign w:val="center"/>
          </w:tcPr>
          <w:p w14:paraId="4ECB3D3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旅行社条例实施细则》第五十七条：“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罚款。”</w:t>
            </w:r>
          </w:p>
        </w:tc>
      </w:tr>
      <w:tr w14:paraId="6D0CD52E">
        <w:tblPrEx>
          <w:tblCellMar>
            <w:top w:w="0" w:type="dxa"/>
            <w:left w:w="108" w:type="dxa"/>
            <w:bottom w:w="0" w:type="dxa"/>
            <w:right w:w="108" w:type="dxa"/>
          </w:tblCellMar>
        </w:tblPrEx>
        <w:trPr>
          <w:trHeight w:val="980" w:hRule="atLeast"/>
        </w:trPr>
        <w:tc>
          <w:tcPr>
            <w:tcW w:w="705" w:type="dxa"/>
            <w:vMerge w:val="restart"/>
            <w:tcBorders>
              <w:top w:val="single" w:color="000000" w:sz="4" w:space="0"/>
              <w:left w:val="single" w:color="000000" w:sz="4" w:space="0"/>
              <w:bottom w:val="single" w:color="000000" w:sz="4" w:space="0"/>
              <w:right w:val="single" w:color="000000" w:sz="4" w:space="0"/>
            </w:tcBorders>
            <w:noWrap w:val="0"/>
            <w:vAlign w:val="center"/>
          </w:tcPr>
          <w:p w14:paraId="6792411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6</w:t>
            </w:r>
          </w:p>
        </w:tc>
        <w:tc>
          <w:tcPr>
            <w:tcW w:w="2280" w:type="dxa"/>
            <w:vMerge w:val="restart"/>
            <w:tcBorders>
              <w:top w:val="single" w:color="000000" w:sz="4" w:space="0"/>
              <w:left w:val="single" w:color="000000" w:sz="4" w:space="0"/>
              <w:bottom w:val="single" w:color="000000" w:sz="4" w:space="0"/>
              <w:right w:val="single" w:color="000000" w:sz="4" w:space="0"/>
            </w:tcBorders>
            <w:noWrap w:val="0"/>
            <w:vAlign w:val="center"/>
          </w:tcPr>
          <w:p w14:paraId="13CA9C3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旅行社及其分社、服务网点，未在经营场所悬挂《旅行社业务经营许可证》《旅行社分社备案登记证明》或者《旅行社服务网点备案登记证明》。</w:t>
            </w:r>
          </w:p>
        </w:tc>
        <w:tc>
          <w:tcPr>
            <w:tcW w:w="2595" w:type="dxa"/>
            <w:vMerge w:val="restart"/>
            <w:tcBorders>
              <w:top w:val="single" w:color="000000" w:sz="4" w:space="0"/>
              <w:left w:val="single" w:color="000000" w:sz="4" w:space="0"/>
              <w:bottom w:val="single" w:color="000000" w:sz="4" w:space="0"/>
              <w:right w:val="single" w:color="000000" w:sz="4" w:space="0"/>
            </w:tcBorders>
            <w:noWrap w:val="0"/>
            <w:vAlign w:val="center"/>
          </w:tcPr>
          <w:p w14:paraId="40BBE6B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首次违法，且能当场改正，按规定悬挂的。</w:t>
            </w:r>
          </w:p>
        </w:tc>
        <w:tc>
          <w:tcPr>
            <w:tcW w:w="8548" w:type="dxa"/>
            <w:tcBorders>
              <w:top w:val="single" w:color="000000" w:sz="4" w:space="0"/>
              <w:left w:val="single" w:color="000000" w:sz="4" w:space="0"/>
              <w:bottom w:val="single" w:color="000000" w:sz="4" w:space="0"/>
              <w:right w:val="single" w:color="000000" w:sz="4" w:space="0"/>
            </w:tcBorders>
            <w:noWrap w:val="0"/>
            <w:vAlign w:val="center"/>
          </w:tcPr>
          <w:p w14:paraId="5410D05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旅行社条例实施细则》第二十六条：“旅行社及其分社、服务网点，应当将《旅行社业务经营许可证》、《旅行社分社备案登记证明》或者《旅行社服务网点备案登记证明》，与营业执照一起，悬挂在经营场所的显要位置。”</w:t>
            </w:r>
          </w:p>
        </w:tc>
      </w:tr>
      <w:tr w14:paraId="1CBFDD3F">
        <w:tblPrEx>
          <w:tblCellMar>
            <w:top w:w="0" w:type="dxa"/>
            <w:left w:w="108" w:type="dxa"/>
            <w:bottom w:w="0" w:type="dxa"/>
            <w:right w:w="108" w:type="dxa"/>
          </w:tblCellMar>
        </w:tblPrEx>
        <w:trPr>
          <w:trHeight w:val="1280" w:hRule="atLeast"/>
        </w:trPr>
        <w:tc>
          <w:tcPr>
            <w:tcW w:w="705" w:type="dxa"/>
            <w:vMerge w:val="continue"/>
            <w:tcBorders>
              <w:top w:val="single" w:color="000000" w:sz="4" w:space="0"/>
              <w:left w:val="single" w:color="000000" w:sz="4" w:space="0"/>
              <w:bottom w:val="single" w:color="auto" w:sz="4" w:space="0"/>
              <w:right w:val="single" w:color="000000" w:sz="4" w:space="0"/>
            </w:tcBorders>
            <w:noWrap w:val="0"/>
            <w:vAlign w:val="center"/>
          </w:tcPr>
          <w:p w14:paraId="67A41F91">
            <w:pPr>
              <w:widowControl/>
              <w:spacing w:line="320" w:lineRule="exact"/>
              <w:textAlignment w:val="center"/>
              <w:rPr>
                <w:rFonts w:hint="eastAsia" w:ascii="宋体" w:hAnsi="宋体" w:cs="宋体"/>
                <w:spacing w:val="-11"/>
                <w:kern w:val="0"/>
                <w:szCs w:val="21"/>
                <w:lang w:bidi="ar"/>
              </w:rPr>
            </w:pPr>
          </w:p>
        </w:tc>
        <w:tc>
          <w:tcPr>
            <w:tcW w:w="2280" w:type="dxa"/>
            <w:vMerge w:val="continue"/>
            <w:tcBorders>
              <w:top w:val="single" w:color="000000" w:sz="4" w:space="0"/>
              <w:left w:val="single" w:color="000000" w:sz="4" w:space="0"/>
              <w:bottom w:val="single" w:color="auto" w:sz="4" w:space="0"/>
              <w:right w:val="single" w:color="000000" w:sz="4" w:space="0"/>
            </w:tcBorders>
            <w:noWrap w:val="0"/>
            <w:vAlign w:val="center"/>
          </w:tcPr>
          <w:p w14:paraId="48DB5E97">
            <w:pPr>
              <w:widowControl/>
              <w:spacing w:line="320" w:lineRule="exact"/>
              <w:textAlignment w:val="center"/>
              <w:rPr>
                <w:rFonts w:hint="eastAsia" w:ascii="宋体" w:hAnsi="宋体" w:cs="宋体"/>
                <w:spacing w:val="-11"/>
                <w:kern w:val="0"/>
                <w:szCs w:val="21"/>
                <w:lang w:bidi="ar"/>
              </w:rPr>
            </w:pPr>
          </w:p>
        </w:tc>
        <w:tc>
          <w:tcPr>
            <w:tcW w:w="2595" w:type="dxa"/>
            <w:vMerge w:val="continue"/>
            <w:tcBorders>
              <w:top w:val="single" w:color="000000" w:sz="4" w:space="0"/>
              <w:left w:val="single" w:color="000000" w:sz="4" w:space="0"/>
              <w:bottom w:val="single" w:color="auto" w:sz="4" w:space="0"/>
              <w:right w:val="single" w:color="000000" w:sz="4" w:space="0"/>
            </w:tcBorders>
            <w:noWrap w:val="0"/>
            <w:vAlign w:val="center"/>
          </w:tcPr>
          <w:p w14:paraId="2CF1442D">
            <w:pPr>
              <w:widowControl/>
              <w:spacing w:line="320" w:lineRule="exact"/>
              <w:textAlignment w:val="center"/>
              <w:rPr>
                <w:rFonts w:hint="eastAsia" w:ascii="宋体" w:hAnsi="宋体" w:cs="宋体"/>
                <w:spacing w:val="-11"/>
                <w:kern w:val="0"/>
                <w:szCs w:val="21"/>
                <w:lang w:bidi="ar"/>
              </w:rPr>
            </w:pPr>
          </w:p>
        </w:tc>
        <w:tc>
          <w:tcPr>
            <w:tcW w:w="8548" w:type="dxa"/>
            <w:tcBorders>
              <w:top w:val="single" w:color="000000" w:sz="4" w:space="0"/>
              <w:left w:val="single" w:color="000000" w:sz="4" w:space="0"/>
              <w:bottom w:val="single" w:color="auto" w:sz="4" w:space="0"/>
              <w:right w:val="single" w:color="000000" w:sz="4" w:space="0"/>
            </w:tcBorders>
            <w:noWrap w:val="0"/>
            <w:vAlign w:val="center"/>
          </w:tcPr>
          <w:p w14:paraId="1642208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旅行社条例实施细则》第五十七条：“”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罚款。</w:t>
            </w:r>
          </w:p>
        </w:tc>
      </w:tr>
      <w:tr w14:paraId="2FD7FA0F">
        <w:tblPrEx>
          <w:tblCellMar>
            <w:top w:w="0" w:type="dxa"/>
            <w:left w:w="108" w:type="dxa"/>
            <w:bottom w:w="0" w:type="dxa"/>
            <w:right w:w="108" w:type="dxa"/>
          </w:tblCellMar>
        </w:tblPrEx>
        <w:trPr>
          <w:trHeight w:val="1740" w:hRule="atLeast"/>
        </w:trPr>
        <w:tc>
          <w:tcPr>
            <w:tcW w:w="705" w:type="dxa"/>
            <w:vMerge w:val="restart"/>
            <w:tcBorders>
              <w:top w:val="single" w:color="auto" w:sz="4" w:space="0"/>
              <w:left w:val="single" w:color="auto" w:sz="4" w:space="0"/>
              <w:bottom w:val="single" w:color="auto" w:sz="4" w:space="0"/>
              <w:right w:val="single" w:color="auto" w:sz="4" w:space="0"/>
            </w:tcBorders>
            <w:noWrap w:val="0"/>
            <w:vAlign w:val="center"/>
          </w:tcPr>
          <w:p w14:paraId="387F6ABF">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7</w:t>
            </w:r>
          </w:p>
        </w:tc>
        <w:tc>
          <w:tcPr>
            <w:tcW w:w="2280" w:type="dxa"/>
            <w:vMerge w:val="restart"/>
            <w:tcBorders>
              <w:top w:val="single" w:color="auto" w:sz="4" w:space="0"/>
              <w:left w:val="single" w:color="auto" w:sz="4" w:space="0"/>
              <w:bottom w:val="single" w:color="auto" w:sz="4" w:space="0"/>
              <w:right w:val="single" w:color="auto" w:sz="4" w:space="0"/>
            </w:tcBorders>
            <w:noWrap w:val="0"/>
            <w:vAlign w:val="center"/>
          </w:tcPr>
          <w:p w14:paraId="228DDBD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 xml:space="preserve">    从事出版物发行业务的单位，未在经营场所张挂《出版物经营许可证》。</w:t>
            </w:r>
          </w:p>
        </w:tc>
        <w:tc>
          <w:tcPr>
            <w:tcW w:w="2595" w:type="dxa"/>
            <w:vMerge w:val="restart"/>
            <w:tcBorders>
              <w:top w:val="single" w:color="auto" w:sz="4" w:space="0"/>
              <w:left w:val="single" w:color="auto" w:sz="4" w:space="0"/>
              <w:bottom w:val="single" w:color="auto" w:sz="4" w:space="0"/>
              <w:right w:val="single" w:color="auto" w:sz="4" w:space="0"/>
            </w:tcBorders>
            <w:noWrap w:val="0"/>
            <w:vAlign w:val="center"/>
          </w:tcPr>
          <w:p w14:paraId="17052DBD">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首次违法，且能当场改正，按规定张挂的。</w:t>
            </w:r>
          </w:p>
        </w:tc>
        <w:tc>
          <w:tcPr>
            <w:tcW w:w="8548" w:type="dxa"/>
            <w:tcBorders>
              <w:top w:val="single" w:color="auto" w:sz="4" w:space="0"/>
              <w:left w:val="single" w:color="auto" w:sz="4" w:space="0"/>
              <w:bottom w:val="single" w:color="auto" w:sz="4" w:space="0"/>
              <w:right w:val="single" w:color="auto" w:sz="4" w:space="0"/>
            </w:tcBorders>
            <w:noWrap w:val="0"/>
            <w:vAlign w:val="center"/>
          </w:tcPr>
          <w:p w14:paraId="2AD2AF3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出版市场管理规定》第二十二条：“从事出版物发行业务的单位和个人在发行活动中应当遵循公平、守法、诚实、守信的原则，依法订立供销合同，不得损害消费者的合法权益。从事出版物发行业务的单位、个人，必须遵守下列规定：（五）出版物经营许可证应在经营场所明显处张挂；利用信息网络从事出版物发行业务的，应在其网站主页面或者从事经营活动的网页醒目位置公开出版物经营许可证和营业执照登载的有关信息或链接标识。”</w:t>
            </w:r>
          </w:p>
        </w:tc>
      </w:tr>
      <w:tr w14:paraId="474743F2">
        <w:tblPrEx>
          <w:tblCellMar>
            <w:top w:w="0" w:type="dxa"/>
            <w:left w:w="108" w:type="dxa"/>
            <w:bottom w:w="0" w:type="dxa"/>
            <w:right w:w="108" w:type="dxa"/>
          </w:tblCellMar>
        </w:tblPrEx>
        <w:trPr>
          <w:trHeight w:val="1240" w:hRule="atLeast"/>
        </w:trPr>
        <w:tc>
          <w:tcPr>
            <w:tcW w:w="705" w:type="dxa"/>
            <w:vMerge w:val="continue"/>
            <w:tcBorders>
              <w:top w:val="single" w:color="auto" w:sz="4" w:space="0"/>
              <w:left w:val="single" w:color="auto" w:sz="4" w:space="0"/>
              <w:bottom w:val="single" w:color="auto" w:sz="4" w:space="0"/>
              <w:right w:val="single" w:color="auto" w:sz="4" w:space="0"/>
            </w:tcBorders>
            <w:noWrap w:val="0"/>
            <w:vAlign w:val="center"/>
          </w:tcPr>
          <w:p w14:paraId="45ADCB61">
            <w:pPr>
              <w:widowControl/>
              <w:spacing w:line="320" w:lineRule="exact"/>
              <w:textAlignment w:val="center"/>
              <w:rPr>
                <w:rFonts w:hint="eastAsia" w:ascii="宋体" w:hAnsi="宋体" w:cs="宋体"/>
                <w:spacing w:val="-11"/>
                <w:kern w:val="0"/>
                <w:szCs w:val="21"/>
                <w:lang w:bidi="ar"/>
              </w:rPr>
            </w:pPr>
          </w:p>
        </w:tc>
        <w:tc>
          <w:tcPr>
            <w:tcW w:w="2280" w:type="dxa"/>
            <w:vMerge w:val="continue"/>
            <w:tcBorders>
              <w:top w:val="single" w:color="auto" w:sz="4" w:space="0"/>
              <w:left w:val="single" w:color="auto" w:sz="4" w:space="0"/>
              <w:bottom w:val="single" w:color="auto" w:sz="4" w:space="0"/>
              <w:right w:val="single" w:color="auto" w:sz="4" w:space="0"/>
            </w:tcBorders>
            <w:noWrap w:val="0"/>
            <w:vAlign w:val="center"/>
          </w:tcPr>
          <w:p w14:paraId="54C68EAD">
            <w:pPr>
              <w:widowControl/>
              <w:spacing w:line="320" w:lineRule="exact"/>
              <w:textAlignment w:val="center"/>
              <w:rPr>
                <w:rFonts w:hint="eastAsia" w:ascii="宋体" w:hAnsi="宋体" w:cs="宋体"/>
                <w:spacing w:val="-11"/>
                <w:kern w:val="0"/>
                <w:szCs w:val="21"/>
                <w:lang w:bidi="ar"/>
              </w:rPr>
            </w:pPr>
          </w:p>
        </w:tc>
        <w:tc>
          <w:tcPr>
            <w:tcW w:w="2595" w:type="dxa"/>
            <w:vMerge w:val="continue"/>
            <w:tcBorders>
              <w:top w:val="single" w:color="auto" w:sz="4" w:space="0"/>
              <w:left w:val="single" w:color="auto" w:sz="4" w:space="0"/>
              <w:bottom w:val="single" w:color="auto" w:sz="4" w:space="0"/>
              <w:right w:val="single" w:color="auto" w:sz="4" w:space="0"/>
            </w:tcBorders>
            <w:noWrap w:val="0"/>
            <w:vAlign w:val="center"/>
          </w:tcPr>
          <w:p w14:paraId="01EB9EBD">
            <w:pPr>
              <w:widowControl/>
              <w:spacing w:line="320" w:lineRule="exact"/>
              <w:textAlignment w:val="center"/>
              <w:rPr>
                <w:rFonts w:hint="eastAsia" w:ascii="宋体" w:hAnsi="宋体" w:cs="宋体"/>
                <w:spacing w:val="-11"/>
                <w:kern w:val="0"/>
                <w:szCs w:val="21"/>
                <w:lang w:bidi="ar"/>
              </w:rPr>
            </w:pPr>
          </w:p>
        </w:tc>
        <w:tc>
          <w:tcPr>
            <w:tcW w:w="8548" w:type="dxa"/>
            <w:tcBorders>
              <w:top w:val="single" w:color="auto" w:sz="4" w:space="0"/>
              <w:left w:val="single" w:color="auto" w:sz="4" w:space="0"/>
              <w:bottom w:val="single" w:color="auto" w:sz="4" w:space="0"/>
              <w:right w:val="single" w:color="auto" w:sz="4" w:space="0"/>
            </w:tcBorders>
            <w:noWrap w:val="0"/>
            <w:vAlign w:val="center"/>
          </w:tcPr>
          <w:p w14:paraId="4C63B11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出版市场管理规定》第三十七条：“违反本规定，有下列行为之一的，由出版行政主管部门责令停止违法行为，予以警告，并处3万元以下罚款：（五）出版物经营许可证未在经营场所明显处张挂或者未在网页醒目位置公开出版物经营许可证和营业执照登载的有关信息或者链接标识的；......”</w:t>
            </w:r>
          </w:p>
        </w:tc>
      </w:tr>
    </w:tbl>
    <w:p w14:paraId="3CF5BB2F">
      <w:pPr>
        <w:widowControl/>
        <w:spacing w:line="320" w:lineRule="exact"/>
        <w:textAlignment w:val="center"/>
        <w:rPr>
          <w:rFonts w:hint="eastAsia" w:ascii="宋体" w:hAnsi="宋体" w:cs="宋体"/>
          <w:spacing w:val="-11"/>
          <w:kern w:val="0"/>
          <w:szCs w:val="21"/>
          <w:lang w:bidi="ar"/>
        </w:rPr>
      </w:pPr>
    </w:p>
    <w:p w14:paraId="79303892">
      <w:pPr>
        <w:widowControl/>
        <w:textAlignment w:val="center"/>
        <w:rPr>
          <w:rFonts w:hint="eastAsia" w:ascii="黑体" w:hAnsi="黑体" w:eastAsia="黑体" w:cs="黑体"/>
          <w:spacing w:val="-11"/>
          <w:kern w:val="0"/>
          <w:sz w:val="32"/>
          <w:szCs w:val="32"/>
          <w:lang w:bidi="ar"/>
        </w:rPr>
      </w:pPr>
      <w:r>
        <w:rPr>
          <w:rFonts w:hint="eastAsia" w:ascii="黑体" w:hAnsi="黑体" w:eastAsia="黑体" w:cs="黑体"/>
          <w:spacing w:val="-11"/>
          <w:kern w:val="0"/>
          <w:sz w:val="32"/>
          <w:szCs w:val="32"/>
          <w:lang w:bidi="ar"/>
        </w:rPr>
        <w:t>六、新余市应急管理领域轻微违法行为不予处罚清单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3401"/>
        <w:gridCol w:w="2881"/>
        <w:gridCol w:w="6525"/>
      </w:tblGrid>
      <w:tr w14:paraId="0B362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 w:type="dxa"/>
            <w:noWrap w:val="0"/>
            <w:vAlign w:val="top"/>
          </w:tcPr>
          <w:p w14:paraId="310D7F91">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序号</w:t>
            </w:r>
          </w:p>
        </w:tc>
        <w:tc>
          <w:tcPr>
            <w:tcW w:w="3401" w:type="dxa"/>
            <w:noWrap w:val="0"/>
            <w:vAlign w:val="top"/>
          </w:tcPr>
          <w:p w14:paraId="0B1797E8">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违法行为</w:t>
            </w:r>
          </w:p>
        </w:tc>
        <w:tc>
          <w:tcPr>
            <w:tcW w:w="2881" w:type="dxa"/>
            <w:noWrap w:val="0"/>
            <w:vAlign w:val="top"/>
          </w:tcPr>
          <w:p w14:paraId="18EA8FE4">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不予处罚条件</w:t>
            </w:r>
          </w:p>
        </w:tc>
        <w:tc>
          <w:tcPr>
            <w:tcW w:w="6525" w:type="dxa"/>
            <w:noWrap w:val="0"/>
            <w:vAlign w:val="top"/>
          </w:tcPr>
          <w:p w14:paraId="0AA6477F">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法律依据</w:t>
            </w:r>
          </w:p>
        </w:tc>
      </w:tr>
      <w:tr w14:paraId="7C111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 w:type="dxa"/>
            <w:noWrap w:val="0"/>
            <w:vAlign w:val="center"/>
          </w:tcPr>
          <w:p w14:paraId="70BC4885">
            <w:pPr>
              <w:widowControl/>
              <w:spacing w:line="320" w:lineRule="exact"/>
              <w:textAlignment w:val="center"/>
              <w:rPr>
                <w:rFonts w:ascii="宋体" w:hAnsi="宋体" w:cs="宋体"/>
                <w:spacing w:val="-11"/>
                <w:kern w:val="0"/>
                <w:szCs w:val="21"/>
                <w:lang w:bidi="ar"/>
              </w:rPr>
            </w:pPr>
            <w:r>
              <w:rPr>
                <w:rFonts w:hint="eastAsia" w:ascii="宋体" w:hAnsi="宋体" w:cs="宋体"/>
                <w:spacing w:val="-11"/>
                <w:kern w:val="0"/>
                <w:szCs w:val="21"/>
                <w:lang w:bidi="ar"/>
              </w:rPr>
              <w:t>1</w:t>
            </w:r>
          </w:p>
        </w:tc>
        <w:tc>
          <w:tcPr>
            <w:tcW w:w="3401" w:type="dxa"/>
            <w:noWrap w:val="0"/>
            <w:vAlign w:val="top"/>
          </w:tcPr>
          <w:p w14:paraId="551AA03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安全评价检测检验机构未在开展现场技术服务前七个工作日内，书面告知项目实施地资质认可机关的</w:t>
            </w:r>
          </w:p>
        </w:tc>
        <w:tc>
          <w:tcPr>
            <w:tcW w:w="2881" w:type="dxa"/>
            <w:noWrap w:val="0"/>
            <w:vAlign w:val="top"/>
          </w:tcPr>
          <w:p w14:paraId="7B4BE72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属于初次违法，且责令改正或者限期改正后及时改正，没有造成严重后果的</w:t>
            </w:r>
          </w:p>
        </w:tc>
        <w:tc>
          <w:tcPr>
            <w:tcW w:w="6525" w:type="dxa"/>
            <w:noWrap w:val="0"/>
            <w:vAlign w:val="top"/>
          </w:tcPr>
          <w:p w14:paraId="702CAF3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安全评价检测检验机构管理办法》第三十条第一款第（四）项：“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四）未在开展现场技术服务前七个工作日内，书面告知项目实施地资质认可机关的；......”</w:t>
            </w:r>
          </w:p>
        </w:tc>
      </w:tr>
      <w:tr w14:paraId="7C047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 w:type="dxa"/>
            <w:noWrap w:val="0"/>
            <w:vAlign w:val="center"/>
          </w:tcPr>
          <w:p w14:paraId="7EFB003F">
            <w:pPr>
              <w:widowControl/>
              <w:spacing w:line="320" w:lineRule="exact"/>
              <w:textAlignment w:val="center"/>
              <w:rPr>
                <w:rFonts w:ascii="宋体" w:hAnsi="宋体" w:cs="宋体"/>
                <w:spacing w:val="-11"/>
                <w:kern w:val="0"/>
                <w:szCs w:val="21"/>
                <w:lang w:bidi="ar"/>
              </w:rPr>
            </w:pPr>
            <w:r>
              <w:rPr>
                <w:rFonts w:hint="eastAsia" w:ascii="宋体" w:hAnsi="宋体" w:cs="宋体"/>
                <w:spacing w:val="-11"/>
                <w:kern w:val="0"/>
                <w:szCs w:val="21"/>
                <w:lang w:bidi="ar"/>
              </w:rPr>
              <w:t>2</w:t>
            </w:r>
          </w:p>
        </w:tc>
        <w:tc>
          <w:tcPr>
            <w:tcW w:w="3401" w:type="dxa"/>
            <w:noWrap w:val="0"/>
            <w:vAlign w:val="top"/>
          </w:tcPr>
          <w:p w14:paraId="2CD99D1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生产经营单位在应急预案编制前未按照规定开展风险辨识、评估和应急资源调查的</w:t>
            </w:r>
          </w:p>
        </w:tc>
        <w:tc>
          <w:tcPr>
            <w:tcW w:w="2881" w:type="dxa"/>
            <w:noWrap w:val="0"/>
            <w:vAlign w:val="top"/>
          </w:tcPr>
          <w:p w14:paraId="3895F83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属于初次违法，且责令限期改正后及时改正，没有造成严重后果的</w:t>
            </w:r>
          </w:p>
        </w:tc>
        <w:tc>
          <w:tcPr>
            <w:tcW w:w="6525" w:type="dxa"/>
            <w:noWrap w:val="0"/>
            <w:vAlign w:val="top"/>
          </w:tcPr>
          <w:p w14:paraId="3A9CBAA8">
            <w:pPr>
              <w:widowControl/>
              <w:spacing w:line="320" w:lineRule="exact"/>
              <w:textAlignment w:val="center"/>
              <w:rPr>
                <w:rFonts w:ascii="宋体" w:hAnsi="宋体" w:cs="宋体"/>
                <w:spacing w:val="-11"/>
                <w:kern w:val="0"/>
                <w:szCs w:val="21"/>
                <w:lang w:bidi="ar"/>
              </w:rPr>
            </w:pPr>
            <w:r>
              <w:rPr>
                <w:rFonts w:hint="eastAsia" w:ascii="宋体" w:hAnsi="宋体" w:cs="宋体"/>
                <w:spacing w:val="-11"/>
                <w:kern w:val="0"/>
                <w:szCs w:val="21"/>
                <w:lang w:bidi="ar"/>
              </w:rPr>
              <w:t>《生产安全事故应急预案管理办法》第四十五条第一款第（一）项：“</w:t>
            </w:r>
            <w:r>
              <w:rPr>
                <w:rFonts w:ascii="宋体" w:hAnsi="宋体" w:cs="宋体"/>
                <w:spacing w:val="-11"/>
                <w:kern w:val="0"/>
                <w:szCs w:val="21"/>
                <w:lang w:bidi="ar"/>
              </w:rPr>
              <w:t>生产经营单位有下列情形之一的，由县级以上人民政府应急管理部门责令限期改正，可以处1万元以上3万元以下的罚款：（一）在应急预案编制前未按照规定开展风险辨识、评估和应急资源调查的；</w:t>
            </w:r>
            <w:r>
              <w:rPr>
                <w:rFonts w:hint="eastAsia" w:ascii="宋体" w:hAnsi="宋体" w:cs="宋体"/>
                <w:spacing w:val="-11"/>
                <w:kern w:val="0"/>
                <w:szCs w:val="21"/>
                <w:lang w:bidi="ar"/>
              </w:rPr>
              <w:t>......”</w:t>
            </w:r>
          </w:p>
        </w:tc>
      </w:tr>
    </w:tbl>
    <w:p w14:paraId="726A5FAB">
      <w:pPr>
        <w:widowControl/>
        <w:textAlignment w:val="center"/>
        <w:rPr>
          <w:rFonts w:hint="eastAsia" w:ascii="黑体" w:hAnsi="黑体" w:eastAsia="黑体" w:cs="黑体"/>
          <w:spacing w:val="-11"/>
          <w:kern w:val="0"/>
          <w:sz w:val="32"/>
          <w:szCs w:val="32"/>
          <w:lang w:eastAsia="zh-CN" w:bidi="ar"/>
        </w:rPr>
      </w:pPr>
    </w:p>
    <w:p w14:paraId="1FBA82C8">
      <w:pPr>
        <w:widowControl/>
        <w:shd w:val="clea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eastAsia="zh-CN" w:bidi="ar"/>
        </w:rPr>
        <w:t>七</w:t>
      </w: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水利</w:t>
      </w:r>
      <w:r>
        <w:rPr>
          <w:rFonts w:hint="eastAsia" w:ascii="黑体" w:hAnsi="黑体" w:eastAsia="黑体" w:cs="黑体"/>
          <w:spacing w:val="-11"/>
          <w:kern w:val="0"/>
          <w:sz w:val="32"/>
          <w:szCs w:val="32"/>
          <w:highlight w:val="none"/>
          <w:lang w:bidi="ar"/>
        </w:rPr>
        <w:t>领域轻微违法行为不予处罚清单</w:t>
      </w:r>
    </w:p>
    <w:tbl>
      <w:tblPr>
        <w:tblStyle w:val="9"/>
        <w:tblW w:w="140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5"/>
        <w:gridCol w:w="3460"/>
        <w:gridCol w:w="6232"/>
        <w:gridCol w:w="3248"/>
      </w:tblGrid>
      <w:tr w14:paraId="7815F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CF17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6BB9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违法行为名称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CB30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处罚依据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132D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适用情形</w:t>
            </w:r>
          </w:p>
        </w:tc>
      </w:tr>
      <w:tr w14:paraId="4C414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A732C">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0EEDC961">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对违反河道管理有关规定的处罚</w:t>
            </w:r>
          </w:p>
        </w:tc>
        <w:tc>
          <w:tcPr>
            <w:tcW w:w="6232" w:type="dxa"/>
            <w:tcBorders>
              <w:top w:val="nil"/>
              <w:left w:val="single" w:color="000000" w:sz="4" w:space="0"/>
              <w:bottom w:val="single" w:color="000000" w:sz="4" w:space="0"/>
              <w:right w:val="single" w:color="000000" w:sz="4" w:space="0"/>
            </w:tcBorders>
            <w:shd w:val="clear" w:color="auto" w:fill="FFFFFF"/>
            <w:vAlign w:val="center"/>
          </w:tcPr>
          <w:p w14:paraId="2BC8DC4E">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《中华人民共和国水法》第六十五条第三款  虽经水行政主管部门或者流域管理机构同意，但未按照要求修建前款所列工程设施的，由县级以上人民政府水行政主管部门或者流域管理机构依据职权，责令限期改正，按照情节轻重，处一万元以上十万元以下的罚款。</w:t>
            </w:r>
          </w:p>
        </w:tc>
        <w:tc>
          <w:tcPr>
            <w:tcW w:w="3248" w:type="dxa"/>
            <w:tcBorders>
              <w:top w:val="nil"/>
              <w:left w:val="single" w:color="000000" w:sz="4" w:space="0"/>
              <w:bottom w:val="single" w:color="000000" w:sz="4" w:space="0"/>
              <w:right w:val="single" w:color="000000" w:sz="4" w:space="0"/>
            </w:tcBorders>
            <w:shd w:val="clear" w:color="auto" w:fill="FFFFFF"/>
            <w:vAlign w:val="center"/>
          </w:tcPr>
          <w:p w14:paraId="5BC394F5">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1.初次违法；3.在水行政主管部门规定期限内改正。</w:t>
            </w:r>
          </w:p>
        </w:tc>
      </w:tr>
      <w:tr w14:paraId="29819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73E6E">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1C077AC3">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对违反河道管理有关规定的处罚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2B3B0">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 xml:space="preserve"> 《中华人民共和国水法》第六十六条　有下列行为之一，且防洪法未作规定的，由县级以上人民政府水行政主管部门或者流域管理机构依据职权，责令停止违法行为，限期清除障碍或者采取其他补救措施，处一万元以上五万元以下的罚款：</w:t>
            </w:r>
          </w:p>
          <w:p w14:paraId="5740C0CA">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　　（一）在江河、湖泊、水库、运河、渠道内弃置、堆放阻碍行洪的物体和种植阻碍行洪的林木及高秆作物的；</w:t>
            </w:r>
          </w:p>
          <w:p w14:paraId="37ED2E7E">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（二）围湖造地或者未经批准围垦河道的。</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C7060">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1.初次违法；2.按水行政主管部门要求停止违法行为；3.在规定期限内清除障碍或者采取其他补救措施。</w:t>
            </w:r>
          </w:p>
        </w:tc>
      </w:tr>
      <w:tr w14:paraId="648D6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B3A1D">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65240463">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对违反河道管理有关规定的处罚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40E3E">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《中华人民共和国长江保护法》第八十七条　违反本法规定，非法侵占长江流域河湖水域，或者违法利用、占用河湖岸线的，由县级以上人民政府水行政、自然资源等主管部门按照职责分工，责令停止违法行为，限期拆除并恢复原状，所需费用由违法者承担，没收违法所得，并处五万元以上五十万元以下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BC70A">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1.初次违法；2.按水行政主管部门要求停止违法行为；3.在规定期限内拆除、恢复原状；4.无违法所得。</w:t>
            </w:r>
          </w:p>
        </w:tc>
      </w:tr>
      <w:tr w14:paraId="5C0FE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361C9">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4</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41795CEC">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对违反水资源管理有关规定的处罚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B640B">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《中华人民共和国水法》第六十七条第二款 未经水行政主管部门或者流域管理机构审查同意，擅自在江河、湖泊新建、改建或者扩大排污口的，由县级以上人民政府水行政主管部门或者流域管理机构依据职权，责令停止违法行为，限期恢复原状，处五万元以上十万元以下的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78A3E">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1.初次违法；2.按水行政主管部门要求停止违法行为；3.在规定期限内清除障碍或者采取其他补救措施。 </w:t>
            </w:r>
          </w:p>
        </w:tc>
      </w:tr>
      <w:tr w14:paraId="4E3AA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38154">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5</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77C1553A">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对违反水资源管理有关规定的处罚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5B25D">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《中华人民共和国水法》第六十九条　有下列行为之一的，由县级以上人民政府水行政主管部门或者流域管理机构依据职权，责令停止违法行为，限期采取补救措施，处二万元以上十万元以下的罚款；情节严重的，吊销其取水许可证：</w:t>
            </w:r>
          </w:p>
          <w:p w14:paraId="6B5F76AF">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　　（一）未经批准擅自取水的；</w:t>
            </w:r>
          </w:p>
          <w:p w14:paraId="5D272A93">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（二）未依照批准的取水许可规定条件取水的。</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054CB">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1.初次违法；2.按水行政主管部门要求停止违法行为；3.在规定期限内采取其他补救措施。 </w:t>
            </w:r>
          </w:p>
        </w:tc>
      </w:tr>
      <w:tr w14:paraId="1DA7E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F949E">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6</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5BC831D6">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对违反水资源管理有关规定的处罚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04292">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《中华人民共和国水法》第七十一条　建设项目的节水设施没有建成或者没有达到国家规定的要求，擅自投入使用的，由县级以上人民政府有关部门或者流域管理机构依据职权，责令停止使用，限期改正，处五万元以上十万元以下的罚款。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D5685">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1.初次违法；2.按水行政机关要求停止违法行为；3.在规定期限内采取其他补救措施。 </w:t>
            </w:r>
          </w:p>
        </w:tc>
      </w:tr>
      <w:tr w14:paraId="40B97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40CD0">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7</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4FE8A67B">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对违反河道管理有关规定的处罚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B46F2">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　《中华人民共和国水法》第七十二条　有下列行为之一，构成犯罪的，依照刑法的有关规定追究刑事责任；尚不够刑事处罚，且防洪法未作规定的，由县级以上地方人民政府水行政主管部门或者流域管理机构依据职权，责令停止违法行为，采取补救措施，处一万元以上五万元以下的罚款；违反治安管理处罚法的，由公安机关依法给予治安管理处罚；给他人造成损失的，依法承担赔偿责任：</w:t>
            </w:r>
          </w:p>
          <w:p w14:paraId="01AB2B7A">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　　（一）侵占、毁坏水工程及堤防、护岸等有关设施，毁坏防汛、水文监测、水文地质监测设施的；</w:t>
            </w:r>
          </w:p>
          <w:p w14:paraId="5CD69177">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（二）在水工程保护范围内，从事影响水工程运行和危害水工程安全的爆破、打井、采石、取土等活动的。</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84FD">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1.初次违法；2.按水行政主管部门要求停止违法行为；3.在规定期限内采取其他补救措施。 </w:t>
            </w:r>
          </w:p>
        </w:tc>
      </w:tr>
      <w:tr w14:paraId="04B56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DA522">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8</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377FD5E0">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对违反水土保持管理有关规定的处罚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A3D79">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《中华人民共和国水土保持法》第五十四条　违反本法规定，水土保持设施未经验收或者验收不合格将生产建设项目投产使用的，由县级以上人民政府水行政主管部门责令停止生产或者使用，直至验收合格，并处五万元以上五十万元以下的罚款。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535C">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1.初次违法；2.按水行政主管部门要求停止违法行为；3.在规定期限内完成验收。 </w:t>
            </w:r>
          </w:p>
        </w:tc>
      </w:tr>
      <w:tr w14:paraId="5323C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42E17">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9</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2A8B6CA2">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对违反水土保持管理有关规定的处罚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E38EA">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《中华人民共和国水土保持法》第五十五条　违反本法规定，在水土保持方案确定的专门存放地以外的区域倾倒砂、石、土、矸石、尾矿、废渣等的，由县级以上地方人民政府水行政主管部门责令停止违法行为，限期清理，按照倾倒数量处每立方米十元以上二十元以下的罚款；逾期仍不清理的，县级以上地方人民政府水行政主管部门可以指定有清理能力的单位代为清理，所需费用由违法行为人承担。</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3FA7D">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1.初次违法；2.按水行政主管部门要求停止违法行为；3.在规定期限内完成清理。 </w:t>
            </w:r>
          </w:p>
        </w:tc>
      </w:tr>
      <w:tr w14:paraId="6ECD5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5C52F">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10</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0E50BFA9">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对违反水土保持管理有关规定的处罚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C705D">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《江西省实施＜中华人民共和国水土保持法＞办法》第四十二条 违反本办法第二十三条规定，水土保持设施未经验收或者验收不合格将生产建设项目投产使用的，由县级以上人民政府水行政主管部门责令停止生产或者使用，直至验收合格，并按照下列规定处以罚款：</w:t>
            </w:r>
          </w:p>
          <w:p w14:paraId="0D23C2AF">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cs="宋体"/>
                <w:b w:val="0"/>
                <w:bCs w:val="0"/>
                <w:i w:val="0"/>
                <w:iCs w:val="0"/>
                <w:color w:val="000000"/>
                <w:kern w:val="0"/>
                <w:sz w:val="21"/>
                <w:szCs w:val="21"/>
                <w:u w:val="none"/>
                <w:lang w:val="en-US" w:eastAsia="zh-CN" w:bidi="ar"/>
              </w:rPr>
              <w:t>（</w:t>
            </w:r>
            <w:r>
              <w:rPr>
                <w:rFonts w:hint="eastAsia" w:ascii="宋体" w:hAnsi="宋体" w:eastAsia="宋体" w:cs="宋体"/>
                <w:b w:val="0"/>
                <w:bCs w:val="0"/>
                <w:i w:val="0"/>
                <w:iCs w:val="0"/>
                <w:color w:val="000000"/>
                <w:kern w:val="0"/>
                <w:sz w:val="21"/>
                <w:szCs w:val="21"/>
                <w:u w:val="none"/>
                <w:lang w:val="en-US" w:eastAsia="zh-CN" w:bidi="ar"/>
              </w:rPr>
              <w:t>一</w:t>
            </w:r>
            <w:r>
              <w:rPr>
                <w:rFonts w:hint="eastAsia" w:ascii="宋体" w:hAnsi="宋体" w:cs="宋体"/>
                <w:b w:val="0"/>
                <w:bCs w:val="0"/>
                <w:i w:val="0"/>
                <w:iCs w:val="0"/>
                <w:color w:val="000000"/>
                <w:kern w:val="0"/>
                <w:sz w:val="21"/>
                <w:szCs w:val="21"/>
                <w:u w:val="none"/>
                <w:lang w:val="en-US" w:eastAsia="zh-CN" w:bidi="ar"/>
              </w:rPr>
              <w:t>）</w:t>
            </w:r>
            <w:r>
              <w:rPr>
                <w:rFonts w:hint="eastAsia" w:ascii="宋体" w:hAnsi="宋体" w:eastAsia="宋体" w:cs="宋体"/>
                <w:b w:val="0"/>
                <w:bCs w:val="0"/>
                <w:i w:val="0"/>
                <w:iCs w:val="0"/>
                <w:color w:val="000000"/>
                <w:kern w:val="0"/>
                <w:sz w:val="21"/>
                <w:szCs w:val="21"/>
                <w:u w:val="none"/>
                <w:lang w:val="en-US" w:eastAsia="zh-CN" w:bidi="ar"/>
              </w:rPr>
              <w:t>水土保持设施未经验收，生产建设项目投产使用的，处五万元以上五十万元以下的罚款；</w:t>
            </w:r>
          </w:p>
          <w:p w14:paraId="58F35501">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cs="宋体"/>
                <w:b w:val="0"/>
                <w:bCs w:val="0"/>
                <w:i w:val="0"/>
                <w:iCs w:val="0"/>
                <w:color w:val="000000"/>
                <w:kern w:val="0"/>
                <w:sz w:val="21"/>
                <w:szCs w:val="21"/>
                <w:u w:val="none"/>
                <w:lang w:val="en-US" w:eastAsia="zh-CN" w:bidi="ar"/>
              </w:rPr>
              <w:t>（</w:t>
            </w:r>
            <w:r>
              <w:rPr>
                <w:rFonts w:hint="eastAsia" w:ascii="宋体" w:hAnsi="宋体" w:eastAsia="宋体" w:cs="宋体"/>
                <w:b w:val="0"/>
                <w:bCs w:val="0"/>
                <w:i w:val="0"/>
                <w:iCs w:val="0"/>
                <w:color w:val="000000"/>
                <w:kern w:val="0"/>
                <w:sz w:val="21"/>
                <w:szCs w:val="21"/>
                <w:u w:val="none"/>
                <w:lang w:val="en-US" w:eastAsia="zh-CN" w:bidi="ar"/>
              </w:rPr>
              <w:t>二</w:t>
            </w:r>
            <w:r>
              <w:rPr>
                <w:rFonts w:hint="eastAsia" w:ascii="宋体" w:hAnsi="宋体" w:cs="宋体"/>
                <w:b w:val="0"/>
                <w:bCs w:val="0"/>
                <w:i w:val="0"/>
                <w:iCs w:val="0"/>
                <w:color w:val="000000"/>
                <w:kern w:val="0"/>
                <w:sz w:val="21"/>
                <w:szCs w:val="21"/>
                <w:u w:val="none"/>
                <w:lang w:val="en-US" w:eastAsia="zh-CN" w:bidi="ar"/>
              </w:rPr>
              <w:t>）</w:t>
            </w:r>
            <w:r>
              <w:rPr>
                <w:rFonts w:hint="eastAsia" w:ascii="宋体" w:hAnsi="宋体" w:eastAsia="宋体" w:cs="宋体"/>
                <w:b w:val="0"/>
                <w:bCs w:val="0"/>
                <w:i w:val="0"/>
                <w:iCs w:val="0"/>
                <w:color w:val="000000"/>
                <w:kern w:val="0"/>
                <w:sz w:val="21"/>
                <w:szCs w:val="21"/>
                <w:u w:val="none"/>
                <w:lang w:val="en-US" w:eastAsia="zh-CN" w:bidi="ar"/>
              </w:rPr>
              <w:t>水土保持设施验收不合格，生产建设项目投产使用的，处二十万元以上五十万元以下的罚款；</w:t>
            </w:r>
          </w:p>
          <w:p w14:paraId="3E188995">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cs="宋体"/>
                <w:b w:val="0"/>
                <w:bCs w:val="0"/>
                <w:i w:val="0"/>
                <w:iCs w:val="0"/>
                <w:color w:val="000000"/>
                <w:kern w:val="0"/>
                <w:sz w:val="21"/>
                <w:szCs w:val="21"/>
                <w:u w:val="none"/>
                <w:lang w:val="en-US" w:eastAsia="zh-CN" w:bidi="ar"/>
              </w:rPr>
              <w:t>（</w:t>
            </w:r>
            <w:r>
              <w:rPr>
                <w:rFonts w:hint="eastAsia" w:ascii="宋体" w:hAnsi="宋体" w:eastAsia="宋体" w:cs="宋体"/>
                <w:b w:val="0"/>
                <w:bCs w:val="0"/>
                <w:i w:val="0"/>
                <w:iCs w:val="0"/>
                <w:color w:val="000000"/>
                <w:kern w:val="0"/>
                <w:sz w:val="21"/>
                <w:szCs w:val="21"/>
                <w:u w:val="none"/>
                <w:lang w:val="en-US" w:eastAsia="zh-CN" w:bidi="ar"/>
              </w:rPr>
              <w:t>三</w:t>
            </w:r>
            <w:r>
              <w:rPr>
                <w:rFonts w:hint="eastAsia" w:ascii="宋体" w:hAnsi="宋体" w:cs="宋体"/>
                <w:b w:val="0"/>
                <w:bCs w:val="0"/>
                <w:i w:val="0"/>
                <w:iCs w:val="0"/>
                <w:color w:val="000000"/>
                <w:kern w:val="0"/>
                <w:sz w:val="21"/>
                <w:szCs w:val="21"/>
                <w:u w:val="none"/>
                <w:lang w:val="en-US" w:eastAsia="zh-CN" w:bidi="ar"/>
              </w:rPr>
              <w:t>）</w:t>
            </w:r>
            <w:r>
              <w:rPr>
                <w:rFonts w:hint="eastAsia" w:ascii="宋体" w:hAnsi="宋体" w:eastAsia="宋体" w:cs="宋体"/>
                <w:b w:val="0"/>
                <w:bCs w:val="0"/>
                <w:i w:val="0"/>
                <w:iCs w:val="0"/>
                <w:color w:val="000000"/>
                <w:kern w:val="0"/>
                <w:sz w:val="21"/>
                <w:szCs w:val="21"/>
                <w:u w:val="none"/>
                <w:lang w:val="en-US" w:eastAsia="zh-CN" w:bidi="ar"/>
              </w:rPr>
              <w:t>拒不验收水土保持设施的生产建设项目，处四十万元以上五十万元以下的罚款。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D88FE">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1.初次违法；2.按水行政主管部门要求停止违法行为；3.在规定期限内完成验收。 </w:t>
            </w:r>
          </w:p>
        </w:tc>
      </w:tr>
      <w:tr w14:paraId="22870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4DCFC">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11</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5BBC1A61">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对违反水土保持管理有关规定的处罚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A6A31">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《江西省实施＜中华人民共和国水土保持法＞办法》第四十三条 违反本办法第三十一条规定，在水土保持方案确定的专门存放地以外的区域倾倒砂、石、土、矸石、尾矿、废渣等的，由县级以上人民政府水行政主管部门责令停止违法行为，限期清理，并按照倾倒数量处以罚款：</w:t>
            </w:r>
          </w:p>
          <w:p w14:paraId="323B822D">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cs="宋体"/>
                <w:b w:val="0"/>
                <w:bCs w:val="0"/>
                <w:i w:val="0"/>
                <w:iCs w:val="0"/>
                <w:color w:val="000000"/>
                <w:kern w:val="0"/>
                <w:sz w:val="21"/>
                <w:szCs w:val="21"/>
                <w:u w:val="none"/>
                <w:lang w:val="en-US" w:eastAsia="zh-CN" w:bidi="ar"/>
              </w:rPr>
              <w:t>（</w:t>
            </w:r>
            <w:r>
              <w:rPr>
                <w:rFonts w:hint="eastAsia" w:ascii="宋体" w:hAnsi="宋体" w:eastAsia="宋体" w:cs="宋体"/>
                <w:b w:val="0"/>
                <w:bCs w:val="0"/>
                <w:i w:val="0"/>
                <w:iCs w:val="0"/>
                <w:color w:val="000000"/>
                <w:kern w:val="0"/>
                <w:sz w:val="21"/>
                <w:szCs w:val="21"/>
                <w:u w:val="none"/>
                <w:lang w:val="en-US" w:eastAsia="zh-CN" w:bidi="ar"/>
              </w:rPr>
              <w:t>一</w:t>
            </w:r>
            <w:r>
              <w:rPr>
                <w:rFonts w:hint="eastAsia" w:ascii="宋体" w:hAnsi="宋体" w:cs="宋体"/>
                <w:b w:val="0"/>
                <w:bCs w:val="0"/>
                <w:i w:val="0"/>
                <w:iCs w:val="0"/>
                <w:color w:val="000000"/>
                <w:kern w:val="0"/>
                <w:sz w:val="21"/>
                <w:szCs w:val="21"/>
                <w:u w:val="none"/>
                <w:lang w:val="en-US" w:eastAsia="zh-CN" w:bidi="ar"/>
              </w:rPr>
              <w:t>）</w:t>
            </w:r>
            <w:r>
              <w:rPr>
                <w:rFonts w:hint="eastAsia" w:ascii="宋体" w:hAnsi="宋体" w:eastAsia="宋体" w:cs="宋体"/>
                <w:b w:val="0"/>
                <w:bCs w:val="0"/>
                <w:i w:val="0"/>
                <w:iCs w:val="0"/>
                <w:color w:val="000000"/>
                <w:kern w:val="0"/>
                <w:sz w:val="21"/>
                <w:szCs w:val="21"/>
                <w:u w:val="none"/>
                <w:lang w:val="en-US" w:eastAsia="zh-CN" w:bidi="ar"/>
              </w:rPr>
              <w:t>倾倒数量累计在五十立方米以下的，处每立方米十元的罚款；</w:t>
            </w:r>
          </w:p>
          <w:p w14:paraId="2D119256">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cs="宋体"/>
                <w:b w:val="0"/>
                <w:bCs w:val="0"/>
                <w:i w:val="0"/>
                <w:iCs w:val="0"/>
                <w:color w:val="000000"/>
                <w:kern w:val="0"/>
                <w:sz w:val="21"/>
                <w:szCs w:val="21"/>
                <w:u w:val="none"/>
                <w:lang w:val="en-US" w:eastAsia="zh-CN" w:bidi="ar"/>
              </w:rPr>
              <w:t>（</w:t>
            </w:r>
            <w:r>
              <w:rPr>
                <w:rFonts w:hint="eastAsia" w:ascii="宋体" w:hAnsi="宋体" w:eastAsia="宋体" w:cs="宋体"/>
                <w:b w:val="0"/>
                <w:bCs w:val="0"/>
                <w:i w:val="0"/>
                <w:iCs w:val="0"/>
                <w:color w:val="000000"/>
                <w:kern w:val="0"/>
                <w:sz w:val="21"/>
                <w:szCs w:val="21"/>
                <w:u w:val="none"/>
                <w:lang w:val="en-US" w:eastAsia="zh-CN" w:bidi="ar"/>
              </w:rPr>
              <w:t>二</w:t>
            </w:r>
            <w:r>
              <w:rPr>
                <w:rFonts w:hint="eastAsia" w:ascii="宋体" w:hAnsi="宋体" w:cs="宋体"/>
                <w:b w:val="0"/>
                <w:bCs w:val="0"/>
                <w:i w:val="0"/>
                <w:iCs w:val="0"/>
                <w:color w:val="000000"/>
                <w:kern w:val="0"/>
                <w:sz w:val="21"/>
                <w:szCs w:val="21"/>
                <w:u w:val="none"/>
                <w:lang w:val="en-US" w:eastAsia="zh-CN" w:bidi="ar"/>
              </w:rPr>
              <w:t>）</w:t>
            </w:r>
            <w:r>
              <w:rPr>
                <w:rFonts w:hint="eastAsia" w:ascii="宋体" w:hAnsi="宋体" w:eastAsia="宋体" w:cs="宋体"/>
                <w:b w:val="0"/>
                <w:bCs w:val="0"/>
                <w:i w:val="0"/>
                <w:iCs w:val="0"/>
                <w:color w:val="000000"/>
                <w:kern w:val="0"/>
                <w:sz w:val="21"/>
                <w:szCs w:val="21"/>
                <w:u w:val="none"/>
                <w:lang w:val="en-US" w:eastAsia="zh-CN" w:bidi="ar"/>
              </w:rPr>
              <w:t>倾倒数量累计在五十立方米以上五百立方米以下的，处每立方米十元以上十五元以下的罚款；</w:t>
            </w:r>
          </w:p>
          <w:p w14:paraId="64F6CB38">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cs="宋体"/>
                <w:b w:val="0"/>
                <w:bCs w:val="0"/>
                <w:i w:val="0"/>
                <w:iCs w:val="0"/>
                <w:color w:val="000000"/>
                <w:kern w:val="0"/>
                <w:sz w:val="21"/>
                <w:szCs w:val="21"/>
                <w:u w:val="none"/>
                <w:lang w:val="en-US" w:eastAsia="zh-CN" w:bidi="ar"/>
              </w:rPr>
              <w:t>（</w:t>
            </w:r>
            <w:r>
              <w:rPr>
                <w:rFonts w:hint="eastAsia" w:ascii="宋体" w:hAnsi="宋体" w:eastAsia="宋体" w:cs="宋体"/>
                <w:b w:val="0"/>
                <w:bCs w:val="0"/>
                <w:i w:val="0"/>
                <w:iCs w:val="0"/>
                <w:color w:val="000000"/>
                <w:kern w:val="0"/>
                <w:sz w:val="21"/>
                <w:szCs w:val="21"/>
                <w:u w:val="none"/>
                <w:lang w:val="en-US" w:eastAsia="zh-CN" w:bidi="ar"/>
              </w:rPr>
              <w:t>三</w:t>
            </w:r>
            <w:r>
              <w:rPr>
                <w:rFonts w:hint="eastAsia" w:ascii="宋体" w:hAnsi="宋体" w:cs="宋体"/>
                <w:b w:val="0"/>
                <w:bCs w:val="0"/>
                <w:i w:val="0"/>
                <w:iCs w:val="0"/>
                <w:color w:val="000000"/>
                <w:kern w:val="0"/>
                <w:sz w:val="21"/>
                <w:szCs w:val="21"/>
                <w:u w:val="none"/>
                <w:lang w:val="en-US" w:eastAsia="zh-CN" w:bidi="ar"/>
              </w:rPr>
              <w:t>）</w:t>
            </w:r>
            <w:r>
              <w:rPr>
                <w:rFonts w:hint="eastAsia" w:ascii="宋体" w:hAnsi="宋体" w:eastAsia="宋体" w:cs="宋体"/>
                <w:b w:val="0"/>
                <w:bCs w:val="0"/>
                <w:i w:val="0"/>
                <w:iCs w:val="0"/>
                <w:color w:val="000000"/>
                <w:kern w:val="0"/>
                <w:sz w:val="21"/>
                <w:szCs w:val="21"/>
                <w:u w:val="none"/>
                <w:lang w:val="en-US" w:eastAsia="zh-CN" w:bidi="ar"/>
              </w:rPr>
              <w:t>倾倒数量累计在五百立方米以上的，处每立方米十五元以上二十元以下的罚款。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277A">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1.初次违法；2.按水行政主管部门要求停止违法行为；3.在规定期限内完成清理。 </w:t>
            </w:r>
          </w:p>
        </w:tc>
      </w:tr>
      <w:tr w14:paraId="49809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7E5FD">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12</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7404DF76">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对违反水资源管理有关规定的处罚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19420">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《取水许可和水资源费征收管理条例》第五十一条　拒不执行审批机关作出的取水量限制决定，或者未经批准擅自转让取水权的，责令停止违法行为，限期改正，处2万元以上10万元以下罚款；逾期拒不改正或者情节严重的，吊销取水许可证。</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33DBC">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1.初次违法；2.按水行政主管部门要求停止违法行为；3.在规定期限内改正。 </w:t>
            </w:r>
          </w:p>
        </w:tc>
      </w:tr>
      <w:tr w14:paraId="67821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EF19C">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13</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526B3970">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对违反水资源管理有关规定的处罚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CF736">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《取水许可和水资源费征收管理条例》第五十二条　有下列行为之一的，责令停止违法行为，限期改正，处5000元以上2万元以下罚款；情节严重的，吊销取水许可证：</w:t>
            </w:r>
          </w:p>
          <w:p w14:paraId="2B951F37">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　　（一）不按照规定报送年度取水情况的；</w:t>
            </w:r>
          </w:p>
          <w:p w14:paraId="38947C4E">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　　（二）拒绝接受监督检查或者弄虚作假的；</w:t>
            </w:r>
          </w:p>
          <w:p w14:paraId="1407E7F1">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（三）退水水质达不到规定要求的。</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58254">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1.初次违法；2.按水行政主管部门要求停止违法行为；3.在规定期限内完成改正。 </w:t>
            </w:r>
          </w:p>
        </w:tc>
      </w:tr>
      <w:tr w14:paraId="4CB5E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B2016">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14</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3C422E48">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对违反水资源管理有关规定的处罚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E56AB">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《取水许可和水资源费征收管理条例》第五十三条第一款　未安装计量设施的，责令限期安装，并按照日最大取水能力计算的取水量和水资源费征收标准计征水资源费，处5000元以上2万元以下罚款；情节严重的，吊销取水许可证。</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71003">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1.初次违法；2.在水行政主管部门规定期限内完成安装计量设施；3.补缴水资源费。</w:t>
            </w:r>
          </w:p>
        </w:tc>
      </w:tr>
      <w:tr w14:paraId="71478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8F232">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15</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2BC993E3">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对违反水资源管理有关规定的处罚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5622C">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《江西省水资源条例》第五十九条第一款 违反本条例规定，未安装取水计量设施，或者擅自拆除取水计量设施的，由县级以上人民政府水行政主管部门责令限期安装，按照日最大取水能力计算的取水量和水资源费征收标准征收水资源费，并处五千元以上二万元以下罚款；情节严重的，吊销取水许可证。</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BE4C1">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1.初次违法；2.在水行政主管部门规定期限内安装计量设施；3.补缴水资源费。 </w:t>
            </w:r>
          </w:p>
        </w:tc>
      </w:tr>
      <w:tr w14:paraId="63416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2BB2C">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16</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67E72667">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对违反水资源管理有关规定的处罚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738B1">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《江西省水资源条例》第六十一条 违反本条例规定，未经水行政主管部门审查同意，擅自在江河、湖泊新建、改建或者扩大排污口的，由县级以上人民政府水行政主管部门依据职权，责令限期拆除、恢复原状，处五万元以上十万元以下罚款；逾期不拆除、不恢复原状的，强制拆除，所需费用由违法者承担，处十万元以上五十万元以下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DEC40">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1.初次违法；2.在水行政主管部门规定期限内拆除、恢复原状。 </w:t>
            </w:r>
          </w:p>
        </w:tc>
      </w:tr>
      <w:tr w14:paraId="39ACC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FB362">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17</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269E3B6E">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对违反水资源管理有关规定的处罚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02678">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《江西省湖泊保护条例》第四十四条 违反本条例规定，损毁、涂改、擅自移动、破坏湖泊保护标志的，由县级以上人民政府湖泊保护主管部门责令停止违法行为，限期恢复原状，并处一千元以上五千元以下罚款。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BE1A8">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1.初次违法；2.按水行政主管部门要求停止违法行为；3.在规定期限内恢复原状。 </w:t>
            </w:r>
          </w:p>
        </w:tc>
      </w:tr>
      <w:tr w14:paraId="19D51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8EA9D">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18</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15B10F8A">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对违反水资源管理有关规定的处罚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E6ECF">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《江西省取水许可和水资源费征收管理办法》第二十六条　违反本办法第十四条规定，不按照规定报送年度取水情况的，由水行政主管部门责令限期改正，处5000元以上2万元以下罚款；情节严重的，吊销取水许可证。</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4B8C3">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1.初次违法；2.在水行政主管部门规定期限内改正；3.情节严重情形不适用。</w:t>
            </w:r>
          </w:p>
        </w:tc>
      </w:tr>
      <w:tr w14:paraId="3253F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51E30">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19</w:t>
            </w:r>
          </w:p>
        </w:tc>
        <w:tc>
          <w:tcPr>
            <w:tcW w:w="3460" w:type="dxa"/>
            <w:tcBorders>
              <w:top w:val="nil"/>
              <w:left w:val="single" w:color="000000" w:sz="4" w:space="0"/>
              <w:bottom w:val="single" w:color="000000" w:sz="4" w:space="0"/>
              <w:right w:val="single" w:color="000000" w:sz="4" w:space="0"/>
            </w:tcBorders>
            <w:shd w:val="clear" w:color="auto" w:fill="FFFFFF"/>
            <w:vAlign w:val="center"/>
          </w:tcPr>
          <w:p w14:paraId="75EBEA84">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对违反水资源管理有关规定的处罚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BF729">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《江西省农村供水条例》第四十二条 有下列行为之一的，由县级以上人民政府水行政主管部门责令停止违法行为，采取补救措施，并按下列规定处罚：</w:t>
            </w:r>
          </w:p>
          <w:p w14:paraId="5916DD13">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（一）损坏农村供水工程供水设施或者危害供水设施安全的，处一万元以上五万元以下的罚款。</w:t>
            </w:r>
          </w:p>
          <w:p w14:paraId="47140620">
            <w:pPr>
              <w:keepNext w:val="0"/>
              <w:keepLines w:val="0"/>
              <w:widowControl/>
              <w:suppressLineNumbers w:val="0"/>
              <w:jc w:val="left"/>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（二）产生或者使用有毒有害物质的单位将其生产用水管网与农村供水管网直接连接的，处三万元以上十万元以下的罚款；造成损失的，依法赔偿。</w:t>
            </w:r>
          </w:p>
          <w:p w14:paraId="2C4AEE2D">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（三）用水户在集中式供水工程公共管网上直接装泵抽水或者安装影响正常供水的其他设施的，处一万元以上五万元以下的罚款。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30A95">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1.初次违法；2.按水行政主管部门要求停止违法行为；3.在规定期限内采取补救措施。 </w:t>
            </w:r>
          </w:p>
        </w:tc>
      </w:tr>
      <w:tr w14:paraId="41F72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78792">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20</w:t>
            </w:r>
          </w:p>
        </w:tc>
        <w:tc>
          <w:tcPr>
            <w:tcW w:w="3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1E68">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对违反抗旱管理有关规定的处罚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DA0DB">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《中华人民共和国抗旱条例》第六十条　违反本条例规定，水库、水电站、拦河闸坝等工程的管理单位以及其他经营工程设施的经营者拒不服从统一调度和指挥的，由县级以上人民政府水行政主管部门或者流域管理机构责令改正，给予警告；拒不改正的，强制执行，处1万元以上5万元以下的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99EA4">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1.初次违法；2.在水行政主管部门规定期限内改正。</w:t>
            </w:r>
          </w:p>
        </w:tc>
      </w:tr>
      <w:tr w14:paraId="5E8C5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5D902">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21</w:t>
            </w:r>
          </w:p>
        </w:tc>
        <w:tc>
          <w:tcPr>
            <w:tcW w:w="3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9774D">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对违反抗旱管理有关规定的处罚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37919">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《中华人民共和国抗旱条例》第六十一条　违反本条例规定，侵占、破坏水源和抗旱设施的，由县级以上人民政府水行政主管部门或者流域管理机构责令停止违法行为，采取补救措施，处1万元以上5万元以下的罚款；造成损坏的，依法承担民事责任；构成违反治安管理行为的，依照《中华人民共和国治安管理处罚法》的规定处罚；构成犯罪的，依法追究刑事责任。</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E8760">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1.初次违法；2.按水行政主管部门要求停止违法行为；3.在规定期限内采取补救措施。 </w:t>
            </w:r>
          </w:p>
        </w:tc>
      </w:tr>
      <w:tr w14:paraId="3CF62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30093">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22</w:t>
            </w:r>
          </w:p>
        </w:tc>
        <w:tc>
          <w:tcPr>
            <w:tcW w:w="3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7D17D">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对违反抗旱管理有关规定的处罚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DF25C">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《中华人民共和国抗旱条例》第六十二条　违反本条例规定，抢水、非法引水、截水或者哄抢抗旱物资的，由县级以上人民政府水行政主管部门或者流域管理机构责令停止违法行为，予以警告；构成违反治安管理行为的，依照《中华人民共和国治安管理处罚法》的规定处罚；构成犯罪的，依法追究刑事责任。</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0E672">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 </w:t>
            </w:r>
          </w:p>
        </w:tc>
      </w:tr>
      <w:tr w14:paraId="56054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85555">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23</w:t>
            </w:r>
          </w:p>
        </w:tc>
        <w:tc>
          <w:tcPr>
            <w:tcW w:w="3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5E4B">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对违反抗旱管理有关规定的处罚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F1916">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《江西省抗旱条例》第四十五条  违反本条例规定，侵占、破坏水源和抗旱设施的，由县级以上人民政府水行政主管部门责令停止违法行为，采取补救措施，处一万元以上三万元以下罚款；情节严重的，处三万元以上五万元以下罚款；造成损坏的，依法承担民事责任；构成违反治安管理行为的，依照《中华人民共和国治安管理处罚法》的规定处罚；构成犯罪的，依法追究刑事责任。</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C5552">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1.初次违法；2.按水行政主管部门要求停止违法行为；3.在规定期限内采取补救措施；4.情节严重情形不适用</w:t>
            </w:r>
          </w:p>
        </w:tc>
      </w:tr>
      <w:tr w14:paraId="5EB53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D110F">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24</w:t>
            </w:r>
          </w:p>
        </w:tc>
        <w:tc>
          <w:tcPr>
            <w:tcW w:w="3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965E6">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对违反抗旱管理有关规定的处罚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99928">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《江西省抗旱条例》第四十六条  违反本条例规定，水库、水电站、拦河闸坝等水工程的管理单位以及其他水工程设施的经营者拒不服从统一调度和指挥的，由县级以上人民政府水行政主管部门责令改正，给予警告；拒不改正的，强制执行，处一万元以上三万元以下罚款；情节严重的，处三万元以上五万元以下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BE9BB">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1.初次违法；2.在水行政主管部门规定期限内改正。 </w:t>
            </w:r>
          </w:p>
        </w:tc>
      </w:tr>
      <w:tr w14:paraId="2A305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A5B9F">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25</w:t>
            </w:r>
          </w:p>
        </w:tc>
        <w:tc>
          <w:tcPr>
            <w:tcW w:w="3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C9526">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对违反水利工程建设与管理的处罚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7B241">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《江西省水利工程条例》第三十一条 违反本条例第十条规定，未经验收或者验收不合格，擅自将水利工程投入使用的，由县级以上人民政府水行政主管部门责令停止使用，限期改正，处一万元以上五万元以下罚款。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6C626">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1.初次违法；2.按水行政主管部门要求停止违法行为；3.在规定期限内采取补救措施。 </w:t>
            </w:r>
          </w:p>
        </w:tc>
      </w:tr>
      <w:tr w14:paraId="7FA68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B06AC">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26</w:t>
            </w:r>
          </w:p>
        </w:tc>
        <w:tc>
          <w:tcPr>
            <w:tcW w:w="3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1BDFA">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对违反水利工程建设与管理的处罚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4C746">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《江西省水利工程条例》第三十四条 违反本条例第二十条规定，擅自改变水利工程原设计主要功能的，由县级以上人民政府水行政主管部门责令限期改正，处一万元以上三万元以下罚款。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1207C">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1.初次违法；2.在水行政主管部门规定期限内采取补救措施。 </w:t>
            </w:r>
          </w:p>
        </w:tc>
      </w:tr>
      <w:tr w14:paraId="3F71C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CBE55">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27</w:t>
            </w:r>
          </w:p>
        </w:tc>
        <w:tc>
          <w:tcPr>
            <w:tcW w:w="3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BF0B2">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对违反水利工程建设与管理的处罚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17A6F">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《江西省水利工程条例》第三十五条 违反本条例第二十五条规定，擅自移动和破坏水利工程标志的，由县级以上人民政府水行政主管部门责令停止违法行为，恢复原状，处二百元以上一千元以下罚款。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42A6">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1.初次违法；2.按水行政主管部门要求停止违法行为；3.在规定期限内恢复原状。 </w:t>
            </w:r>
          </w:p>
        </w:tc>
      </w:tr>
      <w:tr w14:paraId="22B1F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A632A">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28</w:t>
            </w:r>
          </w:p>
        </w:tc>
        <w:tc>
          <w:tcPr>
            <w:tcW w:w="3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9C78C">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对违反水利工程建设与管理的处罚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06608">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《江西省水利工程条例》第三十七条 违反本条例第二十八条第一款规定，机动车辆在堤顶、坝顶及水闸工作桥上通行的，由县级以上人民政府水行政主管部门责令其停止违法行为，处一百元以上五百元以下罚款。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E8508">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 </w:t>
            </w:r>
          </w:p>
        </w:tc>
      </w:tr>
      <w:tr w14:paraId="1CEDB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7C714">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29</w:t>
            </w:r>
          </w:p>
        </w:tc>
        <w:tc>
          <w:tcPr>
            <w:tcW w:w="3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4AF2F">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对违反水利工程建设与管理的处罚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D6C79">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《江西省水利工程条例》第三十八条第一款 违反本条例第二十九条第一款第一项、第二项、第五项和第二款规定的，由县级以上人民政府水行政主管部门责令停止违法行为，采取补救措施，处一万元以上五万元以下罚款。                                                                                  </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A906A">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1.初次违法；2.按水行政主管部门要求停止违法行为；3.在规定期限内采取补救措施。 </w:t>
            </w:r>
          </w:p>
        </w:tc>
      </w:tr>
      <w:tr w14:paraId="05C9B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370CA">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30</w:t>
            </w:r>
          </w:p>
        </w:tc>
        <w:tc>
          <w:tcPr>
            <w:tcW w:w="3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E9BF">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对违反水利工程建设与管理的处罚</w:t>
            </w:r>
          </w:p>
        </w:tc>
        <w:tc>
          <w:tcPr>
            <w:tcW w:w="62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2F14B">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《江西省水利工程条例》第三十八条第二款  违反本条例第二十九条第一款第三项、第四项规定的，由县级以上人民政府水行政主管部门责令停止违法行为，采取补救措施，处五万元以上十万元以下罚款；有违法所得的，没收违法所得。</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CD0BA">
            <w:pPr>
              <w:keepNext w:val="0"/>
              <w:keepLines w:val="0"/>
              <w:widowControl/>
              <w:suppressLineNumbers w:val="0"/>
              <w:jc w:val="left"/>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 xml:space="preserve">1.初次违法且无违法所得；2.按水行政主管部门要求停止违法行为；3.在规定期限内采取补救措施。 </w:t>
            </w:r>
          </w:p>
        </w:tc>
      </w:tr>
    </w:tbl>
    <w:p w14:paraId="776611EC">
      <w:pPr>
        <w:pStyle w:val="14"/>
        <w:rPr>
          <w:rFonts w:hint="eastAsia" w:ascii="宋体" w:hAnsi="宋体" w:eastAsia="宋体" w:cs="宋体"/>
          <w:sz w:val="21"/>
          <w:szCs w:val="21"/>
          <w:lang w:eastAsia="zh-CN"/>
        </w:rPr>
      </w:pPr>
    </w:p>
    <w:p w14:paraId="6AEF2BBC">
      <w:pPr>
        <w:widowControl/>
        <w:textAlignment w:val="center"/>
        <w:rPr>
          <w:rFonts w:hint="eastAsia" w:ascii="黑体" w:hAnsi="黑体" w:eastAsia="黑体" w:cs="黑体"/>
          <w:spacing w:val="-11"/>
          <w:kern w:val="0"/>
          <w:sz w:val="32"/>
          <w:szCs w:val="32"/>
          <w:lang w:bidi="ar"/>
        </w:rPr>
      </w:pPr>
      <w:r>
        <w:rPr>
          <w:rFonts w:hint="eastAsia" w:ascii="黑体" w:hAnsi="黑体" w:eastAsia="黑体" w:cs="黑体"/>
          <w:spacing w:val="-11"/>
          <w:kern w:val="0"/>
          <w:sz w:val="32"/>
          <w:szCs w:val="32"/>
          <w:lang w:eastAsia="zh-CN" w:bidi="ar"/>
        </w:rPr>
        <w:t>八</w:t>
      </w:r>
      <w:r>
        <w:rPr>
          <w:rFonts w:hint="eastAsia" w:ascii="黑体" w:hAnsi="黑体" w:eastAsia="黑体" w:cs="黑体"/>
          <w:spacing w:val="-11"/>
          <w:kern w:val="0"/>
          <w:sz w:val="32"/>
          <w:szCs w:val="32"/>
          <w:lang w:bidi="ar"/>
        </w:rPr>
        <w:t>、新余市</w:t>
      </w:r>
      <w:r>
        <w:rPr>
          <w:rFonts w:hint="eastAsia" w:ascii="黑体" w:hAnsi="黑体" w:eastAsia="黑体" w:cs="黑体"/>
          <w:spacing w:val="-11"/>
          <w:kern w:val="0"/>
          <w:sz w:val="32"/>
          <w:szCs w:val="32"/>
          <w:lang w:eastAsia="zh-CN" w:bidi="ar"/>
        </w:rPr>
        <w:t>林业</w:t>
      </w:r>
      <w:r>
        <w:rPr>
          <w:rFonts w:hint="eastAsia" w:ascii="黑体" w:hAnsi="黑体" w:eastAsia="黑体" w:cs="黑体"/>
          <w:spacing w:val="-11"/>
          <w:kern w:val="0"/>
          <w:sz w:val="32"/>
          <w:szCs w:val="32"/>
          <w:lang w:bidi="ar"/>
        </w:rPr>
        <w:t>领域轻微违法行为不予处罚清单</w:t>
      </w:r>
    </w:p>
    <w:tbl>
      <w:tblPr>
        <w:tblStyle w:val="9"/>
        <w:tblW w:w="1358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2"/>
        <w:gridCol w:w="1965"/>
        <w:gridCol w:w="3255"/>
        <w:gridCol w:w="7575"/>
      </w:tblGrid>
      <w:tr w14:paraId="257E3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5" w:hRule="atLeast"/>
        </w:trPr>
        <w:tc>
          <w:tcPr>
            <w:tcW w:w="7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14368">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val="en-US" w:eastAsia="zh-CN" w:bidi="ar"/>
              </w:rPr>
              <w:t>序号</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29CCB">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val="en-US" w:eastAsia="zh-CN" w:bidi="ar"/>
              </w:rPr>
              <w:t>违法行为</w:t>
            </w: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67969">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val="en-US" w:eastAsia="zh-CN" w:bidi="ar"/>
              </w:rPr>
              <w:t>不予处罚条件（同时满足）</w:t>
            </w:r>
          </w:p>
        </w:tc>
        <w:tc>
          <w:tcPr>
            <w:tcW w:w="7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DCA60">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val="en-US" w:eastAsia="zh-CN" w:bidi="ar"/>
              </w:rPr>
              <w:t>法律依据</w:t>
            </w:r>
          </w:p>
        </w:tc>
      </w:tr>
      <w:tr w14:paraId="0EC7E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0" w:hRule="atLeast"/>
        </w:trPr>
        <w:tc>
          <w:tcPr>
            <w:tcW w:w="7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73FCA">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val="en-US" w:eastAsia="zh-CN" w:bidi="ar"/>
              </w:rPr>
              <w:t>1</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33360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val="en-US" w:eastAsia="zh-CN" w:bidi="ar"/>
              </w:rPr>
              <w:t>木材经营企业未按规定建立台账</w:t>
            </w:r>
          </w:p>
        </w:tc>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694575">
            <w:pPr>
              <w:widowControl/>
              <w:spacing w:line="320" w:lineRule="exact"/>
              <w:textAlignment w:val="center"/>
              <w:rPr>
                <w:rFonts w:hint="eastAsia" w:ascii="宋体" w:hAnsi="宋体" w:cs="宋体"/>
                <w:spacing w:val="-11"/>
                <w:kern w:val="0"/>
                <w:szCs w:val="21"/>
                <w:lang w:val="en-US" w:eastAsia="zh-CN" w:bidi="ar"/>
              </w:rPr>
            </w:pPr>
            <w:r>
              <w:rPr>
                <w:rFonts w:hint="eastAsia" w:ascii="宋体" w:hAnsi="宋体" w:cs="宋体"/>
                <w:spacing w:val="-11"/>
                <w:kern w:val="0"/>
                <w:szCs w:val="21"/>
                <w:lang w:val="en-US" w:eastAsia="zh-CN" w:bidi="ar"/>
              </w:rPr>
              <w:t>1、初次违法</w:t>
            </w:r>
          </w:p>
          <w:p w14:paraId="5070C6EB">
            <w:pPr>
              <w:widowControl/>
              <w:spacing w:line="320" w:lineRule="exact"/>
              <w:textAlignment w:val="center"/>
              <w:rPr>
                <w:rFonts w:hint="eastAsia" w:ascii="宋体" w:hAnsi="宋体" w:cs="宋体"/>
                <w:spacing w:val="-11"/>
                <w:kern w:val="0"/>
                <w:szCs w:val="21"/>
                <w:lang w:val="en-US" w:eastAsia="zh-CN" w:bidi="ar"/>
              </w:rPr>
            </w:pPr>
            <w:r>
              <w:rPr>
                <w:rFonts w:hint="eastAsia" w:ascii="宋体" w:hAnsi="宋体" w:cs="宋体"/>
                <w:spacing w:val="-11"/>
                <w:kern w:val="0"/>
                <w:szCs w:val="21"/>
                <w:lang w:val="en-US" w:eastAsia="zh-CN" w:bidi="ar"/>
              </w:rPr>
              <w:t>2、危害后果轻微</w:t>
            </w:r>
          </w:p>
          <w:p w14:paraId="6819DB2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val="en-US" w:eastAsia="zh-CN" w:bidi="ar"/>
              </w:rPr>
              <w:t>3、自行改正或经批评教育改正</w:t>
            </w: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47BDB">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val="en-US" w:eastAsia="zh-CN" w:bidi="ar"/>
              </w:rPr>
              <w:t>《江西省森林条例》第六十条：违反本条例规定，木材经营企业没有建立原材料收购台账和产成品销售台账的，由县级以上人民政府林业主管部门责令改正；拒不改正的，可以处二千元以上一万元以下的罚款。</w:t>
            </w:r>
          </w:p>
        </w:tc>
      </w:tr>
      <w:tr w14:paraId="1E277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0" w:hRule="atLeast"/>
        </w:trPr>
        <w:tc>
          <w:tcPr>
            <w:tcW w:w="7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19059">
            <w:pPr>
              <w:jc w:val="center"/>
              <w:rPr>
                <w:rFonts w:hint="eastAsia" w:ascii="宋体" w:hAnsi="宋体" w:eastAsia="宋体" w:cs="宋体"/>
                <w:spacing w:val="-11"/>
                <w:kern w:val="0"/>
                <w:sz w:val="21"/>
                <w:szCs w:val="21"/>
                <w:lang w:val="en-US" w:eastAsia="zh-CN" w:bidi="ar"/>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E38400">
            <w:pPr>
              <w:jc w:val="left"/>
              <w:rPr>
                <w:rFonts w:hint="eastAsia" w:ascii="宋体" w:hAnsi="宋体" w:eastAsia="宋体" w:cs="宋体"/>
                <w:spacing w:val="-11"/>
                <w:kern w:val="0"/>
                <w:sz w:val="21"/>
                <w:szCs w:val="21"/>
                <w:lang w:val="en-US" w:eastAsia="zh-CN" w:bidi="ar"/>
              </w:rPr>
            </w:pPr>
          </w:p>
        </w:tc>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587A6">
            <w:pPr>
              <w:jc w:val="left"/>
              <w:rPr>
                <w:rFonts w:hint="eastAsia" w:ascii="宋体" w:hAnsi="宋体" w:eastAsia="宋体" w:cs="宋体"/>
                <w:spacing w:val="-11"/>
                <w:kern w:val="0"/>
                <w:sz w:val="21"/>
                <w:szCs w:val="21"/>
                <w:lang w:val="en-US" w:eastAsia="zh-CN" w:bidi="ar"/>
              </w:rPr>
            </w:pP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D24C5">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违法行为轻微并及时改正，没有造成危害后果的，不予行政处罚。初次违法且危害后果轻微并及时改正的，可以不予行政处罚。当事人有证据足以证明没有主观过错的，不予行政处罚。法律、行政法规另有规定的，从其规定。”</w:t>
            </w:r>
          </w:p>
        </w:tc>
      </w:tr>
      <w:tr w14:paraId="0D825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7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A1C1B">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BB41DE">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破坏或者擅自移动湿地自然保护区以外的重要湿地保护界标</w:t>
            </w:r>
          </w:p>
        </w:tc>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F8B729">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1、初次违法</w:t>
            </w:r>
          </w:p>
          <w:p w14:paraId="0806C3E9">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2、危害后果轻微</w:t>
            </w:r>
          </w:p>
          <w:p w14:paraId="04C1B70A">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3、自行改正或经批评教育改正恢复原状</w:t>
            </w: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0ABA4">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《江西省湿地保护条例》第四十五条：违反本条例第二十四条第二款规定，破坏或者擅自移动湿地自然保护区界标的，由湿地自然保护区管理机构责令限期恢复原状，并处一千元以上五千元以下罚款</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破坏或者擅自移动其他重要湿地保护界标的，由县级以上人民政府林业主管部门责令限期恢复原状，并处一千元以上五千元以下罚款。</w:t>
            </w:r>
          </w:p>
        </w:tc>
      </w:tr>
      <w:tr w14:paraId="015F9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0FAFC">
            <w:pPr>
              <w:jc w:val="center"/>
              <w:rPr>
                <w:rFonts w:hint="eastAsia" w:ascii="宋体" w:hAnsi="宋体" w:eastAsia="宋体" w:cs="宋体"/>
                <w:spacing w:val="-11"/>
                <w:kern w:val="0"/>
                <w:sz w:val="21"/>
                <w:szCs w:val="21"/>
                <w:lang w:val="en-US" w:eastAsia="zh-CN" w:bidi="ar"/>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013386">
            <w:pPr>
              <w:jc w:val="left"/>
              <w:rPr>
                <w:rFonts w:hint="eastAsia" w:ascii="宋体" w:hAnsi="宋体" w:eastAsia="宋体" w:cs="宋体"/>
                <w:spacing w:val="-11"/>
                <w:kern w:val="0"/>
                <w:sz w:val="21"/>
                <w:szCs w:val="21"/>
                <w:lang w:val="en-US" w:eastAsia="zh-CN" w:bidi="ar"/>
              </w:rPr>
            </w:pPr>
          </w:p>
        </w:tc>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FC3FA9">
            <w:pPr>
              <w:jc w:val="left"/>
              <w:rPr>
                <w:rFonts w:hint="eastAsia" w:ascii="宋体" w:hAnsi="宋体" w:eastAsia="宋体" w:cs="宋体"/>
                <w:spacing w:val="-11"/>
                <w:kern w:val="0"/>
                <w:sz w:val="21"/>
                <w:szCs w:val="21"/>
                <w:lang w:val="en-US" w:eastAsia="zh-CN" w:bidi="ar"/>
              </w:rPr>
            </w:pP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502DB">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w:t>
            </w:r>
          </w:p>
        </w:tc>
      </w:tr>
      <w:tr w14:paraId="566A1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5" w:hRule="atLeast"/>
        </w:trPr>
        <w:tc>
          <w:tcPr>
            <w:tcW w:w="7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D872C">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C0D822">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擅自移动或者破坏自然保护区界标</w:t>
            </w:r>
          </w:p>
        </w:tc>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27A7C1">
            <w:pPr>
              <w:widowControl/>
              <w:spacing w:line="320" w:lineRule="exact"/>
              <w:textAlignment w:val="center"/>
              <w:rPr>
                <w:rFonts w:hint="eastAsia" w:ascii="宋体" w:hAnsi="宋体" w:eastAsia="宋体" w:cs="宋体"/>
                <w:spacing w:val="-11"/>
                <w:kern w:val="0"/>
                <w:sz w:val="21"/>
                <w:szCs w:val="21"/>
                <w:lang w:val="en-US" w:eastAsia="zh-CN" w:bidi="ar"/>
              </w:rPr>
            </w:pPr>
          </w:p>
          <w:p w14:paraId="10B713D6">
            <w:pPr>
              <w:pStyle w:val="2"/>
              <w:rPr>
                <w:rFonts w:hint="eastAsia"/>
                <w:lang w:val="en-US" w:eastAsia="zh-CN"/>
              </w:rPr>
            </w:pPr>
          </w:p>
          <w:p w14:paraId="453D94CC">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1、初次违法</w:t>
            </w:r>
          </w:p>
          <w:p w14:paraId="3AAD4B65">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2、没有造成危害后果</w:t>
            </w:r>
          </w:p>
          <w:p w14:paraId="17ACD69B">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3、自行改正或经批评教育改正恢复原状</w:t>
            </w: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7BE1A">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《中华人民共和国自然保护区条例》第三十四条第（一）项：违反本条例规定，有下列行为之一的单位和个人，由自然保护区管理机构责令其改正，并可以根据不同情节处以100元以上5000元以下的罚款：（一） 擅自移动或者破坏自然保护区界标的。</w:t>
            </w:r>
          </w:p>
        </w:tc>
      </w:tr>
      <w:tr w14:paraId="62F16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0" w:hRule="atLeast"/>
        </w:trPr>
        <w:tc>
          <w:tcPr>
            <w:tcW w:w="7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A8161">
            <w:pPr>
              <w:jc w:val="center"/>
              <w:rPr>
                <w:rFonts w:hint="eastAsia" w:ascii="宋体" w:hAnsi="宋体" w:eastAsia="宋体" w:cs="宋体"/>
                <w:spacing w:val="-11"/>
                <w:kern w:val="0"/>
                <w:sz w:val="21"/>
                <w:szCs w:val="21"/>
                <w:lang w:val="en-US" w:eastAsia="zh-CN" w:bidi="ar"/>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09F437">
            <w:pPr>
              <w:jc w:val="left"/>
              <w:rPr>
                <w:rFonts w:hint="eastAsia" w:ascii="宋体" w:hAnsi="宋体" w:eastAsia="宋体" w:cs="宋体"/>
                <w:spacing w:val="-11"/>
                <w:kern w:val="0"/>
                <w:sz w:val="21"/>
                <w:szCs w:val="21"/>
                <w:lang w:val="en-US" w:eastAsia="zh-CN" w:bidi="ar"/>
              </w:rPr>
            </w:pPr>
          </w:p>
        </w:tc>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F8A986">
            <w:pPr>
              <w:jc w:val="left"/>
              <w:rPr>
                <w:rFonts w:hint="eastAsia" w:ascii="宋体" w:hAnsi="宋体" w:eastAsia="宋体" w:cs="宋体"/>
                <w:spacing w:val="-11"/>
                <w:kern w:val="0"/>
                <w:sz w:val="21"/>
                <w:szCs w:val="21"/>
                <w:lang w:val="en-US" w:eastAsia="zh-CN" w:bidi="ar"/>
              </w:rPr>
            </w:pP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6528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《江西省湿地保护条例》第四十五条：违反本条例第二十四条第二款规定，破坏或者擅自移动湿地自然保护区界标的，由湿地自然保护区管理机构责令限期恢复原状，并处一千元以上五千元以下罚款</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破坏或者擅自移动其他重要湿地保护界标的，由县级以上人民政府林业主管部门责令限期恢复原状，并处一千元以上五千元以下罚款。</w:t>
            </w:r>
          </w:p>
        </w:tc>
      </w:tr>
      <w:tr w14:paraId="32EF3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53654">
            <w:pPr>
              <w:jc w:val="center"/>
              <w:rPr>
                <w:rFonts w:hint="eastAsia" w:ascii="宋体" w:hAnsi="宋体" w:eastAsia="宋体" w:cs="宋体"/>
                <w:spacing w:val="-11"/>
                <w:kern w:val="0"/>
                <w:sz w:val="21"/>
                <w:szCs w:val="21"/>
                <w:lang w:val="en-US" w:eastAsia="zh-CN" w:bidi="ar"/>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4357B">
            <w:pPr>
              <w:jc w:val="left"/>
              <w:rPr>
                <w:rFonts w:hint="eastAsia" w:ascii="宋体" w:hAnsi="宋体" w:eastAsia="宋体" w:cs="宋体"/>
                <w:spacing w:val="-11"/>
                <w:kern w:val="0"/>
                <w:sz w:val="21"/>
                <w:szCs w:val="21"/>
                <w:lang w:val="en-US" w:eastAsia="zh-CN" w:bidi="ar"/>
              </w:rPr>
            </w:pPr>
          </w:p>
        </w:tc>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53ABD0">
            <w:pPr>
              <w:jc w:val="left"/>
              <w:rPr>
                <w:rFonts w:hint="eastAsia" w:ascii="宋体" w:hAnsi="宋体" w:eastAsia="宋体" w:cs="宋体"/>
                <w:spacing w:val="-11"/>
                <w:kern w:val="0"/>
                <w:sz w:val="21"/>
                <w:szCs w:val="21"/>
                <w:lang w:val="en-US" w:eastAsia="zh-CN" w:bidi="ar"/>
              </w:rPr>
            </w:pP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8864D">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w:t>
            </w:r>
          </w:p>
        </w:tc>
      </w:tr>
      <w:tr w14:paraId="042A8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trPr>
        <w:tc>
          <w:tcPr>
            <w:tcW w:w="7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0B6BF">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4</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14F20B">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在江西武夷山、马头山、九连山、官山、九岭山保护区内擅自移动或者破坏保护管理设施</w:t>
            </w:r>
          </w:p>
        </w:tc>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C38DF9">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1、初次违法</w:t>
            </w:r>
          </w:p>
          <w:p w14:paraId="76EAF10A">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2、没有造成危害后果</w:t>
            </w:r>
          </w:p>
          <w:p w14:paraId="4CE38C02">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3、自行改正或经批评教育改正恢复原状</w:t>
            </w: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C7348">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江西武夷山国家级自然保护区条例》第三十九条：违反本条例规定，有下列行为之一的，由江西武夷山保护区管理机构责令改正，并处三百元以上一千元以下罚款，情节严重的处一千元以上五千元以下罚款：…（四）擅自移动或者破坏保护管理设施的。</w:t>
            </w:r>
          </w:p>
        </w:tc>
      </w:tr>
      <w:tr w14:paraId="2F4F2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7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5C70B">
            <w:pPr>
              <w:jc w:val="center"/>
              <w:rPr>
                <w:rFonts w:hint="eastAsia" w:ascii="宋体" w:hAnsi="宋体" w:eastAsia="宋体" w:cs="宋体"/>
                <w:spacing w:val="-11"/>
                <w:kern w:val="0"/>
                <w:sz w:val="21"/>
                <w:szCs w:val="21"/>
                <w:lang w:val="en-US" w:eastAsia="zh-CN" w:bidi="ar"/>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E69309">
            <w:pPr>
              <w:jc w:val="left"/>
              <w:rPr>
                <w:rFonts w:hint="eastAsia" w:ascii="宋体" w:hAnsi="宋体" w:eastAsia="宋体" w:cs="宋体"/>
                <w:spacing w:val="-11"/>
                <w:kern w:val="0"/>
                <w:sz w:val="21"/>
                <w:szCs w:val="21"/>
                <w:lang w:val="en-US" w:eastAsia="zh-CN" w:bidi="ar"/>
              </w:rPr>
            </w:pPr>
          </w:p>
        </w:tc>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9CECE3">
            <w:pPr>
              <w:jc w:val="left"/>
              <w:rPr>
                <w:rFonts w:hint="eastAsia" w:ascii="宋体" w:hAnsi="宋体" w:eastAsia="宋体" w:cs="宋体"/>
                <w:spacing w:val="-11"/>
                <w:kern w:val="0"/>
                <w:sz w:val="21"/>
                <w:szCs w:val="21"/>
                <w:lang w:val="en-US" w:eastAsia="zh-CN" w:bidi="ar"/>
              </w:rPr>
            </w:pP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B22D9">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《江西武夷山国家级自然保护区条例》第四十二条：本省的马头山、九连山、官山、九岭山国家级自然保护区，可以参照本条例执行。</w:t>
            </w:r>
          </w:p>
        </w:tc>
      </w:tr>
      <w:tr w14:paraId="135FC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7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1B753">
            <w:pPr>
              <w:jc w:val="center"/>
              <w:rPr>
                <w:rFonts w:hint="eastAsia" w:ascii="宋体" w:hAnsi="宋体" w:eastAsia="宋体" w:cs="宋体"/>
                <w:spacing w:val="-11"/>
                <w:kern w:val="0"/>
                <w:sz w:val="21"/>
                <w:szCs w:val="21"/>
                <w:lang w:val="en-US" w:eastAsia="zh-CN" w:bidi="ar"/>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5DF5C">
            <w:pPr>
              <w:jc w:val="left"/>
              <w:rPr>
                <w:rFonts w:hint="eastAsia" w:ascii="宋体" w:hAnsi="宋体" w:eastAsia="宋体" w:cs="宋体"/>
                <w:spacing w:val="-11"/>
                <w:kern w:val="0"/>
                <w:sz w:val="21"/>
                <w:szCs w:val="21"/>
                <w:lang w:val="en-US" w:eastAsia="zh-CN" w:bidi="ar"/>
              </w:rPr>
            </w:pPr>
          </w:p>
        </w:tc>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7DA42B">
            <w:pPr>
              <w:jc w:val="left"/>
              <w:rPr>
                <w:rFonts w:hint="eastAsia" w:ascii="宋体" w:hAnsi="宋体" w:eastAsia="宋体" w:cs="宋体"/>
                <w:spacing w:val="-11"/>
                <w:kern w:val="0"/>
                <w:sz w:val="21"/>
                <w:szCs w:val="21"/>
                <w:lang w:val="en-US" w:eastAsia="zh-CN" w:bidi="ar"/>
              </w:rPr>
            </w:pP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3AC69">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w:t>
            </w:r>
          </w:p>
        </w:tc>
      </w:tr>
      <w:tr w14:paraId="5B397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5" w:hRule="atLeast"/>
        </w:trPr>
        <w:tc>
          <w:tcPr>
            <w:tcW w:w="7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459DBE">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5</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043DCB">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未经批准进入自然保护区</w:t>
            </w:r>
          </w:p>
        </w:tc>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91EFDA">
            <w:pPr>
              <w:widowControl/>
              <w:spacing w:line="320" w:lineRule="exact"/>
              <w:textAlignment w:val="center"/>
              <w:rPr>
                <w:rFonts w:hint="eastAsia" w:ascii="宋体" w:hAnsi="宋体" w:eastAsia="宋体" w:cs="宋体"/>
                <w:spacing w:val="-11"/>
                <w:kern w:val="0"/>
                <w:sz w:val="21"/>
                <w:szCs w:val="21"/>
                <w:lang w:val="en-US" w:eastAsia="zh-CN" w:bidi="ar"/>
              </w:rPr>
            </w:pPr>
          </w:p>
          <w:p w14:paraId="73593E16">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1、初次违法</w:t>
            </w:r>
          </w:p>
          <w:p w14:paraId="5ED997A1">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2、没有造成危害后果</w:t>
            </w:r>
          </w:p>
          <w:p w14:paraId="74B5D82C">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3、自行改正或经批评教育改正消除影响</w:t>
            </w: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5E9B8">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中华人民共和国自然保护区条例》第三十四条第（二）项：违反本条例规定，有下列行为之一的单位和个人，由自然保护区管理机构责令其改正，并可以根据不同情节处以100元以上5000元以下的罚款：（二）未经批准进入自然保护区或者在自然保护区内不服从管理机构管理的。</w:t>
            </w:r>
          </w:p>
        </w:tc>
      </w:tr>
      <w:tr w14:paraId="30690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B1DFAE">
            <w:pPr>
              <w:jc w:val="center"/>
              <w:rPr>
                <w:rFonts w:hint="eastAsia" w:ascii="宋体" w:hAnsi="宋体" w:eastAsia="宋体" w:cs="宋体"/>
                <w:spacing w:val="-11"/>
                <w:kern w:val="0"/>
                <w:sz w:val="21"/>
                <w:szCs w:val="21"/>
                <w:lang w:val="en-US" w:eastAsia="zh-CN" w:bidi="ar"/>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2AA7BC">
            <w:pPr>
              <w:jc w:val="left"/>
              <w:rPr>
                <w:rFonts w:hint="eastAsia" w:ascii="宋体" w:hAnsi="宋体" w:eastAsia="宋体" w:cs="宋体"/>
                <w:spacing w:val="-11"/>
                <w:kern w:val="0"/>
                <w:sz w:val="21"/>
                <w:szCs w:val="21"/>
                <w:lang w:val="en-US" w:eastAsia="zh-CN" w:bidi="ar"/>
              </w:rPr>
            </w:pPr>
          </w:p>
        </w:tc>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1F211B">
            <w:pPr>
              <w:jc w:val="left"/>
              <w:rPr>
                <w:rFonts w:hint="eastAsia" w:ascii="宋体" w:hAnsi="宋体" w:eastAsia="宋体" w:cs="宋体"/>
                <w:spacing w:val="-11"/>
                <w:kern w:val="0"/>
                <w:sz w:val="21"/>
                <w:szCs w:val="21"/>
                <w:lang w:val="en-US" w:eastAsia="zh-CN" w:bidi="ar"/>
              </w:rPr>
            </w:pP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B1EF7">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w:t>
            </w:r>
          </w:p>
        </w:tc>
      </w:tr>
      <w:tr w14:paraId="73CD6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5" w:hRule="atLeast"/>
        </w:trPr>
        <w:tc>
          <w:tcPr>
            <w:tcW w:w="7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99110">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6</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9A40BC">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经批准在自然保护区的缓冲区内从事科学研究、教学实习和标本采集的单位和个人，不向自然保护区管理机构提交活动成果副本</w:t>
            </w:r>
          </w:p>
        </w:tc>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7672D4">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1、初次违法</w:t>
            </w:r>
          </w:p>
          <w:p w14:paraId="55DDADBB">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2、自行改正或经批评教育改正消除影响</w:t>
            </w:r>
          </w:p>
          <w:p w14:paraId="5F374DE7">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3、事后能向自然保护区管理机构提交活动成果副本</w:t>
            </w: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FEAD4">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《中华人民共和国自然保护区条例》第三十四条第（三）项：违反本条例规定，有下列行为之一的单位和个人，由自然保护区管理机构责令其改正，并可以根据不同情节处以100元以上5000元以下的罚款：（三） 经批准在自然保护区的缓冲区内从事科学研究、教学实习和标本采集的单位和个人，不向自然保护区管理机构提交活动成果副本的。</w:t>
            </w:r>
          </w:p>
        </w:tc>
      </w:tr>
      <w:tr w14:paraId="24247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20904">
            <w:pPr>
              <w:jc w:val="center"/>
              <w:rPr>
                <w:rFonts w:hint="eastAsia" w:ascii="宋体" w:hAnsi="宋体" w:eastAsia="宋体" w:cs="宋体"/>
                <w:spacing w:val="-11"/>
                <w:kern w:val="0"/>
                <w:sz w:val="21"/>
                <w:szCs w:val="21"/>
                <w:lang w:val="en-US" w:eastAsia="zh-CN" w:bidi="ar"/>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1CB87">
            <w:pPr>
              <w:jc w:val="left"/>
              <w:rPr>
                <w:rFonts w:hint="eastAsia" w:ascii="宋体" w:hAnsi="宋体" w:eastAsia="宋体" w:cs="宋体"/>
                <w:spacing w:val="-11"/>
                <w:kern w:val="0"/>
                <w:sz w:val="21"/>
                <w:szCs w:val="21"/>
                <w:lang w:val="en-US" w:eastAsia="zh-CN" w:bidi="ar"/>
              </w:rPr>
            </w:pPr>
          </w:p>
        </w:tc>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BBBF35">
            <w:pPr>
              <w:jc w:val="left"/>
              <w:rPr>
                <w:rFonts w:hint="eastAsia" w:ascii="宋体" w:hAnsi="宋体" w:eastAsia="宋体" w:cs="宋体"/>
                <w:spacing w:val="-11"/>
                <w:kern w:val="0"/>
                <w:sz w:val="21"/>
                <w:szCs w:val="21"/>
                <w:lang w:val="en-US" w:eastAsia="zh-CN" w:bidi="ar"/>
              </w:rPr>
            </w:pP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92685">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w:t>
            </w:r>
          </w:p>
        </w:tc>
      </w:tr>
      <w:tr w14:paraId="6B8DC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5" w:hRule="atLeast"/>
        </w:trPr>
        <w:tc>
          <w:tcPr>
            <w:tcW w:w="7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D521C">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7</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734CE1">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擅自移动或者毁坏生态公益林保护标志牌</w:t>
            </w:r>
          </w:p>
        </w:tc>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9B81B8">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1、初次违法</w:t>
            </w:r>
          </w:p>
          <w:p w14:paraId="268B9704">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2、没有造成危害后果</w:t>
            </w:r>
          </w:p>
          <w:p w14:paraId="5344B23C">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3、自行改正或经批评教育改正恢复原状</w:t>
            </w: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29330">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江西省生态公益林管理办法》第二十七条：违反本办法第十二条第三款规定，擅自移动或者毁坏生态公益林保护标志牌的，由县级以上人民政府林业主管部门责令限期恢复原状；逾期不恢复原状的，由林业主管部门代为恢复，所需费用由违法者承担，并对个人处二百元以下，单位处一千元以下的罚款。</w:t>
            </w:r>
          </w:p>
        </w:tc>
      </w:tr>
      <w:tr w14:paraId="027F0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EE134">
            <w:pPr>
              <w:jc w:val="center"/>
              <w:rPr>
                <w:rFonts w:hint="eastAsia" w:ascii="宋体" w:hAnsi="宋体" w:eastAsia="宋体" w:cs="宋体"/>
                <w:spacing w:val="-11"/>
                <w:kern w:val="0"/>
                <w:sz w:val="21"/>
                <w:szCs w:val="21"/>
                <w:lang w:val="en-US" w:eastAsia="zh-CN" w:bidi="ar"/>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732CF0">
            <w:pPr>
              <w:jc w:val="left"/>
              <w:rPr>
                <w:rFonts w:hint="eastAsia" w:ascii="宋体" w:hAnsi="宋体" w:eastAsia="宋体" w:cs="宋体"/>
                <w:spacing w:val="-11"/>
                <w:kern w:val="0"/>
                <w:sz w:val="21"/>
                <w:szCs w:val="21"/>
                <w:lang w:val="en-US" w:eastAsia="zh-CN" w:bidi="ar"/>
              </w:rPr>
            </w:pPr>
          </w:p>
        </w:tc>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22B49F">
            <w:pPr>
              <w:jc w:val="left"/>
              <w:rPr>
                <w:rFonts w:hint="eastAsia" w:ascii="宋体" w:hAnsi="宋体" w:eastAsia="宋体" w:cs="宋体"/>
                <w:spacing w:val="-11"/>
                <w:kern w:val="0"/>
                <w:sz w:val="21"/>
                <w:szCs w:val="21"/>
                <w:lang w:val="en-US" w:eastAsia="zh-CN" w:bidi="ar"/>
              </w:rPr>
            </w:pP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377F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w:t>
            </w:r>
          </w:p>
        </w:tc>
      </w:tr>
      <w:tr w14:paraId="7B80E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5" w:hRule="atLeast"/>
        </w:trPr>
        <w:tc>
          <w:tcPr>
            <w:tcW w:w="7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E7599">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8</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9FC3E3">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擅自移动或者破坏古树名木保护牌</w:t>
            </w:r>
          </w:p>
        </w:tc>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0C3237">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1、初次违法</w:t>
            </w:r>
          </w:p>
          <w:p w14:paraId="49D195E3">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2、没有造成危害后果</w:t>
            </w:r>
          </w:p>
          <w:p w14:paraId="680B692A">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3、自行改正或经批评教育改正恢复原状</w:t>
            </w: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CE985">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江西省古树名木保护条例》第二十六条：违反本条例第十一条第三款规定，擅自移动或者破坏古树名木保护牌的，由林业、城市绿化行政主管部门责令限期改正；逾期不改正的，处以二百元以上五百元以下罚款。</w:t>
            </w:r>
          </w:p>
        </w:tc>
      </w:tr>
      <w:tr w14:paraId="3527F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F5A77">
            <w:pPr>
              <w:jc w:val="center"/>
              <w:rPr>
                <w:rFonts w:hint="eastAsia" w:ascii="宋体" w:hAnsi="宋体" w:eastAsia="宋体" w:cs="宋体"/>
                <w:spacing w:val="-11"/>
                <w:kern w:val="0"/>
                <w:sz w:val="21"/>
                <w:szCs w:val="21"/>
                <w:lang w:val="en-US" w:eastAsia="zh-CN" w:bidi="ar"/>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D81E4C">
            <w:pPr>
              <w:jc w:val="left"/>
              <w:rPr>
                <w:rFonts w:hint="eastAsia" w:ascii="宋体" w:hAnsi="宋体" w:eastAsia="宋体" w:cs="宋体"/>
                <w:spacing w:val="-11"/>
                <w:kern w:val="0"/>
                <w:sz w:val="21"/>
                <w:szCs w:val="21"/>
                <w:lang w:val="en-US" w:eastAsia="zh-CN" w:bidi="ar"/>
              </w:rPr>
            </w:pPr>
          </w:p>
        </w:tc>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EAEF8">
            <w:pPr>
              <w:jc w:val="left"/>
              <w:rPr>
                <w:rFonts w:hint="eastAsia" w:ascii="宋体" w:hAnsi="宋体" w:eastAsia="宋体" w:cs="宋体"/>
                <w:spacing w:val="-11"/>
                <w:kern w:val="0"/>
                <w:sz w:val="21"/>
                <w:szCs w:val="21"/>
                <w:lang w:val="en-US" w:eastAsia="zh-CN" w:bidi="ar"/>
              </w:rPr>
            </w:pP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880D6">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w:t>
            </w:r>
          </w:p>
        </w:tc>
      </w:tr>
      <w:tr w14:paraId="0A044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0" w:hRule="atLeast"/>
        </w:trPr>
        <w:tc>
          <w:tcPr>
            <w:tcW w:w="7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9D54A">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9</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8C578A">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在风景名胜区内乱扔垃圾</w:t>
            </w:r>
          </w:p>
        </w:tc>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83C140">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1、初次违法</w:t>
            </w:r>
          </w:p>
          <w:p w14:paraId="1EE7C07F">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2、危害后果轻微</w:t>
            </w:r>
          </w:p>
          <w:p w14:paraId="20E3FF2D">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3、自行改正或经批评教育改正</w:t>
            </w:r>
          </w:p>
        </w:tc>
        <w:tc>
          <w:tcPr>
            <w:tcW w:w="7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C6A17">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风景名胜区条例》第四十四条：违反本条例的规定，在景物、设施上刻划、涂污或者在风景名胜区内乱扔垃圾的，由风景名胜区管理机构责令恢复原状或者采取其他补救措施，处50元的罚款；刻划、涂污或者以其他方式故意损坏国家保护的文物、名胜古迹的，按照治安管理处罚法的有关规定予以处罚；构成犯罪的，依法追究刑事责任。</w:t>
            </w:r>
          </w:p>
        </w:tc>
      </w:tr>
      <w:tr w14:paraId="282F7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792"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018390BA">
            <w:pPr>
              <w:jc w:val="center"/>
              <w:rPr>
                <w:rFonts w:hint="eastAsia" w:ascii="宋体" w:hAnsi="宋体" w:eastAsia="宋体" w:cs="宋体"/>
                <w:spacing w:val="-11"/>
                <w:kern w:val="0"/>
                <w:sz w:val="21"/>
                <w:szCs w:val="21"/>
                <w:lang w:val="en-US" w:eastAsia="zh-CN" w:bidi="ar"/>
              </w:rPr>
            </w:pPr>
          </w:p>
        </w:tc>
        <w:tc>
          <w:tcPr>
            <w:tcW w:w="196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3F2E0167">
            <w:pPr>
              <w:jc w:val="left"/>
              <w:rPr>
                <w:rFonts w:hint="eastAsia" w:ascii="宋体" w:hAnsi="宋体" w:eastAsia="宋体" w:cs="宋体"/>
                <w:spacing w:val="-11"/>
                <w:kern w:val="0"/>
                <w:sz w:val="21"/>
                <w:szCs w:val="21"/>
                <w:lang w:val="en-US" w:eastAsia="zh-CN" w:bidi="ar"/>
              </w:rPr>
            </w:pPr>
          </w:p>
        </w:tc>
        <w:tc>
          <w:tcPr>
            <w:tcW w:w="325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46F5D280">
            <w:pPr>
              <w:jc w:val="left"/>
              <w:rPr>
                <w:rFonts w:hint="eastAsia" w:ascii="宋体" w:hAnsi="宋体" w:eastAsia="宋体" w:cs="宋体"/>
                <w:spacing w:val="-11"/>
                <w:kern w:val="0"/>
                <w:sz w:val="21"/>
                <w:szCs w:val="21"/>
                <w:lang w:val="en-US" w:eastAsia="zh-CN" w:bidi="ar"/>
              </w:rPr>
            </w:pPr>
          </w:p>
        </w:tc>
        <w:tc>
          <w:tcPr>
            <w:tcW w:w="7575" w:type="dxa"/>
            <w:tcBorders>
              <w:top w:val="single" w:color="000000" w:sz="4" w:space="0"/>
              <w:left w:val="single" w:color="000000" w:sz="4" w:space="0"/>
              <w:bottom w:val="single" w:color="auto" w:sz="4" w:space="0"/>
              <w:right w:val="single" w:color="000000" w:sz="4" w:space="0"/>
            </w:tcBorders>
            <w:shd w:val="clear" w:color="auto" w:fill="auto"/>
            <w:vAlign w:val="center"/>
          </w:tcPr>
          <w:p w14:paraId="11D884B0">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w:t>
            </w:r>
          </w:p>
        </w:tc>
      </w:tr>
      <w:tr w14:paraId="75B5C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58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7450D5A2">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 xml:space="preserve">    《包容免罚清单（2022版）》中未列明的其他违法行为，按照</w:t>
            </w: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和林业领域法律、法规、规章的相关规定，规范行使自由裁量权，不排除其他不予处罚情形。</w:t>
            </w:r>
          </w:p>
        </w:tc>
      </w:tr>
    </w:tbl>
    <w:p w14:paraId="143F7E87">
      <w:pPr>
        <w:adjustRightInd w:val="0"/>
        <w:snapToGrid w:val="0"/>
        <w:spacing w:line="560" w:lineRule="exact"/>
        <w:rPr>
          <w:rFonts w:hint="eastAsia" w:ascii="仿宋_GB2312" w:eastAsia="仿宋_GB2312"/>
          <w:sz w:val="32"/>
          <w:szCs w:val="32"/>
        </w:rPr>
      </w:pPr>
    </w:p>
    <w:p w14:paraId="7B794543">
      <w:pPr>
        <w:widowControl/>
        <w:textAlignment w:val="center"/>
        <w:rPr>
          <w:rFonts w:hint="eastAsia" w:ascii="黑体" w:hAnsi="黑体" w:eastAsia="黑体" w:cs="黑体"/>
          <w:spacing w:val="-11"/>
          <w:kern w:val="0"/>
          <w:sz w:val="32"/>
          <w:szCs w:val="32"/>
          <w:lang w:bidi="ar"/>
        </w:rPr>
      </w:pPr>
      <w:r>
        <w:rPr>
          <w:rFonts w:hint="eastAsia" w:ascii="黑体" w:hAnsi="黑体" w:eastAsia="黑体" w:cs="黑体"/>
          <w:spacing w:val="-11"/>
          <w:kern w:val="0"/>
          <w:sz w:val="32"/>
          <w:szCs w:val="32"/>
          <w:lang w:eastAsia="zh-CN" w:bidi="ar"/>
        </w:rPr>
        <w:t>九</w:t>
      </w:r>
      <w:r>
        <w:rPr>
          <w:rFonts w:hint="eastAsia" w:ascii="黑体" w:hAnsi="黑体" w:eastAsia="黑体" w:cs="黑体"/>
          <w:spacing w:val="-11"/>
          <w:kern w:val="0"/>
          <w:sz w:val="32"/>
          <w:szCs w:val="32"/>
          <w:lang w:bidi="ar"/>
        </w:rPr>
        <w:t>、新余市</w:t>
      </w:r>
      <w:r>
        <w:rPr>
          <w:rFonts w:hint="eastAsia" w:ascii="黑体" w:hAnsi="黑体" w:eastAsia="黑体" w:cs="黑体"/>
          <w:spacing w:val="-11"/>
          <w:kern w:val="0"/>
          <w:sz w:val="32"/>
          <w:szCs w:val="32"/>
          <w:lang w:eastAsia="zh-CN" w:bidi="ar"/>
        </w:rPr>
        <w:t>司法行政</w:t>
      </w:r>
      <w:r>
        <w:rPr>
          <w:rFonts w:hint="eastAsia" w:ascii="黑体" w:hAnsi="黑体" w:eastAsia="黑体" w:cs="黑体"/>
          <w:spacing w:val="-11"/>
          <w:kern w:val="0"/>
          <w:sz w:val="32"/>
          <w:szCs w:val="32"/>
          <w:lang w:bidi="ar"/>
        </w:rPr>
        <w:t>领域轻微违法行为不予处罚清单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1994"/>
        <w:gridCol w:w="2190"/>
        <w:gridCol w:w="8685"/>
      </w:tblGrid>
      <w:tr w14:paraId="44223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Align w:val="center"/>
          </w:tcPr>
          <w:p w14:paraId="4CE4BD01">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序号</w:t>
            </w:r>
          </w:p>
        </w:tc>
        <w:tc>
          <w:tcPr>
            <w:tcW w:w="1994" w:type="dxa"/>
            <w:vAlign w:val="center"/>
          </w:tcPr>
          <w:p w14:paraId="51C95E10">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违法行为</w:t>
            </w:r>
          </w:p>
        </w:tc>
        <w:tc>
          <w:tcPr>
            <w:tcW w:w="2190" w:type="dxa"/>
            <w:vAlign w:val="center"/>
          </w:tcPr>
          <w:p w14:paraId="5E965BB3">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不予处罚条件</w:t>
            </w:r>
          </w:p>
        </w:tc>
        <w:tc>
          <w:tcPr>
            <w:tcW w:w="8685" w:type="dxa"/>
            <w:vAlign w:val="center"/>
          </w:tcPr>
          <w:p w14:paraId="1E36332C">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法律依据</w:t>
            </w:r>
          </w:p>
        </w:tc>
      </w:tr>
      <w:tr w14:paraId="1BDB4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3695" w:type="dxa"/>
            <w:gridSpan w:val="4"/>
            <w:vAlign w:val="center"/>
          </w:tcPr>
          <w:p w14:paraId="46611565">
            <w:pPr>
              <w:pStyle w:val="7"/>
              <w:keepNext w:val="0"/>
              <w:keepLines w:val="0"/>
              <w:widowControl/>
              <w:suppressLineNumbers w:val="0"/>
              <w:rPr>
                <w:rFonts w:hint="eastAsia" w:eastAsiaTheme="minorEastAsia"/>
                <w:b/>
                <w:bCs/>
                <w:lang w:eastAsia="zh-CN"/>
              </w:rPr>
            </w:pPr>
            <w:r>
              <w:rPr>
                <w:rFonts w:hint="eastAsia" w:ascii="宋体" w:hAnsi="宋体" w:eastAsia="宋体" w:cs="宋体"/>
                <w:b/>
                <w:bCs/>
                <w:spacing w:val="-11"/>
                <w:kern w:val="0"/>
                <w:sz w:val="21"/>
                <w:szCs w:val="21"/>
                <w:lang w:val="en-US" w:eastAsia="zh-CN" w:bidi="ar"/>
              </w:rPr>
              <w:t>一、违反法律援助领域有关规定的行为</w:t>
            </w:r>
          </w:p>
        </w:tc>
      </w:tr>
      <w:tr w14:paraId="0B995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restart"/>
            <w:vAlign w:val="center"/>
          </w:tcPr>
          <w:p w14:paraId="6442FE25">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w:t>
            </w:r>
          </w:p>
        </w:tc>
        <w:tc>
          <w:tcPr>
            <w:tcW w:w="1994" w:type="dxa"/>
            <w:vMerge w:val="restart"/>
            <w:vAlign w:val="center"/>
          </w:tcPr>
          <w:p w14:paraId="3EEF1618">
            <w:pPr>
              <w:pStyle w:val="7"/>
              <w:keepNext w:val="0"/>
              <w:keepLines w:val="0"/>
              <w:widowControl/>
              <w:suppressLineNumbers w:val="0"/>
              <w:jc w:val="left"/>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无正当理由拒绝接受、拖延或者擅自终止法律援助，将承办的法律援助案件转交他人办理</w:t>
            </w:r>
          </w:p>
          <w:p w14:paraId="19B7E3BE">
            <w:pPr>
              <w:pStyle w:val="7"/>
              <w:keepNext w:val="0"/>
              <w:keepLines w:val="0"/>
              <w:widowControl/>
              <w:suppressLineNumbers w:val="0"/>
              <w:jc w:val="left"/>
              <w:rPr>
                <w:rFonts w:hint="eastAsia" w:ascii="宋体" w:hAnsi="宋体" w:eastAsia="宋体" w:cs="宋体"/>
                <w:spacing w:val="-11"/>
                <w:kern w:val="0"/>
                <w:sz w:val="21"/>
                <w:szCs w:val="21"/>
                <w:lang w:val="en-US" w:eastAsia="zh-CN" w:bidi="ar"/>
              </w:rPr>
            </w:pPr>
          </w:p>
        </w:tc>
        <w:tc>
          <w:tcPr>
            <w:tcW w:w="2190" w:type="dxa"/>
            <w:vMerge w:val="restart"/>
            <w:vAlign w:val="center"/>
          </w:tcPr>
          <w:p w14:paraId="7C8FDB76">
            <w:pPr>
              <w:pStyle w:val="7"/>
              <w:keepNext w:val="0"/>
              <w:keepLines w:val="0"/>
              <w:widowControl/>
              <w:suppressLineNumbers w:val="0"/>
              <w:jc w:val="left"/>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立案调查前已自行改正，并未产生危害后果</w:t>
            </w:r>
          </w:p>
        </w:tc>
        <w:tc>
          <w:tcPr>
            <w:tcW w:w="8685" w:type="dxa"/>
            <w:vAlign w:val="center"/>
          </w:tcPr>
          <w:p w14:paraId="5C198E9B">
            <w:pPr>
              <w:pStyle w:val="7"/>
              <w:keepNext w:val="0"/>
              <w:keepLines w:val="0"/>
              <w:widowControl/>
              <w:suppressLineNumbers w:val="0"/>
              <w:jc w:val="left"/>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《中华人民共和国法律援助法》第六十二条第一款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律师事务所、基层法律服务所无正当理由拒绝接受法律援助机构指派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司法行政部门依法给予处罚。</w:t>
            </w:r>
          </w:p>
        </w:tc>
      </w:tr>
      <w:tr w14:paraId="614AD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continue"/>
            <w:vAlign w:val="center"/>
          </w:tcPr>
          <w:p w14:paraId="020FEEBA">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1994" w:type="dxa"/>
            <w:vMerge w:val="continue"/>
            <w:vAlign w:val="center"/>
          </w:tcPr>
          <w:p w14:paraId="67FB4AE1">
            <w:pPr>
              <w:pStyle w:val="7"/>
              <w:keepNext w:val="0"/>
              <w:keepLines w:val="0"/>
              <w:widowControl/>
              <w:suppressLineNumbers w:val="0"/>
              <w:jc w:val="left"/>
              <w:rPr>
                <w:rFonts w:hint="eastAsia" w:ascii="宋体" w:hAnsi="宋体" w:eastAsia="宋体" w:cs="宋体"/>
                <w:spacing w:val="-11"/>
                <w:kern w:val="0"/>
                <w:sz w:val="21"/>
                <w:szCs w:val="21"/>
                <w:lang w:val="en-US" w:eastAsia="zh-CN" w:bidi="ar"/>
              </w:rPr>
            </w:pPr>
          </w:p>
        </w:tc>
        <w:tc>
          <w:tcPr>
            <w:tcW w:w="2190" w:type="dxa"/>
            <w:vMerge w:val="continue"/>
            <w:vAlign w:val="center"/>
          </w:tcPr>
          <w:p w14:paraId="2807F487">
            <w:pPr>
              <w:pStyle w:val="7"/>
              <w:keepNext w:val="0"/>
              <w:keepLines w:val="0"/>
              <w:widowControl/>
              <w:suppressLineNumbers w:val="0"/>
              <w:jc w:val="left"/>
              <w:rPr>
                <w:rFonts w:hint="eastAsia" w:ascii="宋体" w:hAnsi="宋体" w:eastAsia="宋体" w:cs="宋体"/>
                <w:spacing w:val="-11"/>
                <w:kern w:val="0"/>
                <w:sz w:val="21"/>
                <w:szCs w:val="21"/>
                <w:lang w:val="en-US" w:eastAsia="zh-CN" w:bidi="ar"/>
              </w:rPr>
            </w:pPr>
          </w:p>
        </w:tc>
        <w:tc>
          <w:tcPr>
            <w:tcW w:w="8685" w:type="dxa"/>
            <w:vAlign w:val="center"/>
          </w:tcPr>
          <w:p w14:paraId="0108589A">
            <w:pPr>
              <w:pStyle w:val="7"/>
              <w:keepNext w:val="0"/>
              <w:keepLines w:val="0"/>
              <w:widowControl/>
              <w:suppressLineNumbers w:val="0"/>
              <w:jc w:val="left"/>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《中华人民共和国法律援助法》第六十三条第一款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律师、基层法律服务工作者无正当理由拒绝履行法律援助义务或者怠于履行法律援助义务</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由司法行政部门依法给予处罚。第六十三条第二款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律师、基层法律服务工作者擅自终止提供法律援助的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由司法行政部门依法给予处罚。</w:t>
            </w:r>
          </w:p>
        </w:tc>
      </w:tr>
      <w:tr w14:paraId="60B44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continue"/>
            <w:vAlign w:val="center"/>
          </w:tcPr>
          <w:p w14:paraId="09A49BD1">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1994" w:type="dxa"/>
            <w:vMerge w:val="continue"/>
            <w:vAlign w:val="center"/>
          </w:tcPr>
          <w:p w14:paraId="294C6D37">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2190" w:type="dxa"/>
            <w:vMerge w:val="continue"/>
            <w:vAlign w:val="center"/>
          </w:tcPr>
          <w:p w14:paraId="62923986">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8685" w:type="dxa"/>
            <w:vAlign w:val="center"/>
          </w:tcPr>
          <w:p w14:paraId="6BB69744">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第三十三条第一款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违法行为轻微并及时改正</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没有造成危害后果的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不予行政处罚。初次违法且危害后果轻微并及时改正的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可以不予行政处罚。</w:t>
            </w:r>
          </w:p>
        </w:tc>
      </w:tr>
      <w:tr w14:paraId="08F8A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restart"/>
            <w:vAlign w:val="center"/>
          </w:tcPr>
          <w:p w14:paraId="0379DAA9">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w:t>
            </w:r>
          </w:p>
        </w:tc>
        <w:tc>
          <w:tcPr>
            <w:tcW w:w="1994" w:type="dxa"/>
            <w:vMerge w:val="restart"/>
            <w:vAlign w:val="center"/>
          </w:tcPr>
          <w:p w14:paraId="29C68004">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违反规定接受委托、收取费用或者牟取</w:t>
            </w:r>
            <w:r>
              <w:rPr>
                <w:rFonts w:hint="eastAsia" w:cs="宋体"/>
                <w:spacing w:val="-11"/>
                <w:kern w:val="0"/>
                <w:sz w:val="21"/>
                <w:szCs w:val="21"/>
                <w:lang w:val="en-US" w:eastAsia="zh-CN" w:bidi="ar"/>
              </w:rPr>
              <w:t>其他不正当</w:t>
            </w:r>
            <w:r>
              <w:rPr>
                <w:rFonts w:hint="eastAsia" w:ascii="宋体" w:hAnsi="宋体" w:eastAsia="宋体" w:cs="宋体"/>
                <w:spacing w:val="-11"/>
                <w:kern w:val="0"/>
                <w:sz w:val="21"/>
                <w:szCs w:val="21"/>
                <w:lang w:val="en-US" w:eastAsia="zh-CN" w:bidi="ar"/>
              </w:rPr>
              <w:t>利益</w:t>
            </w:r>
          </w:p>
        </w:tc>
        <w:tc>
          <w:tcPr>
            <w:tcW w:w="2190" w:type="dxa"/>
            <w:vMerge w:val="restart"/>
            <w:vAlign w:val="center"/>
          </w:tcPr>
          <w:p w14:paraId="77E63129">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初次实施此类违法行为，情节轻微，主动改正，未造成严重后果</w:t>
            </w:r>
          </w:p>
        </w:tc>
        <w:tc>
          <w:tcPr>
            <w:tcW w:w="8685" w:type="dxa"/>
            <w:vAlign w:val="center"/>
          </w:tcPr>
          <w:p w14:paraId="22E604CF">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《中华人民共和国法律援助法》第六十三条第三款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律师、基层法律服务工作者收取受援人财物</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由司法行政部门依法给予处罚。</w:t>
            </w:r>
          </w:p>
        </w:tc>
      </w:tr>
      <w:tr w14:paraId="59D53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continue"/>
            <w:vAlign w:val="center"/>
          </w:tcPr>
          <w:p w14:paraId="6B7590A7">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1994" w:type="dxa"/>
            <w:vMerge w:val="continue"/>
            <w:vAlign w:val="center"/>
          </w:tcPr>
          <w:p w14:paraId="1A430313">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2190" w:type="dxa"/>
            <w:vMerge w:val="continue"/>
            <w:vAlign w:val="center"/>
          </w:tcPr>
          <w:p w14:paraId="6B7346D6">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8685" w:type="dxa"/>
            <w:vAlign w:val="center"/>
          </w:tcPr>
          <w:p w14:paraId="56AF4CA5">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第三十三条第一款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违法行为轻微并及时改正</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没有造成危害后果的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不予行政处罚。初次违法且危害后果轻微并及时改正的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可以不予行政处罚。</w:t>
            </w:r>
          </w:p>
        </w:tc>
      </w:tr>
      <w:tr w14:paraId="4344D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3695" w:type="dxa"/>
            <w:gridSpan w:val="4"/>
            <w:vAlign w:val="center"/>
          </w:tcPr>
          <w:p w14:paraId="62F1B00A">
            <w:pPr>
              <w:pStyle w:val="7"/>
              <w:keepNext w:val="0"/>
              <w:keepLines w:val="0"/>
              <w:widowControl/>
              <w:suppressLineNumbers w:val="0"/>
              <w:jc w:val="left"/>
              <w:rPr>
                <w:rFonts w:hint="eastAsia" w:ascii="宋体" w:hAnsi="宋体" w:eastAsia="宋体" w:cs="宋体"/>
                <w:spacing w:val="-11"/>
                <w:kern w:val="0"/>
                <w:sz w:val="21"/>
                <w:szCs w:val="21"/>
                <w:lang w:val="en-US" w:eastAsia="zh-CN" w:bidi="ar"/>
              </w:rPr>
            </w:pPr>
            <w:r>
              <w:rPr>
                <w:rFonts w:hint="eastAsia" w:ascii="宋体" w:hAnsi="宋体" w:eastAsia="宋体" w:cs="宋体"/>
                <w:b/>
                <w:bCs/>
                <w:spacing w:val="-11"/>
                <w:kern w:val="0"/>
                <w:sz w:val="21"/>
                <w:szCs w:val="21"/>
                <w:lang w:val="en-US" w:eastAsia="zh-CN" w:bidi="ar"/>
              </w:rPr>
              <w:t>二、违反基层法律服务领域有关规定的行为</w:t>
            </w:r>
          </w:p>
        </w:tc>
      </w:tr>
      <w:tr w14:paraId="4961C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restart"/>
            <w:vAlign w:val="center"/>
          </w:tcPr>
          <w:p w14:paraId="7E557EDA">
            <w:pPr>
              <w:pStyle w:val="7"/>
              <w:keepNext w:val="0"/>
              <w:keepLines w:val="0"/>
              <w:widowControl/>
              <w:suppressLineNumbers w:val="0"/>
              <w:jc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w:t>
            </w:r>
          </w:p>
        </w:tc>
        <w:tc>
          <w:tcPr>
            <w:tcW w:w="1994" w:type="dxa"/>
            <w:vMerge w:val="restart"/>
            <w:vAlign w:val="center"/>
          </w:tcPr>
          <w:p w14:paraId="23B5CC7B">
            <w:pPr>
              <w:pStyle w:val="7"/>
              <w:keepNext w:val="0"/>
              <w:keepLines w:val="0"/>
              <w:widowControl/>
              <w:suppressLineNumbers w:val="0"/>
              <w:jc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以贬损他人、抬高自己、虚假承诺或者支付介绍费等不正当手段争揽业务</w:t>
            </w:r>
          </w:p>
        </w:tc>
        <w:tc>
          <w:tcPr>
            <w:tcW w:w="2190" w:type="dxa"/>
            <w:vMerge w:val="restart"/>
            <w:vAlign w:val="center"/>
          </w:tcPr>
          <w:p w14:paraId="56116991">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初次实施此类违法行为，情节轻微，主动改正，未造成危害结果</w:t>
            </w:r>
          </w:p>
        </w:tc>
        <w:tc>
          <w:tcPr>
            <w:tcW w:w="8685" w:type="dxa"/>
            <w:vAlign w:val="center"/>
          </w:tcPr>
          <w:p w14:paraId="3B4F26DF">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《基层法律服务工作者管理办法》第四十六条第二款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基层法律服务工作者以贬损他人、抬高自己、虚假承诺或者支付介绍费等不正当手段争揽业务的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由所在地县级司法行政机关或者直辖市的区</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县</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司法行政机关予以警告；有违法所得的，依照法律、法规的规定没收违法所得</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并由设区的市级或者直辖市的区</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县</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司法行政机关处以违法所得三倍以下的罚款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罚款数额最高为三万元。</w:t>
            </w:r>
          </w:p>
        </w:tc>
      </w:tr>
      <w:tr w14:paraId="20F17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continue"/>
            <w:vAlign w:val="center"/>
          </w:tcPr>
          <w:p w14:paraId="277E6CD2">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1994" w:type="dxa"/>
            <w:vMerge w:val="continue"/>
            <w:vAlign w:val="center"/>
          </w:tcPr>
          <w:p w14:paraId="5C0F0AD5">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2190" w:type="dxa"/>
            <w:vMerge w:val="continue"/>
            <w:vAlign w:val="center"/>
          </w:tcPr>
          <w:p w14:paraId="33125D4A">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8685" w:type="dxa"/>
            <w:vAlign w:val="center"/>
          </w:tcPr>
          <w:p w14:paraId="4A453754">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《基层法律服务所管理办法》第三十六条第四款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基层法律服务所以贬损他人、抬高自己、虚假承诺或者支付介绍费等不正当手段争揽业务的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由所在地县级司法行政机关或者直辖市的区</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县</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司法行政机关予以警告；有违法所得的，依照法律、法规的规定没收违法所得</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并由设区的市级或者直辖市的区</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县</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司法行政机关处以违法所得三倍以下的罚款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罚款数额最高为三万元。</w:t>
            </w:r>
          </w:p>
        </w:tc>
      </w:tr>
      <w:tr w14:paraId="5D31E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continue"/>
            <w:vAlign w:val="center"/>
          </w:tcPr>
          <w:p w14:paraId="364F1D8A">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1994" w:type="dxa"/>
            <w:vMerge w:val="continue"/>
            <w:vAlign w:val="center"/>
          </w:tcPr>
          <w:p w14:paraId="4809EF27">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2190" w:type="dxa"/>
            <w:vMerge w:val="continue"/>
            <w:vAlign w:val="center"/>
          </w:tcPr>
          <w:p w14:paraId="1B0CA51A">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8685" w:type="dxa"/>
            <w:vAlign w:val="center"/>
          </w:tcPr>
          <w:p w14:paraId="7ACB7AB4">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第三十三条第一款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违法行为轻微并及时改正</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没有造成危害后果的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不予行政处罚。初次违法且危害后果轻微并及时改正的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可以不予行政处罚。</w:t>
            </w:r>
          </w:p>
        </w:tc>
      </w:tr>
      <w:tr w14:paraId="65527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restart"/>
            <w:vAlign w:val="center"/>
          </w:tcPr>
          <w:p w14:paraId="395A760E">
            <w:pPr>
              <w:pStyle w:val="7"/>
              <w:keepNext w:val="0"/>
              <w:keepLines w:val="0"/>
              <w:widowControl/>
              <w:suppressLineNumbers w:val="0"/>
              <w:jc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4</w:t>
            </w:r>
          </w:p>
        </w:tc>
        <w:tc>
          <w:tcPr>
            <w:tcW w:w="1994" w:type="dxa"/>
            <w:vMerge w:val="restart"/>
            <w:vAlign w:val="center"/>
          </w:tcPr>
          <w:p w14:paraId="31CFE8EB">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冒用律师名义执业</w:t>
            </w:r>
          </w:p>
        </w:tc>
        <w:tc>
          <w:tcPr>
            <w:tcW w:w="2190" w:type="dxa"/>
            <w:vMerge w:val="restart"/>
            <w:vAlign w:val="center"/>
          </w:tcPr>
          <w:p w14:paraId="38A5EB49">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初次实施此类违法行为，没有违法所得，已自行改正</w:t>
            </w:r>
          </w:p>
        </w:tc>
        <w:tc>
          <w:tcPr>
            <w:tcW w:w="8685" w:type="dxa"/>
            <w:vAlign w:val="center"/>
          </w:tcPr>
          <w:p w14:paraId="0CD70574">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《基层法律服务工作者管理办法》第四十六条第四款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基层法律服务工作者冒用律师名义执业的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由所在地县级司法行政机关或者直辖市的区</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县</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司法行政机关予以警告；有违法所得的，依照法律、法规的规定没收违法所得</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并由设区的市级或者直辖市的区</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县</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司法行政机关处以违法所得三倍以下的罚款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罚款数额最高为三万元。</w:t>
            </w:r>
          </w:p>
        </w:tc>
      </w:tr>
      <w:tr w14:paraId="46F61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continue"/>
            <w:vAlign w:val="center"/>
          </w:tcPr>
          <w:p w14:paraId="026FC5DF">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1994" w:type="dxa"/>
            <w:vMerge w:val="continue"/>
            <w:vAlign w:val="center"/>
          </w:tcPr>
          <w:p w14:paraId="774E219A">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2190" w:type="dxa"/>
            <w:vMerge w:val="continue"/>
            <w:vAlign w:val="center"/>
          </w:tcPr>
          <w:p w14:paraId="0365439C">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8685" w:type="dxa"/>
            <w:vAlign w:val="center"/>
          </w:tcPr>
          <w:p w14:paraId="2FB9BE4C">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《基层法律服务所管理办法》第三十六条第三款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基层法律服务所冒用律师名义执业的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由所在地县级司法行政机关或者直辖市的区</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县</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司法行政机关予以警告；有违法所得的，依照法律、法规的规定没收违法所得</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并由设区的市级或者直辖市的区</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县</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司法行政机关处以违法所得三倍以下的罚款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罚款数额最高为三万元。</w:t>
            </w:r>
          </w:p>
        </w:tc>
      </w:tr>
      <w:tr w14:paraId="1B205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continue"/>
            <w:vAlign w:val="center"/>
          </w:tcPr>
          <w:p w14:paraId="6B2F27D8">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1994" w:type="dxa"/>
            <w:vMerge w:val="continue"/>
            <w:vAlign w:val="center"/>
          </w:tcPr>
          <w:p w14:paraId="44A0F453">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2190" w:type="dxa"/>
            <w:vMerge w:val="continue"/>
            <w:vAlign w:val="center"/>
          </w:tcPr>
          <w:p w14:paraId="7BF065E1">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8685" w:type="dxa"/>
            <w:vAlign w:val="center"/>
          </w:tcPr>
          <w:p w14:paraId="7B2A7A83">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第三十三条第一款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违法行为轻微并及时改正</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没有造成危害后果的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不予行政处罚。初次违法且危害后果轻微并及时改正的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可以不予行政处罚。</w:t>
            </w:r>
          </w:p>
        </w:tc>
      </w:tr>
      <w:tr w14:paraId="0F2E0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restart"/>
            <w:vAlign w:val="center"/>
          </w:tcPr>
          <w:p w14:paraId="48AB130C">
            <w:pPr>
              <w:pStyle w:val="7"/>
              <w:keepNext w:val="0"/>
              <w:keepLines w:val="0"/>
              <w:widowControl/>
              <w:suppressLineNumbers w:val="0"/>
              <w:jc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5</w:t>
            </w:r>
          </w:p>
        </w:tc>
        <w:tc>
          <w:tcPr>
            <w:tcW w:w="1994" w:type="dxa"/>
            <w:vMerge w:val="restart"/>
            <w:vAlign w:val="center"/>
          </w:tcPr>
          <w:p w14:paraId="79A08586">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违反规定变更本所名称、法定代表人或者负责人、合伙人、住所和章程</w:t>
            </w:r>
          </w:p>
        </w:tc>
        <w:tc>
          <w:tcPr>
            <w:tcW w:w="2190" w:type="dxa"/>
            <w:vMerge w:val="restart"/>
            <w:vAlign w:val="center"/>
          </w:tcPr>
          <w:p w14:paraId="0BA1CAAD">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初次实施此类违法行为，未造成危害后果，已自行改正或者在司法部门规定的期限内改正</w:t>
            </w:r>
          </w:p>
        </w:tc>
        <w:tc>
          <w:tcPr>
            <w:tcW w:w="8685" w:type="dxa"/>
            <w:vAlign w:val="center"/>
          </w:tcPr>
          <w:p w14:paraId="09E43447">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《基层法律服务所管理办法》第三十六条第六款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基层法律服务所违反规定变更本所名称、法定代表人或者负责人、合伙人、住所和章程的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由所在地县级司法行政机关或者直辖市的区</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县</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司法行政机关予以警告。</w:t>
            </w:r>
          </w:p>
        </w:tc>
      </w:tr>
      <w:tr w14:paraId="19244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Merge w:val="continue"/>
            <w:vAlign w:val="center"/>
          </w:tcPr>
          <w:p w14:paraId="1E7EBE7E">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1994" w:type="dxa"/>
            <w:vMerge w:val="continue"/>
            <w:vAlign w:val="center"/>
          </w:tcPr>
          <w:p w14:paraId="4C15F9BC">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2190" w:type="dxa"/>
            <w:vMerge w:val="continue"/>
            <w:vAlign w:val="center"/>
          </w:tcPr>
          <w:p w14:paraId="0C372B13">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p>
        </w:tc>
        <w:tc>
          <w:tcPr>
            <w:tcW w:w="8685" w:type="dxa"/>
            <w:vAlign w:val="center"/>
          </w:tcPr>
          <w:p w14:paraId="3F4F6D3D">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第三十三条第一款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违法行为轻微并及时改正</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没有造成危害后果的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不予行政处罚。初次违法且危害后果轻微并及时改正的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可以不予行政处罚。</w:t>
            </w:r>
          </w:p>
        </w:tc>
      </w:tr>
      <w:tr w14:paraId="2B906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3695" w:type="dxa"/>
            <w:gridSpan w:val="4"/>
            <w:vAlign w:val="center"/>
          </w:tcPr>
          <w:p w14:paraId="57C79BBB">
            <w:pPr>
              <w:pStyle w:val="7"/>
              <w:keepNext w:val="0"/>
              <w:keepLines w:val="0"/>
              <w:widowControl/>
              <w:suppressLineNumbers w:val="0"/>
              <w:jc w:val="left"/>
              <w:rPr>
                <w:rFonts w:hint="eastAsia" w:ascii="宋体" w:hAnsi="宋体" w:eastAsia="宋体" w:cs="宋体"/>
                <w:spacing w:val="-11"/>
                <w:kern w:val="0"/>
                <w:sz w:val="21"/>
                <w:szCs w:val="21"/>
                <w:lang w:val="en-US" w:eastAsia="zh-CN" w:bidi="ar"/>
              </w:rPr>
            </w:pPr>
            <w:r>
              <w:rPr>
                <w:rFonts w:hint="eastAsia" w:ascii="宋体" w:hAnsi="宋体" w:eastAsia="宋体" w:cs="宋体"/>
                <w:b/>
                <w:bCs/>
                <w:spacing w:val="-11"/>
                <w:kern w:val="0"/>
                <w:sz w:val="21"/>
                <w:szCs w:val="21"/>
                <w:lang w:val="en-US" w:eastAsia="zh-CN" w:bidi="ar"/>
              </w:rPr>
              <w:t>三、律所违反有关规定的行为</w:t>
            </w:r>
          </w:p>
        </w:tc>
      </w:tr>
      <w:tr w14:paraId="27D59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Align w:val="center"/>
          </w:tcPr>
          <w:p w14:paraId="78AEA411">
            <w:pPr>
              <w:pStyle w:val="7"/>
              <w:keepNext w:val="0"/>
              <w:keepLines w:val="0"/>
              <w:widowControl/>
              <w:suppressLineNumbers w:val="0"/>
              <w:jc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6</w:t>
            </w:r>
          </w:p>
        </w:tc>
        <w:tc>
          <w:tcPr>
            <w:tcW w:w="1994" w:type="dxa"/>
            <w:vAlign w:val="center"/>
          </w:tcPr>
          <w:p w14:paraId="5766DB88">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违反法定程序办理变更名称、负责人、章程、合伙协议、住所、合伙人等重大事项</w:t>
            </w:r>
          </w:p>
        </w:tc>
        <w:tc>
          <w:tcPr>
            <w:tcW w:w="2190" w:type="dxa"/>
            <w:vAlign w:val="center"/>
          </w:tcPr>
          <w:p w14:paraId="5C2B7F6D">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初次被发现实施此类违法行为，未造成危害后果，已自行改正或者在司法部门规定的期限内改正</w:t>
            </w:r>
          </w:p>
        </w:tc>
        <w:tc>
          <w:tcPr>
            <w:tcW w:w="8685" w:type="dxa"/>
            <w:vAlign w:val="center"/>
          </w:tcPr>
          <w:p w14:paraId="39968B6E">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第三十三条第一款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违法行为轻微并及时改正</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没有造成危害后果的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不予行政处罚。初次违法且危害后果轻微并及时改正的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可以不予行政处罚。</w:t>
            </w:r>
          </w:p>
        </w:tc>
      </w:tr>
      <w:tr w14:paraId="7E314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26" w:type="dxa"/>
            <w:vAlign w:val="center"/>
          </w:tcPr>
          <w:p w14:paraId="1B271BCB">
            <w:pPr>
              <w:pStyle w:val="7"/>
              <w:keepNext w:val="0"/>
              <w:keepLines w:val="0"/>
              <w:widowControl/>
              <w:suppressLineNumbers w:val="0"/>
              <w:jc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7</w:t>
            </w:r>
          </w:p>
        </w:tc>
        <w:tc>
          <w:tcPr>
            <w:tcW w:w="1994" w:type="dxa"/>
            <w:vAlign w:val="center"/>
          </w:tcPr>
          <w:p w14:paraId="421AF05E">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从事法律服务以外的经营活动</w:t>
            </w:r>
          </w:p>
        </w:tc>
        <w:tc>
          <w:tcPr>
            <w:tcW w:w="2190" w:type="dxa"/>
            <w:vAlign w:val="center"/>
          </w:tcPr>
          <w:p w14:paraId="57137556">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初次实施此类违法行为，主动改正，未从经营活动中获得收益</w:t>
            </w:r>
          </w:p>
        </w:tc>
        <w:tc>
          <w:tcPr>
            <w:tcW w:w="8685" w:type="dxa"/>
            <w:vAlign w:val="center"/>
          </w:tcPr>
          <w:p w14:paraId="068011C7">
            <w:pPr>
              <w:pStyle w:val="7"/>
              <w:keepNext w:val="0"/>
              <w:keepLines w:val="0"/>
              <w:widowControl/>
              <w:suppressLineNumbers w:val="0"/>
              <w:jc w:val="center"/>
              <w:rPr>
                <w:rFonts w:hint="eastAsia" w:ascii="宋体" w:hAnsi="宋体" w:eastAsia="宋体" w:cs="宋体"/>
                <w:spacing w:val="-11"/>
                <w:kern w:val="0"/>
                <w:sz w:val="21"/>
                <w:szCs w:val="21"/>
                <w:lang w:val="en-US" w:eastAsia="zh-CN" w:bidi="ar"/>
              </w:rPr>
            </w:pPr>
            <w:r>
              <w:rPr>
                <w:rFonts w:hint="eastAsia"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第三十三条第一款</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违法行为轻微并及时改正</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没有造成危害后果的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不予行政处罚。初次违法且危害后果轻微并及时改正的</w:t>
            </w:r>
            <w:r>
              <w:rPr>
                <w:rFonts w:hint="eastAsia"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可以不予行政处罚。</w:t>
            </w:r>
          </w:p>
        </w:tc>
      </w:tr>
    </w:tbl>
    <w:p w14:paraId="7BFC0EDA">
      <w:pPr>
        <w:widowControl/>
        <w:textAlignment w:val="center"/>
        <w:rPr>
          <w:rFonts w:hint="eastAsia" w:ascii="黑体" w:hAnsi="黑体" w:eastAsia="黑体" w:cs="黑体"/>
          <w:spacing w:val="-11"/>
          <w:kern w:val="0"/>
          <w:sz w:val="32"/>
          <w:szCs w:val="32"/>
          <w:lang w:eastAsia="zh-CN" w:bidi="ar"/>
        </w:rPr>
      </w:pPr>
    </w:p>
    <w:p w14:paraId="7C3783C6">
      <w:pPr>
        <w:widowControl/>
        <w:numPr>
          <w:ilvl w:val="0"/>
          <w:numId w:val="1"/>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城市管理</w:t>
      </w:r>
      <w:r>
        <w:rPr>
          <w:rFonts w:hint="eastAsia" w:ascii="黑体" w:hAnsi="黑体" w:eastAsia="黑体" w:cs="黑体"/>
          <w:spacing w:val="-11"/>
          <w:kern w:val="0"/>
          <w:sz w:val="32"/>
          <w:szCs w:val="32"/>
          <w:highlight w:val="none"/>
          <w:lang w:bidi="ar"/>
        </w:rPr>
        <w:t>领域轻微违法行为不予处罚清单</w:t>
      </w:r>
    </w:p>
    <w:tbl>
      <w:tblPr>
        <w:tblStyle w:val="10"/>
        <w:tblW w:w="143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4"/>
        <w:gridCol w:w="13325"/>
      </w:tblGrid>
      <w:tr w14:paraId="48DC4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994" w:type="dxa"/>
            <w:noWrap w:val="0"/>
            <w:vAlign w:val="top"/>
          </w:tcPr>
          <w:p w14:paraId="7B4D2BB4">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序号</w:t>
            </w:r>
          </w:p>
        </w:tc>
        <w:tc>
          <w:tcPr>
            <w:tcW w:w="13325" w:type="dxa"/>
            <w:noWrap w:val="0"/>
            <w:vAlign w:val="top"/>
          </w:tcPr>
          <w:p w14:paraId="5A3D8B8C">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违法行为</w:t>
            </w:r>
          </w:p>
        </w:tc>
      </w:tr>
      <w:tr w14:paraId="63460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994" w:type="dxa"/>
            <w:noWrap w:val="0"/>
            <w:vAlign w:val="center"/>
          </w:tcPr>
          <w:p w14:paraId="45C1DC18">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w:t>
            </w:r>
          </w:p>
        </w:tc>
        <w:tc>
          <w:tcPr>
            <w:tcW w:w="13325" w:type="dxa"/>
            <w:noWrap w:val="0"/>
            <w:vAlign w:val="top"/>
          </w:tcPr>
          <w:p w14:paraId="23E701A2">
            <w:pPr>
              <w:widowControl/>
              <w:spacing w:line="320" w:lineRule="exact"/>
              <w:textAlignment w:val="center"/>
              <w:rPr>
                <w:rFonts w:hint="eastAsia" w:ascii="宋体" w:hAnsi="宋体" w:eastAsia="宋体" w:cs="宋体"/>
                <w:spacing w:val="-11"/>
                <w:kern w:val="0"/>
                <w:sz w:val="21"/>
                <w:szCs w:val="21"/>
                <w:lang w:bidi="ar"/>
              </w:rPr>
            </w:pPr>
            <w:r>
              <w:rPr>
                <w:rFonts w:hint="eastAsia" w:ascii="宋体" w:hAnsi="宋体" w:eastAsia="宋体" w:cs="宋体"/>
                <w:sz w:val="21"/>
                <w:szCs w:val="21"/>
              </w:rPr>
              <w:t>利用树木、篱笆、护栏，牵线挂灯、晾晒衣服，首次发生且危害后果轻微，在城管部门发现前主动改正或者在城管部门责令限期改正的期限内改正的。</w:t>
            </w:r>
          </w:p>
        </w:tc>
      </w:tr>
      <w:tr w14:paraId="011C0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994" w:type="dxa"/>
            <w:noWrap w:val="0"/>
            <w:vAlign w:val="center"/>
          </w:tcPr>
          <w:p w14:paraId="5603198E">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w:t>
            </w:r>
          </w:p>
        </w:tc>
        <w:tc>
          <w:tcPr>
            <w:tcW w:w="13325" w:type="dxa"/>
            <w:noWrap w:val="0"/>
            <w:vAlign w:val="top"/>
          </w:tcPr>
          <w:p w14:paraId="6CAE329D">
            <w:pPr>
              <w:widowControl/>
              <w:jc w:val="left"/>
              <w:rPr>
                <w:rFonts w:hint="eastAsia" w:ascii="宋体" w:hAnsi="宋体" w:eastAsia="宋体" w:cs="宋体"/>
                <w:spacing w:val="-11"/>
                <w:kern w:val="0"/>
                <w:sz w:val="21"/>
                <w:szCs w:val="21"/>
                <w:lang w:bidi="ar"/>
              </w:rPr>
            </w:pPr>
            <w:r>
              <w:rPr>
                <w:rFonts w:hint="eastAsia" w:ascii="宋体" w:hAnsi="宋体" w:eastAsia="宋体" w:cs="宋体"/>
                <w:sz w:val="21"/>
                <w:szCs w:val="21"/>
              </w:rPr>
              <w:t>未经审批在街道两侧（公共场地）堆放物料，首次发生且危害后果轻微，在城管部门发现前主动改正或者在城管部门责令限期改正的期限内改正的。</w:t>
            </w:r>
          </w:p>
        </w:tc>
      </w:tr>
      <w:tr w14:paraId="0C2CA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994" w:type="dxa"/>
            <w:noWrap w:val="0"/>
            <w:vAlign w:val="center"/>
          </w:tcPr>
          <w:p w14:paraId="76F656AB">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w:t>
            </w:r>
          </w:p>
        </w:tc>
        <w:tc>
          <w:tcPr>
            <w:tcW w:w="13325" w:type="dxa"/>
            <w:noWrap w:val="0"/>
            <w:vAlign w:val="top"/>
          </w:tcPr>
          <w:p w14:paraId="1FBF8E51">
            <w:pPr>
              <w:widowControl/>
              <w:jc w:val="left"/>
              <w:rPr>
                <w:rFonts w:hint="eastAsia" w:ascii="宋体" w:hAnsi="宋体" w:eastAsia="宋体" w:cs="宋体"/>
                <w:sz w:val="21"/>
                <w:szCs w:val="21"/>
              </w:rPr>
            </w:pPr>
            <w:r>
              <w:rPr>
                <w:rFonts w:hint="eastAsia" w:ascii="宋体" w:hAnsi="宋体" w:eastAsia="宋体" w:cs="宋体"/>
                <w:sz w:val="21"/>
                <w:szCs w:val="21"/>
              </w:rPr>
              <w:t>在人口集中区域从事经营性的生产噪声污染的切割作业，首次发生且危害后果轻微，在城管部门发现前主动改正或者在城管部门责令限期改正的期限内改正的。</w:t>
            </w:r>
          </w:p>
        </w:tc>
      </w:tr>
      <w:tr w14:paraId="25F3C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994" w:type="dxa"/>
            <w:noWrap w:val="0"/>
            <w:vAlign w:val="center"/>
          </w:tcPr>
          <w:p w14:paraId="07A0895E">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4</w:t>
            </w:r>
          </w:p>
        </w:tc>
        <w:tc>
          <w:tcPr>
            <w:tcW w:w="13325" w:type="dxa"/>
            <w:noWrap w:val="0"/>
            <w:vAlign w:val="top"/>
          </w:tcPr>
          <w:p w14:paraId="3D888AC3">
            <w:pPr>
              <w:widowControl/>
              <w:jc w:val="left"/>
              <w:rPr>
                <w:rFonts w:hint="eastAsia" w:ascii="宋体" w:hAnsi="宋体" w:eastAsia="宋体" w:cs="宋体"/>
                <w:sz w:val="21"/>
                <w:szCs w:val="21"/>
              </w:rPr>
            </w:pPr>
            <w:r>
              <w:rPr>
                <w:rFonts w:hint="eastAsia" w:ascii="宋体" w:hAnsi="宋体" w:eastAsia="宋体" w:cs="宋体"/>
                <w:sz w:val="21"/>
                <w:szCs w:val="21"/>
              </w:rPr>
              <w:t>经批准临时占用人行道举办文化、公益性宣传活动未及时清除、清理场地，首次发生且危害后果轻微，在城管部门发现前主动改正或者在城管部门责令限期改正的期限内改正的。</w:t>
            </w:r>
          </w:p>
        </w:tc>
      </w:tr>
      <w:tr w14:paraId="1FD36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994" w:type="dxa"/>
            <w:noWrap w:val="0"/>
            <w:vAlign w:val="center"/>
          </w:tcPr>
          <w:p w14:paraId="50C64E79">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5</w:t>
            </w:r>
          </w:p>
        </w:tc>
        <w:tc>
          <w:tcPr>
            <w:tcW w:w="13325" w:type="dxa"/>
            <w:noWrap w:val="0"/>
            <w:vAlign w:val="top"/>
          </w:tcPr>
          <w:p w14:paraId="50AAE6D8">
            <w:pPr>
              <w:widowControl/>
              <w:jc w:val="left"/>
              <w:rPr>
                <w:rFonts w:hint="eastAsia" w:ascii="宋体" w:hAnsi="宋体" w:eastAsia="宋体" w:cs="宋体"/>
                <w:sz w:val="21"/>
                <w:szCs w:val="21"/>
              </w:rPr>
            </w:pPr>
            <w:r>
              <w:rPr>
                <w:rFonts w:hint="eastAsia" w:ascii="宋体" w:hAnsi="宋体" w:eastAsia="宋体" w:cs="宋体"/>
                <w:sz w:val="21"/>
                <w:szCs w:val="21"/>
              </w:rPr>
              <w:t>随地吐痰、便溺，乱扔果皮、纸屑和烟头等废弃物，首次发生且危害后果轻微，在城管部门发现前主动改正或者在城管部门责令限期改正的期限内改正的。</w:t>
            </w:r>
          </w:p>
        </w:tc>
      </w:tr>
      <w:tr w14:paraId="10A97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994" w:type="dxa"/>
            <w:noWrap w:val="0"/>
            <w:vAlign w:val="center"/>
          </w:tcPr>
          <w:p w14:paraId="3A425D60">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6</w:t>
            </w:r>
          </w:p>
        </w:tc>
        <w:tc>
          <w:tcPr>
            <w:tcW w:w="13325" w:type="dxa"/>
            <w:noWrap w:val="0"/>
            <w:vAlign w:val="top"/>
          </w:tcPr>
          <w:p w14:paraId="464D6032">
            <w:pPr>
              <w:widowControl/>
              <w:jc w:val="left"/>
              <w:rPr>
                <w:rFonts w:hint="eastAsia" w:ascii="宋体" w:hAnsi="宋体" w:eastAsia="宋体" w:cs="宋体"/>
                <w:sz w:val="21"/>
                <w:szCs w:val="21"/>
              </w:rPr>
            </w:pPr>
            <w:r>
              <w:rPr>
                <w:rFonts w:hint="eastAsia" w:ascii="宋体" w:hAnsi="宋体" w:eastAsia="宋体" w:cs="宋体"/>
                <w:sz w:val="21"/>
                <w:szCs w:val="21"/>
              </w:rPr>
              <w:t>擅自在临街建筑物阳台和窗外，堆放、悬挂有碍市容的物品，首次发生且危害后果轻微，在城管部门发现前主动改正或者在城管部门责令限期改正的期限内改正的</w:t>
            </w:r>
          </w:p>
        </w:tc>
      </w:tr>
      <w:tr w14:paraId="26C2A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994" w:type="dxa"/>
            <w:noWrap w:val="0"/>
            <w:vAlign w:val="center"/>
          </w:tcPr>
          <w:p w14:paraId="29978E40">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7</w:t>
            </w:r>
          </w:p>
        </w:tc>
        <w:tc>
          <w:tcPr>
            <w:tcW w:w="13325" w:type="dxa"/>
            <w:noWrap w:val="0"/>
            <w:vAlign w:val="top"/>
          </w:tcPr>
          <w:p w14:paraId="20FD46FB">
            <w:pPr>
              <w:widowControl/>
              <w:jc w:val="left"/>
              <w:rPr>
                <w:rFonts w:hint="eastAsia" w:ascii="宋体" w:hAnsi="宋体" w:eastAsia="宋体" w:cs="宋体"/>
                <w:sz w:val="21"/>
                <w:szCs w:val="21"/>
              </w:rPr>
            </w:pPr>
            <w:r>
              <w:rPr>
                <w:rFonts w:hint="eastAsia" w:ascii="宋体" w:hAnsi="宋体" w:eastAsia="宋体" w:cs="宋体"/>
                <w:sz w:val="21"/>
                <w:szCs w:val="21"/>
              </w:rPr>
              <w:t>户外广告出现外形污损、图文残缺、灯光显示不完整等影响市容，首次发生且危害后果轻微，在城管部门发现前主动改正或者在城管部门责令限期改正的期限内改正的。</w:t>
            </w:r>
          </w:p>
        </w:tc>
      </w:tr>
      <w:tr w14:paraId="47CE9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994" w:type="dxa"/>
            <w:noWrap w:val="0"/>
            <w:vAlign w:val="center"/>
          </w:tcPr>
          <w:p w14:paraId="692A27A7">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8</w:t>
            </w:r>
          </w:p>
        </w:tc>
        <w:tc>
          <w:tcPr>
            <w:tcW w:w="13325" w:type="dxa"/>
            <w:noWrap w:val="0"/>
            <w:vAlign w:val="top"/>
          </w:tcPr>
          <w:p w14:paraId="35812F31">
            <w:pPr>
              <w:widowControl/>
              <w:jc w:val="left"/>
              <w:rPr>
                <w:rFonts w:hint="eastAsia" w:ascii="宋体" w:hAnsi="宋体" w:eastAsia="宋体" w:cs="宋体"/>
                <w:sz w:val="21"/>
                <w:szCs w:val="21"/>
              </w:rPr>
            </w:pPr>
            <w:r>
              <w:rPr>
                <w:rFonts w:hint="eastAsia" w:ascii="宋体" w:hAnsi="宋体" w:eastAsia="宋体" w:cs="宋体"/>
                <w:sz w:val="21"/>
                <w:szCs w:val="21"/>
              </w:rPr>
              <w:t>擅自占用城市道路、地下通道、人行天桥等公共场所从事摆摊设点、散发广告等活动，首次发生且危害后果轻微，在城管部门发现前主动改正或者在城管部门责令限期改正的期限内改正的。</w:t>
            </w:r>
          </w:p>
        </w:tc>
      </w:tr>
      <w:tr w14:paraId="46168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994" w:type="dxa"/>
            <w:noWrap w:val="0"/>
            <w:vAlign w:val="center"/>
          </w:tcPr>
          <w:p w14:paraId="781CDE1A">
            <w:pPr>
              <w:widowControl/>
              <w:spacing w:line="320" w:lineRule="exac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9</w:t>
            </w:r>
          </w:p>
        </w:tc>
        <w:tc>
          <w:tcPr>
            <w:tcW w:w="13325" w:type="dxa"/>
            <w:noWrap w:val="0"/>
            <w:vAlign w:val="top"/>
          </w:tcPr>
          <w:p w14:paraId="733FFF26">
            <w:pPr>
              <w:widowControl/>
              <w:jc w:val="left"/>
              <w:rPr>
                <w:rFonts w:hint="eastAsia" w:ascii="宋体" w:hAnsi="宋体" w:eastAsia="宋体" w:cs="宋体"/>
                <w:sz w:val="21"/>
                <w:szCs w:val="21"/>
              </w:rPr>
            </w:pPr>
            <w:r>
              <w:rPr>
                <w:rFonts w:hint="eastAsia" w:ascii="宋体" w:hAnsi="宋体" w:eastAsia="宋体" w:cs="宋体"/>
                <w:sz w:val="21"/>
                <w:szCs w:val="21"/>
              </w:rPr>
              <w:t>对不服从公共绿地管理单位管理的商业服务摊点，首次发生且危害后果轻微，在城管部门发现前主动改正或者在城管部门责令限期改正的期限内改正的。</w:t>
            </w:r>
          </w:p>
        </w:tc>
      </w:tr>
    </w:tbl>
    <w:p w14:paraId="6DF7C626">
      <w:pPr>
        <w:widowControl/>
        <w:textAlignment w:val="center"/>
        <w:rPr>
          <w:rFonts w:hint="eastAsia" w:ascii="黑体" w:hAnsi="黑体" w:eastAsia="黑体" w:cs="黑体"/>
          <w:spacing w:val="-11"/>
          <w:kern w:val="0"/>
          <w:sz w:val="32"/>
          <w:szCs w:val="32"/>
          <w:lang w:bidi="ar"/>
        </w:rPr>
      </w:pPr>
    </w:p>
    <w:p w14:paraId="00CD0FED">
      <w:pPr>
        <w:widowControl/>
        <w:textAlignment w:val="center"/>
        <w:rPr>
          <w:rFonts w:hint="eastAsia" w:ascii="黑体" w:hAnsi="黑体" w:eastAsia="黑体" w:cs="黑体"/>
          <w:spacing w:val="-11"/>
          <w:kern w:val="0"/>
          <w:sz w:val="32"/>
          <w:szCs w:val="32"/>
          <w:lang w:bidi="ar"/>
        </w:rPr>
      </w:pPr>
      <w:r>
        <w:rPr>
          <w:rFonts w:hint="eastAsia" w:ascii="黑体" w:hAnsi="黑体" w:eastAsia="黑体" w:cs="黑体"/>
          <w:spacing w:val="-11"/>
          <w:kern w:val="0"/>
          <w:sz w:val="32"/>
          <w:szCs w:val="32"/>
          <w:lang w:eastAsia="zh-CN" w:bidi="ar"/>
        </w:rPr>
        <w:t>十一、</w:t>
      </w:r>
      <w:r>
        <w:rPr>
          <w:rFonts w:hint="eastAsia" w:ascii="黑体" w:hAnsi="黑体" w:eastAsia="黑体" w:cs="黑体"/>
          <w:spacing w:val="-11"/>
          <w:kern w:val="0"/>
          <w:sz w:val="32"/>
          <w:szCs w:val="32"/>
          <w:lang w:bidi="ar"/>
        </w:rPr>
        <w:t>新余市财政行政领域轻微违法行为不予处罚清单</w:t>
      </w:r>
    </w:p>
    <w:tbl>
      <w:tblPr>
        <w:tblStyle w:val="9"/>
        <w:tblW w:w="14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67"/>
        <w:gridCol w:w="3783"/>
        <w:gridCol w:w="5970"/>
        <w:gridCol w:w="3660"/>
      </w:tblGrid>
      <w:tr w14:paraId="7FC0B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67" w:type="dxa"/>
            <w:tcBorders>
              <w:top w:val="single" w:color="000000" w:sz="4" w:space="0"/>
              <w:left w:val="single" w:color="000000" w:sz="4" w:space="0"/>
              <w:bottom w:val="single" w:color="000000" w:sz="4" w:space="0"/>
              <w:right w:val="single" w:color="000000" w:sz="4" w:space="0"/>
            </w:tcBorders>
            <w:noWrap/>
            <w:vAlign w:val="center"/>
          </w:tcPr>
          <w:p w14:paraId="0B5B1AE7">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序号</w:t>
            </w:r>
          </w:p>
        </w:tc>
        <w:tc>
          <w:tcPr>
            <w:tcW w:w="3783" w:type="dxa"/>
            <w:tcBorders>
              <w:top w:val="single" w:color="000000" w:sz="4" w:space="0"/>
              <w:left w:val="single" w:color="000000" w:sz="4" w:space="0"/>
              <w:bottom w:val="single" w:color="000000" w:sz="4" w:space="0"/>
              <w:right w:val="single" w:color="000000" w:sz="4" w:space="0"/>
            </w:tcBorders>
            <w:noWrap w:val="0"/>
            <w:vAlign w:val="center"/>
          </w:tcPr>
          <w:p w14:paraId="31DEEA44">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违法行为</w:t>
            </w:r>
          </w:p>
        </w:tc>
        <w:tc>
          <w:tcPr>
            <w:tcW w:w="5970" w:type="dxa"/>
            <w:tcBorders>
              <w:top w:val="single" w:color="000000" w:sz="4" w:space="0"/>
              <w:left w:val="single" w:color="000000" w:sz="4" w:space="0"/>
              <w:bottom w:val="single" w:color="000000" w:sz="4" w:space="0"/>
              <w:right w:val="single" w:color="000000" w:sz="4" w:space="0"/>
            </w:tcBorders>
            <w:noWrap w:val="0"/>
            <w:vAlign w:val="center"/>
          </w:tcPr>
          <w:p w14:paraId="77FC8880">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不予处罚条件</w:t>
            </w:r>
          </w:p>
        </w:tc>
        <w:tc>
          <w:tcPr>
            <w:tcW w:w="3660" w:type="dxa"/>
            <w:tcBorders>
              <w:top w:val="single" w:color="000000" w:sz="4" w:space="0"/>
              <w:left w:val="single" w:color="000000" w:sz="4" w:space="0"/>
              <w:bottom w:val="single" w:color="000000" w:sz="4" w:space="0"/>
              <w:right w:val="single" w:color="000000" w:sz="4" w:space="0"/>
            </w:tcBorders>
            <w:noWrap w:val="0"/>
            <w:vAlign w:val="center"/>
          </w:tcPr>
          <w:p w14:paraId="12C81601">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法律依据</w:t>
            </w:r>
          </w:p>
        </w:tc>
      </w:tr>
      <w:tr w14:paraId="33727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4280" w:type="dxa"/>
            <w:gridSpan w:val="4"/>
            <w:tcBorders>
              <w:top w:val="single" w:color="000000" w:sz="4" w:space="0"/>
              <w:left w:val="single" w:color="000000" w:sz="4" w:space="0"/>
              <w:bottom w:val="single" w:color="000000" w:sz="4" w:space="0"/>
              <w:right w:val="single" w:color="000000" w:sz="4" w:space="0"/>
            </w:tcBorders>
            <w:noWrap/>
            <w:vAlign w:val="center"/>
          </w:tcPr>
          <w:p w14:paraId="0CEFBE14">
            <w:pPr>
              <w:keepNext w:val="0"/>
              <w:keepLines w:val="0"/>
              <w:widowControl/>
              <w:suppressLineNumbers w:val="0"/>
              <w:jc w:val="left"/>
              <w:textAlignment w:val="center"/>
              <w:rPr>
                <w:rFonts w:hint="eastAsia" w:ascii="微软雅黑" w:hAnsi="微软雅黑" w:eastAsia="微软雅黑" w:cs="微软雅黑"/>
                <w:i w:val="0"/>
                <w:color w:val="333333"/>
                <w:kern w:val="0"/>
                <w:sz w:val="18"/>
                <w:szCs w:val="18"/>
                <w:u w:val="none"/>
                <w:lang w:val="en-US" w:eastAsia="zh-CN" w:bidi="ar"/>
              </w:rPr>
            </w:pPr>
            <w:r>
              <w:rPr>
                <w:rFonts w:hint="eastAsia" w:ascii="宋体" w:hAnsi="宋体" w:eastAsia="宋体" w:cs="宋体"/>
                <w:b/>
                <w:bCs/>
                <w:spacing w:val="-11"/>
                <w:kern w:val="0"/>
                <w:sz w:val="21"/>
                <w:szCs w:val="21"/>
                <w:lang w:val="en-US" w:eastAsia="zh-CN" w:bidi="ar"/>
              </w:rPr>
              <w:t>一、违反政府采购领域有关法律法规的行为</w:t>
            </w:r>
          </w:p>
        </w:tc>
      </w:tr>
      <w:tr w14:paraId="55AD6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trPr>
        <w:tc>
          <w:tcPr>
            <w:tcW w:w="867" w:type="dxa"/>
            <w:tcBorders>
              <w:top w:val="single" w:color="000000" w:sz="4" w:space="0"/>
              <w:left w:val="single" w:color="000000" w:sz="4" w:space="0"/>
              <w:bottom w:val="single" w:color="000000" w:sz="4" w:space="0"/>
              <w:right w:val="single" w:color="000000" w:sz="4" w:space="0"/>
            </w:tcBorders>
            <w:noWrap w:val="0"/>
            <w:vAlign w:val="center"/>
          </w:tcPr>
          <w:p w14:paraId="2E624070">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w:t>
            </w:r>
          </w:p>
        </w:tc>
        <w:tc>
          <w:tcPr>
            <w:tcW w:w="3783" w:type="dxa"/>
            <w:tcBorders>
              <w:top w:val="single" w:color="000000" w:sz="4" w:space="0"/>
              <w:left w:val="single" w:color="000000" w:sz="4" w:space="0"/>
              <w:bottom w:val="single" w:color="000000" w:sz="4" w:space="0"/>
              <w:right w:val="single" w:color="000000" w:sz="4" w:space="0"/>
            </w:tcBorders>
            <w:noWrap w:val="0"/>
            <w:vAlign w:val="center"/>
          </w:tcPr>
          <w:p w14:paraId="7C3FFCF9">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采用综合评分法时评审标准中的分值设置未与评审因素的量化指标相对应</w:t>
            </w:r>
          </w:p>
        </w:tc>
        <w:tc>
          <w:tcPr>
            <w:tcW w:w="5970" w:type="dxa"/>
            <w:tcBorders>
              <w:top w:val="single" w:color="000000" w:sz="4" w:space="0"/>
              <w:left w:val="single" w:color="000000" w:sz="4" w:space="0"/>
              <w:bottom w:val="single" w:color="000000" w:sz="4" w:space="0"/>
              <w:right w:val="single" w:color="000000" w:sz="4" w:space="0"/>
            </w:tcBorders>
            <w:noWrap w:val="0"/>
            <w:vAlign w:val="center"/>
          </w:tcPr>
          <w:p w14:paraId="21ACEFED">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1、在新余市范围内本年度初次违法；2、未导致供应商投诉举报。</w:t>
            </w:r>
          </w:p>
        </w:tc>
        <w:tc>
          <w:tcPr>
            <w:tcW w:w="3660" w:type="dxa"/>
            <w:tcBorders>
              <w:top w:val="single" w:color="000000" w:sz="4" w:space="0"/>
              <w:left w:val="single" w:color="000000" w:sz="4" w:space="0"/>
              <w:bottom w:val="single" w:color="000000" w:sz="4" w:space="0"/>
              <w:right w:val="single" w:color="000000" w:sz="4" w:space="0"/>
            </w:tcBorders>
            <w:noWrap w:val="0"/>
            <w:vAlign w:val="center"/>
          </w:tcPr>
          <w:p w14:paraId="68FBEEC2">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《中华人民共和国政府采购法实施条例》第六十八条</w:t>
            </w:r>
          </w:p>
        </w:tc>
      </w:tr>
      <w:tr w14:paraId="19B2C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78" w:hRule="atLeast"/>
        </w:trPr>
        <w:tc>
          <w:tcPr>
            <w:tcW w:w="867" w:type="dxa"/>
            <w:tcBorders>
              <w:top w:val="single" w:color="000000" w:sz="4" w:space="0"/>
              <w:left w:val="single" w:color="000000" w:sz="4" w:space="0"/>
              <w:bottom w:val="single" w:color="000000" w:sz="4" w:space="0"/>
              <w:right w:val="single" w:color="000000" w:sz="4" w:space="0"/>
            </w:tcBorders>
            <w:noWrap w:val="0"/>
            <w:vAlign w:val="center"/>
          </w:tcPr>
          <w:p w14:paraId="3A4B3D91">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w:t>
            </w:r>
          </w:p>
        </w:tc>
        <w:tc>
          <w:tcPr>
            <w:tcW w:w="3783" w:type="dxa"/>
            <w:tcBorders>
              <w:top w:val="single" w:color="000000" w:sz="4" w:space="0"/>
              <w:left w:val="single" w:color="000000" w:sz="4" w:space="0"/>
              <w:bottom w:val="single" w:color="000000" w:sz="4" w:space="0"/>
              <w:right w:val="single" w:color="000000" w:sz="4" w:space="0"/>
            </w:tcBorders>
            <w:noWrap w:val="0"/>
            <w:vAlign w:val="center"/>
          </w:tcPr>
          <w:p w14:paraId="61CDCE24">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中标或者成交后无正当理由拒不与采购人签订政府采购合同</w:t>
            </w:r>
          </w:p>
        </w:tc>
        <w:tc>
          <w:tcPr>
            <w:tcW w:w="5970" w:type="dxa"/>
            <w:tcBorders>
              <w:top w:val="single" w:color="000000" w:sz="4" w:space="0"/>
              <w:left w:val="single" w:color="000000" w:sz="4" w:space="0"/>
              <w:bottom w:val="single" w:color="000000" w:sz="4" w:space="0"/>
              <w:right w:val="single" w:color="000000" w:sz="4" w:space="0"/>
            </w:tcBorders>
            <w:noWrap w:val="0"/>
            <w:vAlign w:val="center"/>
          </w:tcPr>
          <w:p w14:paraId="055E6FEC">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在新余市范围内本年度初次违法；2、对项目采购文件、项目实施条件的理解出现重大失误或者投标报价等发生重大失误；3、在中标或成交通知书发出之日起30日内积极与采购人沟通，采购人书面谅解；4、采购项目可按采购文件评审办法规定的递补规则，从合格候选人中另行确定中标或成交供应商，未对采购效率产生严重影响。</w:t>
            </w:r>
          </w:p>
        </w:tc>
        <w:tc>
          <w:tcPr>
            <w:tcW w:w="3660" w:type="dxa"/>
            <w:tcBorders>
              <w:top w:val="single" w:color="000000" w:sz="4" w:space="0"/>
              <w:left w:val="single" w:color="000000" w:sz="4" w:space="0"/>
              <w:bottom w:val="single" w:color="000000" w:sz="4" w:space="0"/>
              <w:right w:val="single" w:color="000000" w:sz="4" w:space="0"/>
            </w:tcBorders>
            <w:noWrap w:val="0"/>
            <w:vAlign w:val="center"/>
          </w:tcPr>
          <w:p w14:paraId="4CAEAEF8">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《中华人民共和国政府采购法实施条例》第七十二条</w:t>
            </w:r>
          </w:p>
        </w:tc>
      </w:tr>
      <w:tr w14:paraId="7AD09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867" w:type="dxa"/>
            <w:tcBorders>
              <w:top w:val="single" w:color="000000" w:sz="4" w:space="0"/>
              <w:left w:val="single" w:color="000000" w:sz="4" w:space="0"/>
              <w:bottom w:val="single" w:color="000000" w:sz="4" w:space="0"/>
              <w:right w:val="single" w:color="000000" w:sz="4" w:space="0"/>
            </w:tcBorders>
            <w:noWrap w:val="0"/>
            <w:vAlign w:val="center"/>
          </w:tcPr>
          <w:p w14:paraId="56FC92BB">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w:t>
            </w:r>
          </w:p>
        </w:tc>
        <w:tc>
          <w:tcPr>
            <w:tcW w:w="3783" w:type="dxa"/>
            <w:tcBorders>
              <w:top w:val="single" w:color="000000" w:sz="4" w:space="0"/>
              <w:left w:val="single" w:color="000000" w:sz="4" w:space="0"/>
              <w:bottom w:val="single" w:color="000000" w:sz="4" w:space="0"/>
              <w:right w:val="single" w:color="000000" w:sz="4" w:space="0"/>
            </w:tcBorders>
            <w:noWrap w:val="0"/>
            <w:vAlign w:val="center"/>
          </w:tcPr>
          <w:p w14:paraId="4C036ADD">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未按照采购文件确定的事项签订政府采购合同</w:t>
            </w:r>
          </w:p>
        </w:tc>
        <w:tc>
          <w:tcPr>
            <w:tcW w:w="5970" w:type="dxa"/>
            <w:tcBorders>
              <w:top w:val="single" w:color="000000" w:sz="4" w:space="0"/>
              <w:left w:val="single" w:color="000000" w:sz="4" w:space="0"/>
              <w:bottom w:val="single" w:color="000000" w:sz="4" w:space="0"/>
              <w:right w:val="single" w:color="000000" w:sz="4" w:space="0"/>
            </w:tcBorders>
            <w:noWrap w:val="0"/>
            <w:vAlign w:val="center"/>
          </w:tcPr>
          <w:p w14:paraId="59EB25ED">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1、在新余市范围内本年度初次违法；2、及时改正并按照</w:t>
            </w:r>
            <w:r>
              <w:rPr>
                <w:rFonts w:hint="eastAsia" w:ascii="宋体" w:hAnsi="宋体" w:cs="宋体"/>
                <w:spacing w:val="-11"/>
                <w:kern w:val="0"/>
                <w:sz w:val="21"/>
                <w:szCs w:val="21"/>
                <w:lang w:val="en-US" w:eastAsia="zh-CN" w:bidi="ar"/>
              </w:rPr>
              <w:t>采</w:t>
            </w:r>
            <w:r>
              <w:rPr>
                <w:rFonts w:hint="eastAsia" w:ascii="宋体" w:hAnsi="宋体" w:eastAsia="宋体" w:cs="宋体"/>
                <w:spacing w:val="-11"/>
                <w:kern w:val="0"/>
                <w:sz w:val="21"/>
                <w:szCs w:val="21"/>
                <w:lang w:val="en-US" w:eastAsia="zh-CN" w:bidi="ar"/>
              </w:rPr>
              <w:t>购文件确定事项与</w:t>
            </w:r>
            <w:r>
              <w:rPr>
                <w:rFonts w:hint="eastAsia" w:ascii="宋体" w:hAnsi="宋体" w:cs="宋体"/>
                <w:spacing w:val="-11"/>
                <w:kern w:val="0"/>
                <w:sz w:val="21"/>
                <w:szCs w:val="21"/>
                <w:lang w:val="en-US" w:eastAsia="zh-CN" w:bidi="ar"/>
              </w:rPr>
              <w:t>采</w:t>
            </w:r>
            <w:r>
              <w:rPr>
                <w:rFonts w:hint="eastAsia" w:ascii="宋体" w:hAnsi="宋体" w:eastAsia="宋体" w:cs="宋体"/>
                <w:spacing w:val="-11"/>
                <w:kern w:val="0"/>
                <w:sz w:val="21"/>
                <w:szCs w:val="21"/>
                <w:lang w:val="en-US" w:eastAsia="zh-CN" w:bidi="ar"/>
              </w:rPr>
              <w:t>购人签订补充合同；3、没有造成实际危害后果或危害后果轻微。</w:t>
            </w:r>
          </w:p>
        </w:tc>
        <w:tc>
          <w:tcPr>
            <w:tcW w:w="3660" w:type="dxa"/>
            <w:tcBorders>
              <w:top w:val="single" w:color="000000" w:sz="4" w:space="0"/>
              <w:left w:val="single" w:color="000000" w:sz="4" w:space="0"/>
              <w:bottom w:val="single" w:color="000000" w:sz="4" w:space="0"/>
              <w:right w:val="single" w:color="000000" w:sz="4" w:space="0"/>
            </w:tcBorders>
            <w:noWrap w:val="0"/>
            <w:vAlign w:val="center"/>
          </w:tcPr>
          <w:p w14:paraId="14637B0E">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《中华人民共和国政府采购法实施条例》第七十二条</w:t>
            </w:r>
          </w:p>
        </w:tc>
      </w:tr>
      <w:tr w14:paraId="2957B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4280" w:type="dxa"/>
            <w:gridSpan w:val="4"/>
            <w:tcBorders>
              <w:top w:val="single" w:color="000000" w:sz="4" w:space="0"/>
              <w:left w:val="single" w:color="000000" w:sz="4" w:space="0"/>
              <w:bottom w:val="single" w:color="000000" w:sz="4" w:space="0"/>
              <w:right w:val="single" w:color="000000" w:sz="4" w:space="0"/>
            </w:tcBorders>
            <w:noWrap/>
            <w:vAlign w:val="center"/>
          </w:tcPr>
          <w:p w14:paraId="679A78DA">
            <w:pPr>
              <w:keepNext w:val="0"/>
              <w:keepLines w:val="0"/>
              <w:widowControl/>
              <w:suppressLineNumbers w:val="0"/>
              <w:jc w:val="left"/>
              <w:textAlignment w:val="center"/>
              <w:rPr>
                <w:rFonts w:hint="eastAsia" w:ascii="微软雅黑" w:hAnsi="微软雅黑" w:eastAsia="微软雅黑" w:cs="微软雅黑"/>
                <w:i w:val="0"/>
                <w:color w:val="333333"/>
                <w:kern w:val="0"/>
                <w:sz w:val="18"/>
                <w:szCs w:val="18"/>
                <w:u w:val="none"/>
                <w:lang w:val="en-US" w:eastAsia="zh-CN" w:bidi="ar"/>
              </w:rPr>
            </w:pPr>
            <w:r>
              <w:rPr>
                <w:rFonts w:hint="eastAsia" w:ascii="宋体" w:hAnsi="宋体" w:eastAsia="宋体" w:cs="宋体"/>
                <w:b/>
                <w:bCs/>
                <w:spacing w:val="-11"/>
                <w:kern w:val="0"/>
                <w:sz w:val="21"/>
                <w:szCs w:val="21"/>
                <w:lang w:val="en-US" w:eastAsia="zh-CN" w:bidi="ar"/>
              </w:rPr>
              <w:t>二、违反</w:t>
            </w:r>
            <w:r>
              <w:rPr>
                <w:rFonts w:hint="default" w:ascii="宋体" w:hAnsi="宋体" w:eastAsia="宋体" w:cs="宋体"/>
                <w:b/>
                <w:bCs/>
                <w:spacing w:val="-11"/>
                <w:kern w:val="0"/>
                <w:sz w:val="21"/>
                <w:szCs w:val="21"/>
                <w:lang w:val="en-US" w:eastAsia="zh-CN" w:bidi="ar"/>
              </w:rPr>
              <w:t>代理记账机构</w:t>
            </w:r>
            <w:r>
              <w:rPr>
                <w:rFonts w:hint="eastAsia" w:ascii="宋体" w:hAnsi="宋体" w:eastAsia="宋体" w:cs="宋体"/>
                <w:b/>
                <w:bCs/>
                <w:spacing w:val="-11"/>
                <w:kern w:val="0"/>
                <w:sz w:val="21"/>
                <w:szCs w:val="21"/>
                <w:lang w:val="en-US" w:eastAsia="zh-CN" w:bidi="ar"/>
              </w:rPr>
              <w:t>领域有关法律法规的行为</w:t>
            </w:r>
          </w:p>
        </w:tc>
      </w:tr>
      <w:tr w14:paraId="0EF71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23B869">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1</w:t>
            </w:r>
          </w:p>
        </w:tc>
        <w:tc>
          <w:tcPr>
            <w:tcW w:w="378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A9CCA1">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代理记账机构未按照《代理记账管理办法》规定进行年度备案</w:t>
            </w:r>
          </w:p>
        </w:tc>
        <w:tc>
          <w:tcPr>
            <w:tcW w:w="597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A565A0">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1、在新余市范围内初次违法；2、</w:t>
            </w:r>
            <w:r>
              <w:rPr>
                <w:rFonts w:hint="default" w:ascii="宋体" w:hAnsi="宋体" w:eastAsia="宋体" w:cs="宋体"/>
                <w:spacing w:val="-11"/>
                <w:kern w:val="0"/>
                <w:sz w:val="21"/>
                <w:szCs w:val="21"/>
                <w:lang w:val="en-US" w:eastAsia="zh-CN" w:bidi="ar"/>
              </w:rPr>
              <w:t>立即自行改正或在责令改正期限内改正</w:t>
            </w:r>
          </w:p>
        </w:tc>
        <w:tc>
          <w:tcPr>
            <w:tcW w:w="36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E7C471">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《代理记账管理办法》（2016年财政部令第80号公布，根据2019年财政部令第98号修改）第十六条、第二十二条</w:t>
            </w:r>
          </w:p>
        </w:tc>
      </w:tr>
      <w:tr w14:paraId="373C1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980194F">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2</w:t>
            </w:r>
          </w:p>
        </w:tc>
        <w:tc>
          <w:tcPr>
            <w:tcW w:w="378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5D2CC70">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代理记账机构名称发生变更，未按照《代理记账管理办法》规定办理变更登记</w:t>
            </w:r>
          </w:p>
        </w:tc>
        <w:tc>
          <w:tcPr>
            <w:tcW w:w="597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EE6611">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1、在新余市范围内初次违法；2、</w:t>
            </w:r>
            <w:r>
              <w:rPr>
                <w:rFonts w:hint="default" w:ascii="宋体" w:hAnsi="宋体" w:eastAsia="宋体" w:cs="宋体"/>
                <w:spacing w:val="-11"/>
                <w:kern w:val="0"/>
                <w:sz w:val="21"/>
                <w:szCs w:val="21"/>
                <w:lang w:val="en-US" w:eastAsia="zh-CN" w:bidi="ar"/>
              </w:rPr>
              <w:t>立即自行改正或在责令改正期限内改正</w:t>
            </w:r>
          </w:p>
        </w:tc>
        <w:tc>
          <w:tcPr>
            <w:tcW w:w="36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D4DAF3">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《代理记账管理办法》（2016年财政部令第80号公布，根据2019年财政部令第98号修改）第八条第一款、第二十二条</w:t>
            </w:r>
          </w:p>
        </w:tc>
      </w:tr>
      <w:tr w14:paraId="729BA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1A9253">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3</w:t>
            </w:r>
          </w:p>
        </w:tc>
        <w:tc>
          <w:tcPr>
            <w:tcW w:w="378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5391D7">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代理记账机构主管代理记账业务的负责人发生变更，未按照《代理记账管理办法》规定办理变更登记</w:t>
            </w:r>
          </w:p>
        </w:tc>
        <w:tc>
          <w:tcPr>
            <w:tcW w:w="597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A2901D">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1、在新余市范围内初次违法；2、</w:t>
            </w:r>
            <w:r>
              <w:rPr>
                <w:rFonts w:hint="default" w:ascii="宋体" w:hAnsi="宋体" w:eastAsia="宋体" w:cs="宋体"/>
                <w:spacing w:val="-11"/>
                <w:kern w:val="0"/>
                <w:sz w:val="21"/>
                <w:szCs w:val="21"/>
                <w:lang w:val="en-US" w:eastAsia="zh-CN" w:bidi="ar"/>
              </w:rPr>
              <w:t>立即自行改正或在责令改正期限内改正</w:t>
            </w:r>
          </w:p>
        </w:tc>
        <w:tc>
          <w:tcPr>
            <w:tcW w:w="36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B0DCF9">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《代理记账管理办法》（2016年财政部令第80号公布，根据2019年财政部令第98号修改）第八条第一款、第二十二条</w:t>
            </w:r>
          </w:p>
        </w:tc>
      </w:tr>
      <w:tr w14:paraId="768D9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096CE8">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4</w:t>
            </w:r>
          </w:p>
        </w:tc>
        <w:tc>
          <w:tcPr>
            <w:tcW w:w="378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25BB81">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代理记账机构设立或撤销分支机构的，未按照《代理记账管理办法》规定办理变更登记</w:t>
            </w:r>
          </w:p>
        </w:tc>
        <w:tc>
          <w:tcPr>
            <w:tcW w:w="597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D86939">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1、在新余市范围内初次违法；2、</w:t>
            </w:r>
            <w:r>
              <w:rPr>
                <w:rFonts w:hint="default" w:ascii="宋体" w:hAnsi="宋体" w:eastAsia="宋体" w:cs="宋体"/>
                <w:spacing w:val="-11"/>
                <w:kern w:val="0"/>
                <w:sz w:val="21"/>
                <w:szCs w:val="21"/>
                <w:lang w:val="en-US" w:eastAsia="zh-CN" w:bidi="ar"/>
              </w:rPr>
              <w:t>立即自行改正或在责令改正期限内改正</w:t>
            </w:r>
          </w:p>
        </w:tc>
        <w:tc>
          <w:tcPr>
            <w:tcW w:w="36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592CD5">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《代理记账管理办法》（2016年财政部令第80号公布，根据2019年财政部令第98号修改）第八条第一款、第二十二条</w:t>
            </w:r>
          </w:p>
        </w:tc>
      </w:tr>
      <w:tr w14:paraId="33812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1C512B">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5</w:t>
            </w:r>
          </w:p>
        </w:tc>
        <w:tc>
          <w:tcPr>
            <w:tcW w:w="378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8B15D8">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代理记账机构跨原审批机关管辖地迁移办公地点的，未按照《代理记账管理办法》规定办理变更登记</w:t>
            </w:r>
          </w:p>
        </w:tc>
        <w:tc>
          <w:tcPr>
            <w:tcW w:w="597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3B3349">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1、在新余市范围内初次违法；2、</w:t>
            </w:r>
            <w:r>
              <w:rPr>
                <w:rFonts w:hint="default" w:ascii="宋体" w:hAnsi="宋体" w:eastAsia="宋体" w:cs="宋体"/>
                <w:spacing w:val="-11"/>
                <w:kern w:val="0"/>
                <w:sz w:val="21"/>
                <w:szCs w:val="21"/>
                <w:lang w:val="en-US" w:eastAsia="zh-CN" w:bidi="ar"/>
              </w:rPr>
              <w:t>立即自行改正或在责令改正期限内改正</w:t>
            </w:r>
          </w:p>
        </w:tc>
        <w:tc>
          <w:tcPr>
            <w:tcW w:w="36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F55919">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default" w:ascii="宋体" w:hAnsi="宋体" w:eastAsia="宋体" w:cs="宋体"/>
                <w:spacing w:val="-11"/>
                <w:kern w:val="0"/>
                <w:sz w:val="21"/>
                <w:szCs w:val="21"/>
                <w:lang w:val="en-US" w:eastAsia="zh-CN" w:bidi="ar"/>
              </w:rPr>
              <w:t>《代理记账管理办法》（2016年财政部令第80号公布，根据2019年财政部令第98号修改）第八条第一款、第二十二条</w:t>
            </w:r>
          </w:p>
        </w:tc>
      </w:tr>
    </w:tbl>
    <w:p w14:paraId="0538B5DF">
      <w:pPr>
        <w:keepNext w:val="0"/>
        <w:keepLines w:val="0"/>
        <w:widowControl/>
        <w:suppressLineNumbers w:val="0"/>
        <w:jc w:val="left"/>
        <w:textAlignment w:val="center"/>
        <w:rPr>
          <w:rFonts w:hint="eastAsia" w:ascii="微软雅黑" w:hAnsi="微软雅黑" w:eastAsia="微软雅黑" w:cs="微软雅黑"/>
          <w:i w:val="0"/>
          <w:color w:val="333333"/>
          <w:kern w:val="0"/>
          <w:sz w:val="18"/>
          <w:szCs w:val="18"/>
          <w:u w:val="none"/>
          <w:lang w:val="en-US" w:eastAsia="zh-CN" w:bidi="ar"/>
        </w:rPr>
      </w:pPr>
    </w:p>
    <w:p w14:paraId="751C1F50">
      <w:pPr>
        <w:widowControl/>
        <w:textAlignment w:val="center"/>
        <w:rPr>
          <w:rFonts w:hint="eastAsia"/>
          <w:highlight w:val="red"/>
          <w:lang w:val="en-US" w:eastAsia="zh-CN"/>
        </w:rPr>
      </w:pPr>
      <w:r>
        <w:rPr>
          <w:rFonts w:hint="eastAsia" w:ascii="黑体" w:hAnsi="黑体" w:eastAsia="黑体" w:cs="黑体"/>
          <w:spacing w:val="-11"/>
          <w:kern w:val="0"/>
          <w:sz w:val="32"/>
          <w:szCs w:val="32"/>
          <w:highlight w:val="none"/>
          <w:lang w:val="en-US" w:eastAsia="zh-CN" w:bidi="ar"/>
        </w:rPr>
        <w:t>十二、新余市劳动保障轻微违法行为不予行政处罚事项清单</w:t>
      </w:r>
    </w:p>
    <w:tbl>
      <w:tblPr>
        <w:tblStyle w:val="10"/>
        <w:tblW w:w="14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3149"/>
        <w:gridCol w:w="3285"/>
        <w:gridCol w:w="2340"/>
        <w:gridCol w:w="4740"/>
      </w:tblGrid>
      <w:tr w14:paraId="6CD5B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26" w:type="dxa"/>
            <w:vAlign w:val="center"/>
          </w:tcPr>
          <w:p w14:paraId="039541B9">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序号</w:t>
            </w:r>
          </w:p>
        </w:tc>
        <w:tc>
          <w:tcPr>
            <w:tcW w:w="3149" w:type="dxa"/>
            <w:vAlign w:val="top"/>
          </w:tcPr>
          <w:p w14:paraId="23DE24F9">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违法行为</w:t>
            </w:r>
          </w:p>
        </w:tc>
        <w:tc>
          <w:tcPr>
            <w:tcW w:w="3285" w:type="dxa"/>
            <w:vAlign w:val="top"/>
          </w:tcPr>
          <w:p w14:paraId="5DF4F3C2">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处罚标准</w:t>
            </w:r>
          </w:p>
        </w:tc>
        <w:tc>
          <w:tcPr>
            <w:tcW w:w="2340" w:type="dxa"/>
            <w:vAlign w:val="top"/>
          </w:tcPr>
          <w:p w14:paraId="194CCE01">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法律依据</w:t>
            </w:r>
          </w:p>
        </w:tc>
        <w:tc>
          <w:tcPr>
            <w:tcW w:w="4740" w:type="dxa"/>
            <w:vAlign w:val="top"/>
          </w:tcPr>
          <w:p w14:paraId="5C7E9D7C">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不予处罚适用情形</w:t>
            </w:r>
          </w:p>
        </w:tc>
      </w:tr>
      <w:tr w14:paraId="7F424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vAlign w:val="center"/>
          </w:tcPr>
          <w:p w14:paraId="1D091BA5">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w:t>
            </w:r>
          </w:p>
        </w:tc>
        <w:tc>
          <w:tcPr>
            <w:tcW w:w="3149" w:type="dxa"/>
            <w:vAlign w:val="top"/>
          </w:tcPr>
          <w:p w14:paraId="3B06CC7B">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用人单位招用人员后未按规定于录用之日起30日内办理就业登记手续</w:t>
            </w:r>
          </w:p>
          <w:p w14:paraId="61C3F290">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p>
        </w:tc>
        <w:tc>
          <w:tcPr>
            <w:tcW w:w="3285" w:type="dxa"/>
            <w:vAlign w:val="top"/>
          </w:tcPr>
          <w:p w14:paraId="640064CF">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由劳动保障行政部门责令改正，并可处以一千元以下的罚款</w:t>
            </w:r>
          </w:p>
        </w:tc>
        <w:tc>
          <w:tcPr>
            <w:tcW w:w="2340" w:type="dxa"/>
            <w:vAlign w:val="top"/>
          </w:tcPr>
          <w:p w14:paraId="0403579B">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《就业服务与就业管理规定》第七十五条</w:t>
            </w:r>
          </w:p>
        </w:tc>
        <w:tc>
          <w:tcPr>
            <w:tcW w:w="4740" w:type="dxa"/>
            <w:vAlign w:val="top"/>
          </w:tcPr>
          <w:p w14:paraId="014DCF19">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未对劳动者权益造成严重损害后果，且在整改期限内及时办理就业登记手续</w:t>
            </w:r>
          </w:p>
        </w:tc>
      </w:tr>
      <w:tr w14:paraId="2F60D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vAlign w:val="center"/>
          </w:tcPr>
          <w:p w14:paraId="63A91BFC">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w:t>
            </w:r>
          </w:p>
        </w:tc>
        <w:tc>
          <w:tcPr>
            <w:tcW w:w="3149" w:type="dxa"/>
            <w:vAlign w:val="top"/>
          </w:tcPr>
          <w:p w14:paraId="2F97C12C">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用人单位与职工终止或者解除劳动关系后，未按规定于15日内办理就业登记手续</w:t>
            </w:r>
          </w:p>
        </w:tc>
        <w:tc>
          <w:tcPr>
            <w:tcW w:w="3285" w:type="dxa"/>
            <w:vAlign w:val="top"/>
          </w:tcPr>
          <w:p w14:paraId="28186DB8">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由劳动保障行政部门责令改正，并可处以一千元以下的罚款</w:t>
            </w:r>
          </w:p>
        </w:tc>
        <w:tc>
          <w:tcPr>
            <w:tcW w:w="2340" w:type="dxa"/>
            <w:vAlign w:val="top"/>
          </w:tcPr>
          <w:p w14:paraId="064855F6">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《就业服务与就业管理规定》第七十五条</w:t>
            </w:r>
          </w:p>
        </w:tc>
        <w:tc>
          <w:tcPr>
            <w:tcW w:w="4740" w:type="dxa"/>
            <w:vAlign w:val="top"/>
          </w:tcPr>
          <w:p w14:paraId="74D58B38">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未对劳动者权益造成严重损害后果，且在整改期限内及时办理就业登记手续</w:t>
            </w:r>
          </w:p>
        </w:tc>
      </w:tr>
      <w:tr w14:paraId="581A7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vAlign w:val="center"/>
          </w:tcPr>
          <w:p w14:paraId="08447F52">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w:t>
            </w:r>
          </w:p>
        </w:tc>
        <w:tc>
          <w:tcPr>
            <w:tcW w:w="3149" w:type="dxa"/>
            <w:vAlign w:val="top"/>
          </w:tcPr>
          <w:p w14:paraId="6B198F7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扣押劳动者居民身份证等证件</w:t>
            </w:r>
          </w:p>
        </w:tc>
        <w:tc>
          <w:tcPr>
            <w:tcW w:w="3285" w:type="dxa"/>
            <w:vAlign w:val="top"/>
          </w:tcPr>
          <w:p w14:paraId="44C92212">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以每人五百元以上二千元以下标准处以罚款</w:t>
            </w:r>
          </w:p>
        </w:tc>
        <w:tc>
          <w:tcPr>
            <w:tcW w:w="2340" w:type="dxa"/>
            <w:vAlign w:val="top"/>
          </w:tcPr>
          <w:p w14:paraId="227EE519">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《中华人民共和国劳动合同法》第八十四条第一款</w:t>
            </w:r>
          </w:p>
        </w:tc>
        <w:tc>
          <w:tcPr>
            <w:tcW w:w="4740" w:type="dxa"/>
            <w:vAlign w:val="top"/>
          </w:tcPr>
          <w:p w14:paraId="03A8E2C5">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未对劳动者权益造成严重损害后果，且在整改期限内及时返还扣押证件</w:t>
            </w:r>
          </w:p>
        </w:tc>
      </w:tr>
      <w:tr w14:paraId="08C28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1" w:hRule="atLeast"/>
        </w:trPr>
        <w:tc>
          <w:tcPr>
            <w:tcW w:w="826" w:type="dxa"/>
            <w:vAlign w:val="center"/>
          </w:tcPr>
          <w:p w14:paraId="70AD0474">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4</w:t>
            </w:r>
          </w:p>
        </w:tc>
        <w:tc>
          <w:tcPr>
            <w:tcW w:w="3149" w:type="dxa"/>
            <w:vAlign w:val="top"/>
          </w:tcPr>
          <w:p w14:paraId="7D6ACA1D">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以担保或其它名义向劳动者收取财物</w:t>
            </w:r>
          </w:p>
        </w:tc>
        <w:tc>
          <w:tcPr>
            <w:tcW w:w="3285" w:type="dxa"/>
            <w:vAlign w:val="top"/>
          </w:tcPr>
          <w:p w14:paraId="3FD25B1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以每人五百元以上二千元以下标准处以罚款</w:t>
            </w:r>
          </w:p>
        </w:tc>
        <w:tc>
          <w:tcPr>
            <w:tcW w:w="2340" w:type="dxa"/>
            <w:vAlign w:val="top"/>
          </w:tcPr>
          <w:p w14:paraId="34B097D8">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《中华人民共和国劳动合同法》第八十四条第二款</w:t>
            </w:r>
          </w:p>
        </w:tc>
        <w:tc>
          <w:tcPr>
            <w:tcW w:w="4740" w:type="dxa"/>
            <w:vAlign w:val="top"/>
          </w:tcPr>
          <w:p w14:paraId="253D7F52">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人均收取金额500元以下或收取物品人数占总人数10%以下的，且在整改期限内及时返还财物</w:t>
            </w:r>
          </w:p>
        </w:tc>
      </w:tr>
      <w:tr w14:paraId="18965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vAlign w:val="center"/>
          </w:tcPr>
          <w:p w14:paraId="058BBCCF">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5</w:t>
            </w:r>
          </w:p>
        </w:tc>
        <w:tc>
          <w:tcPr>
            <w:tcW w:w="3149" w:type="dxa"/>
            <w:vAlign w:val="top"/>
          </w:tcPr>
          <w:p w14:paraId="6D8B8A96">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用人单位招用无合法身份证件的人员</w:t>
            </w:r>
          </w:p>
        </w:tc>
        <w:tc>
          <w:tcPr>
            <w:tcW w:w="3285" w:type="dxa"/>
            <w:vAlign w:val="top"/>
          </w:tcPr>
          <w:p w14:paraId="03914CC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由劳动保障行政部门责令改正，并可处以一千元以下的罚款</w:t>
            </w:r>
          </w:p>
        </w:tc>
        <w:tc>
          <w:tcPr>
            <w:tcW w:w="2340" w:type="dxa"/>
            <w:vAlign w:val="top"/>
          </w:tcPr>
          <w:p w14:paraId="1A7EC008">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《就业服务与就业管理规定》第六十七条</w:t>
            </w:r>
          </w:p>
        </w:tc>
        <w:tc>
          <w:tcPr>
            <w:tcW w:w="4740" w:type="dxa"/>
            <w:vAlign w:val="top"/>
          </w:tcPr>
          <w:p w14:paraId="60BAC02A">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招用人员不涉及童工，且在整改期限内及时改正的</w:t>
            </w:r>
          </w:p>
        </w:tc>
      </w:tr>
      <w:tr w14:paraId="2FE4E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vAlign w:val="center"/>
          </w:tcPr>
          <w:p w14:paraId="41676F85">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6</w:t>
            </w:r>
          </w:p>
        </w:tc>
        <w:tc>
          <w:tcPr>
            <w:tcW w:w="3149" w:type="dxa"/>
            <w:vAlign w:val="top"/>
          </w:tcPr>
          <w:p w14:paraId="70BDBF28">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职业中介机构在职业中介服务不成功后未向劳动者退还所收取的中介服务费</w:t>
            </w:r>
          </w:p>
        </w:tc>
        <w:tc>
          <w:tcPr>
            <w:tcW w:w="3285" w:type="dxa"/>
            <w:vAlign w:val="top"/>
          </w:tcPr>
          <w:p w14:paraId="1CDE6CB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由劳动保障行政部门责令改正，并可处一千元以下罚款</w:t>
            </w:r>
          </w:p>
        </w:tc>
        <w:tc>
          <w:tcPr>
            <w:tcW w:w="2340" w:type="dxa"/>
            <w:vAlign w:val="top"/>
          </w:tcPr>
          <w:p w14:paraId="6698015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《就业服务与就业管理规定》第七十三条</w:t>
            </w:r>
          </w:p>
        </w:tc>
        <w:tc>
          <w:tcPr>
            <w:tcW w:w="4740" w:type="dxa"/>
            <w:vAlign w:val="top"/>
          </w:tcPr>
          <w:p w14:paraId="0D1EE426">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未对劳动者权益造成严重损害后果，且在整改期限内及时改正的</w:t>
            </w:r>
          </w:p>
        </w:tc>
      </w:tr>
      <w:tr w14:paraId="02C76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vAlign w:val="center"/>
          </w:tcPr>
          <w:p w14:paraId="6ACCDCFA">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7</w:t>
            </w:r>
          </w:p>
        </w:tc>
        <w:tc>
          <w:tcPr>
            <w:tcW w:w="3149" w:type="dxa"/>
            <w:vAlign w:val="top"/>
          </w:tcPr>
          <w:p w14:paraId="69D42EF9">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对职业中介机构未明示职业中介许可证、监督电话的处罚</w:t>
            </w:r>
          </w:p>
        </w:tc>
        <w:tc>
          <w:tcPr>
            <w:tcW w:w="3285" w:type="dxa"/>
            <w:vAlign w:val="top"/>
          </w:tcPr>
          <w:p w14:paraId="03C2F09B">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由劳动保障行政部门责令改正，并可处以一千元以下的罚款</w:t>
            </w:r>
          </w:p>
        </w:tc>
        <w:tc>
          <w:tcPr>
            <w:tcW w:w="2340" w:type="dxa"/>
            <w:vAlign w:val="top"/>
          </w:tcPr>
          <w:p w14:paraId="26CF479F">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《就业服务与就业管理规定》第七十一条</w:t>
            </w:r>
          </w:p>
        </w:tc>
        <w:tc>
          <w:tcPr>
            <w:tcW w:w="4740" w:type="dxa"/>
            <w:vAlign w:val="top"/>
          </w:tcPr>
          <w:p w14:paraId="02A54C5E">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当事人初次违反本规定，未对相关主体造成实际损害，主动明示或者在责令改正期限内明示职业中介许可证和监督电话。</w:t>
            </w:r>
          </w:p>
          <w:p w14:paraId="5D124090">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p>
        </w:tc>
      </w:tr>
      <w:tr w14:paraId="144EF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trPr>
        <w:tc>
          <w:tcPr>
            <w:tcW w:w="826" w:type="dxa"/>
            <w:vAlign w:val="center"/>
          </w:tcPr>
          <w:p w14:paraId="7B763C9B">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8</w:t>
            </w:r>
          </w:p>
        </w:tc>
        <w:tc>
          <w:tcPr>
            <w:tcW w:w="3149" w:type="dxa"/>
            <w:vAlign w:val="top"/>
          </w:tcPr>
          <w:p w14:paraId="3D90057B">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用人单位发布虚假招聘广告</w:t>
            </w:r>
          </w:p>
        </w:tc>
        <w:tc>
          <w:tcPr>
            <w:tcW w:w="3285" w:type="dxa"/>
            <w:vAlign w:val="top"/>
          </w:tcPr>
          <w:p w14:paraId="3380D6AB">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由劳动保障行政部门责令改正，并可处以一千元以下的罚款</w:t>
            </w:r>
          </w:p>
        </w:tc>
        <w:tc>
          <w:tcPr>
            <w:tcW w:w="2340" w:type="dxa"/>
            <w:vAlign w:val="top"/>
          </w:tcPr>
          <w:p w14:paraId="6F5E8AAC">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 xml:space="preserve">《就业服务与就业管理规定》第六十七条 </w:t>
            </w:r>
          </w:p>
          <w:p w14:paraId="50272780">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p>
        </w:tc>
        <w:tc>
          <w:tcPr>
            <w:tcW w:w="4740" w:type="dxa"/>
            <w:vAlign w:val="top"/>
          </w:tcPr>
          <w:p w14:paraId="326800A7">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未对劳动者权益造成严重损害后果，且在整改期限内及时改正的</w:t>
            </w:r>
          </w:p>
        </w:tc>
      </w:tr>
      <w:tr w14:paraId="3F57C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826" w:type="dxa"/>
            <w:vAlign w:val="center"/>
          </w:tcPr>
          <w:p w14:paraId="1C0886CE">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9</w:t>
            </w:r>
          </w:p>
        </w:tc>
        <w:tc>
          <w:tcPr>
            <w:tcW w:w="3149" w:type="dxa"/>
            <w:vAlign w:val="top"/>
          </w:tcPr>
          <w:p w14:paraId="65601008">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用人单位以招用人员为名牟取不正当利益或进行其他违法活动</w:t>
            </w:r>
          </w:p>
        </w:tc>
        <w:tc>
          <w:tcPr>
            <w:tcW w:w="3285" w:type="dxa"/>
            <w:vAlign w:val="top"/>
          </w:tcPr>
          <w:p w14:paraId="293F6EA5">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由劳动保障行政部门责令改正，并可处以一千元以下的罚款</w:t>
            </w:r>
          </w:p>
        </w:tc>
        <w:tc>
          <w:tcPr>
            <w:tcW w:w="2340" w:type="dxa"/>
            <w:vAlign w:val="top"/>
          </w:tcPr>
          <w:p w14:paraId="7487186B">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 xml:space="preserve">《就业服务与就业管理规定》第六十七条 </w:t>
            </w:r>
          </w:p>
          <w:p w14:paraId="6E8CEB61">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p>
        </w:tc>
        <w:tc>
          <w:tcPr>
            <w:tcW w:w="4740" w:type="dxa"/>
            <w:vAlign w:val="top"/>
          </w:tcPr>
          <w:p w14:paraId="2C839B26">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未对劳动者权益造成严重损害后果，且在整改期限内及时改正的</w:t>
            </w:r>
          </w:p>
        </w:tc>
      </w:tr>
      <w:tr w14:paraId="7A168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vAlign w:val="center"/>
          </w:tcPr>
          <w:p w14:paraId="466C8EDF">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10</w:t>
            </w:r>
          </w:p>
        </w:tc>
        <w:tc>
          <w:tcPr>
            <w:tcW w:w="3149" w:type="dxa"/>
            <w:vAlign w:val="top"/>
          </w:tcPr>
          <w:p w14:paraId="224C22EC">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对用人单位违反规定将乙肝病毒血清学指标作为招用人员体检标准的处罚</w:t>
            </w:r>
          </w:p>
        </w:tc>
        <w:tc>
          <w:tcPr>
            <w:tcW w:w="3285" w:type="dxa"/>
            <w:vAlign w:val="top"/>
          </w:tcPr>
          <w:p w14:paraId="1809EB1E">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由劳动保障行政部门责令改正，并可处以一千元以下的罚款；对当事人造成损害的，应当承担赔偿责任</w:t>
            </w:r>
          </w:p>
        </w:tc>
        <w:tc>
          <w:tcPr>
            <w:tcW w:w="2340" w:type="dxa"/>
            <w:vAlign w:val="top"/>
          </w:tcPr>
          <w:p w14:paraId="753657D2">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 xml:space="preserve">《就业服务与就业管理规定》第六十八条 </w:t>
            </w:r>
          </w:p>
        </w:tc>
        <w:tc>
          <w:tcPr>
            <w:tcW w:w="4740" w:type="dxa"/>
            <w:vAlign w:val="top"/>
          </w:tcPr>
          <w:p w14:paraId="455B8AD9">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当事人初次违反本规定，尚未实际对应聘者开展体检，也未对其造成损害，主动取消或者在责令改正期限内取消将乙肝病毒血清学指标作为体检标准要求</w:t>
            </w:r>
          </w:p>
        </w:tc>
      </w:tr>
      <w:tr w14:paraId="09E59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 w:type="dxa"/>
            <w:vAlign w:val="center"/>
          </w:tcPr>
          <w:p w14:paraId="4C51C515">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11</w:t>
            </w:r>
          </w:p>
        </w:tc>
        <w:tc>
          <w:tcPr>
            <w:tcW w:w="3149" w:type="dxa"/>
            <w:vAlign w:val="top"/>
          </w:tcPr>
          <w:p w14:paraId="40BF4C42">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扣押依法解除或者终止劳动合同劳动者的档案或者其他物品</w:t>
            </w:r>
          </w:p>
          <w:p w14:paraId="02F2F9BB">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p>
        </w:tc>
        <w:tc>
          <w:tcPr>
            <w:tcW w:w="3285" w:type="dxa"/>
            <w:vAlign w:val="top"/>
          </w:tcPr>
          <w:p w14:paraId="5654B1A9">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由劳动行政部门责令限期退还劳动者本人，并以每人五百元以上二千元以下的标准处以罚款</w:t>
            </w:r>
          </w:p>
          <w:p w14:paraId="2FEA09E9">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p>
        </w:tc>
        <w:tc>
          <w:tcPr>
            <w:tcW w:w="2340" w:type="dxa"/>
            <w:vAlign w:val="top"/>
          </w:tcPr>
          <w:p w14:paraId="6A21C81E">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《中华人民共和国劳动合同法》</w:t>
            </w:r>
            <w:r>
              <w:rPr>
                <w:rFonts w:hint="eastAsia" w:ascii="宋体" w:hAnsi="宋体" w:eastAsia="宋体" w:cs="宋体"/>
                <w:spacing w:val="-11"/>
                <w:kern w:val="0"/>
                <w:sz w:val="21"/>
                <w:szCs w:val="21"/>
                <w:lang w:val="en-US" w:eastAsia="zh-CN" w:bidi="ar"/>
              </w:rPr>
              <w:t>第八十四条第三款</w:t>
            </w:r>
          </w:p>
          <w:p w14:paraId="0CDB797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p>
        </w:tc>
        <w:tc>
          <w:tcPr>
            <w:tcW w:w="4740" w:type="dxa"/>
            <w:vAlign w:val="top"/>
          </w:tcPr>
          <w:p w14:paraId="71E6A9A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未对劳动者权益造成严重损害后果，且在整改期限内及时退还</w:t>
            </w:r>
          </w:p>
          <w:p w14:paraId="01974595">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p>
        </w:tc>
      </w:tr>
    </w:tbl>
    <w:p w14:paraId="4092D917">
      <w:pPr>
        <w:keepNext w:val="0"/>
        <w:keepLines w:val="0"/>
        <w:widowControl/>
        <w:suppressLineNumbers w:val="0"/>
        <w:jc w:val="left"/>
        <w:textAlignment w:val="center"/>
        <w:rPr>
          <w:rFonts w:hint="default" w:ascii="宋体" w:hAnsi="宋体" w:eastAsia="宋体" w:cs="宋体"/>
          <w:spacing w:val="-11"/>
          <w:kern w:val="0"/>
          <w:sz w:val="21"/>
          <w:szCs w:val="21"/>
          <w:lang w:val="en-US" w:eastAsia="zh-CN" w:bidi="ar"/>
        </w:rPr>
      </w:pPr>
    </w:p>
    <w:p w14:paraId="273AE02B">
      <w:pPr>
        <w:widowControl/>
        <w:textAlignment w:val="center"/>
        <w:rPr>
          <w:rFonts w:hint="eastAsia" w:ascii="黑体" w:hAnsi="黑体" w:eastAsia="黑体" w:cs="黑体"/>
          <w:spacing w:val="-11"/>
          <w:kern w:val="0"/>
          <w:sz w:val="32"/>
          <w:szCs w:val="32"/>
          <w:lang w:bidi="ar"/>
        </w:rPr>
      </w:pPr>
      <w:r>
        <w:rPr>
          <w:rFonts w:hint="eastAsia" w:ascii="黑体" w:hAnsi="黑体" w:eastAsia="黑体" w:cs="黑体"/>
          <w:spacing w:val="-11"/>
          <w:kern w:val="0"/>
          <w:sz w:val="32"/>
          <w:szCs w:val="32"/>
          <w:lang w:eastAsia="zh-CN" w:bidi="ar"/>
        </w:rPr>
        <w:t>十三、</w:t>
      </w:r>
      <w:r>
        <w:rPr>
          <w:rFonts w:hint="eastAsia" w:ascii="黑体" w:hAnsi="黑体" w:eastAsia="黑体" w:cs="黑体"/>
          <w:spacing w:val="-11"/>
          <w:kern w:val="0"/>
          <w:sz w:val="32"/>
          <w:szCs w:val="32"/>
          <w:lang w:bidi="ar"/>
        </w:rPr>
        <w:t>新余市</w:t>
      </w:r>
      <w:r>
        <w:rPr>
          <w:rFonts w:hint="eastAsia" w:ascii="黑体" w:hAnsi="黑体" w:eastAsia="黑体" w:cs="黑体"/>
          <w:spacing w:val="-11"/>
          <w:kern w:val="0"/>
          <w:sz w:val="32"/>
          <w:szCs w:val="32"/>
          <w:lang w:eastAsia="zh-CN" w:bidi="ar"/>
        </w:rPr>
        <w:t>自然资源</w:t>
      </w:r>
      <w:r>
        <w:rPr>
          <w:rFonts w:hint="eastAsia" w:ascii="黑体" w:hAnsi="黑体" w:eastAsia="黑体" w:cs="黑体"/>
          <w:spacing w:val="-11"/>
          <w:kern w:val="0"/>
          <w:sz w:val="32"/>
          <w:szCs w:val="32"/>
          <w:lang w:bidi="ar"/>
        </w:rPr>
        <w:t>领域轻微违法行为不予处罚清单</w:t>
      </w:r>
    </w:p>
    <w:tbl>
      <w:tblPr>
        <w:tblStyle w:val="9"/>
        <w:tblW w:w="14355" w:type="dxa"/>
        <w:tblInd w:w="-2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21"/>
        <w:gridCol w:w="2163"/>
        <w:gridCol w:w="6450"/>
        <w:gridCol w:w="4921"/>
      </w:tblGrid>
      <w:tr w14:paraId="799DB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022E">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序号</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AF548">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事项名称</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17DD2">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法律依据</w:t>
            </w:r>
          </w:p>
        </w:tc>
        <w:tc>
          <w:tcPr>
            <w:tcW w:w="4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2E97D">
            <w:pPr>
              <w:widowControl/>
              <w:spacing w:line="320" w:lineRule="exact"/>
              <w:jc w:val="center"/>
              <w:textAlignment w:val="center"/>
              <w:rPr>
                <w:rFonts w:hint="eastAsia" w:ascii="宋体" w:hAnsi="宋体" w:cs="宋体"/>
                <w:b/>
                <w:bCs/>
                <w:spacing w:val="-11"/>
                <w:kern w:val="0"/>
                <w:szCs w:val="21"/>
                <w:lang w:val="en-US" w:eastAsia="zh-CN" w:bidi="ar"/>
              </w:rPr>
            </w:pPr>
            <w:r>
              <w:rPr>
                <w:rFonts w:hint="eastAsia" w:ascii="宋体" w:hAnsi="宋体" w:cs="宋体"/>
                <w:b/>
                <w:bCs/>
                <w:spacing w:val="-11"/>
                <w:kern w:val="0"/>
                <w:szCs w:val="21"/>
                <w:lang w:val="en-US" w:eastAsia="zh-CN" w:bidi="ar"/>
              </w:rPr>
              <w:t>处罚基准</w:t>
            </w:r>
          </w:p>
        </w:tc>
      </w:tr>
      <w:tr w14:paraId="49291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5" w:hRule="atLeast"/>
        </w:trPr>
        <w:tc>
          <w:tcPr>
            <w:tcW w:w="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2B0A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CF104">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违法事实不清、证据不足的</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29BBA">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第四十条：公民、法人或者其他组织违反行政管理秩序的行为，依法应当给予行政处罚的，行政机关必须查明事实</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违法事实不清、证据不足的，不得给予行政处罚。</w:t>
            </w:r>
          </w:p>
        </w:tc>
        <w:tc>
          <w:tcPr>
            <w:tcW w:w="4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1306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不予行政处罚</w:t>
            </w:r>
          </w:p>
        </w:tc>
      </w:tr>
      <w:tr w14:paraId="383E9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0" w:hRule="atLeast"/>
        </w:trPr>
        <w:tc>
          <w:tcPr>
            <w:tcW w:w="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7004D">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CEC55">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违法行为轻微或者违法事实不能成立</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7CD9C">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第五十七条第一款第二项、第三项：违法行为轻微，依法可以不予行政处罚的，不予行政处罚；违法事实不能成立的，不予行政处罚。</w:t>
            </w:r>
          </w:p>
        </w:tc>
        <w:tc>
          <w:tcPr>
            <w:tcW w:w="4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21484">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不予行政处罚</w:t>
            </w:r>
          </w:p>
        </w:tc>
      </w:tr>
      <w:tr w14:paraId="6A3F8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D3DD7">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3</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67A70">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违法行为轻微并及时改正，没有造成危害后果的</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87AE2">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第三十三条第一款：违法行为轻微并及时改正，没有造成危害后果的，不予行政处罚。</w:t>
            </w:r>
          </w:p>
        </w:tc>
        <w:tc>
          <w:tcPr>
            <w:tcW w:w="4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61C94">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不予行政处罚</w:t>
            </w:r>
          </w:p>
        </w:tc>
      </w:tr>
      <w:tr w14:paraId="4F23C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E14C9">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4</w:t>
            </w:r>
          </w:p>
        </w:tc>
        <w:tc>
          <w:tcPr>
            <w:tcW w:w="2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A7C3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初次违法且危害后果轻微并及时改正的</w:t>
            </w:r>
          </w:p>
        </w:tc>
        <w:tc>
          <w:tcPr>
            <w:tcW w:w="6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52154">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cs="宋体"/>
                <w:spacing w:val="-11"/>
                <w:kern w:val="0"/>
                <w:sz w:val="21"/>
                <w:szCs w:val="21"/>
                <w:lang w:val="en-US" w:eastAsia="zh-CN" w:bidi="ar"/>
              </w:rPr>
              <w:t>《中华人民共和国行政处罚法》</w:t>
            </w:r>
            <w:r>
              <w:rPr>
                <w:rFonts w:hint="eastAsia" w:ascii="宋体" w:hAnsi="宋体" w:eastAsia="宋体" w:cs="宋体"/>
                <w:spacing w:val="-11"/>
                <w:kern w:val="0"/>
                <w:sz w:val="21"/>
                <w:szCs w:val="21"/>
                <w:lang w:val="en-US" w:eastAsia="zh-CN" w:bidi="ar"/>
              </w:rPr>
              <w:t>第三十三条第一款：初次违法且危害后果轻微并及时改正的，可以不予行政处罚。</w:t>
            </w:r>
          </w:p>
        </w:tc>
        <w:tc>
          <w:tcPr>
            <w:tcW w:w="4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089D4">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不予行政处罚</w:t>
            </w:r>
          </w:p>
        </w:tc>
      </w:tr>
    </w:tbl>
    <w:p w14:paraId="2E2ABD1F">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p>
    <w:p w14:paraId="3C1FFFDC">
      <w:pPr>
        <w:widowControl/>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eastAsia="zh-CN" w:bidi="ar"/>
        </w:rPr>
        <w:t>十四、</w:t>
      </w: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消防救援</w:t>
      </w:r>
      <w:r>
        <w:rPr>
          <w:rFonts w:hint="eastAsia" w:ascii="黑体" w:hAnsi="黑体" w:eastAsia="黑体" w:cs="黑体"/>
          <w:spacing w:val="-11"/>
          <w:kern w:val="0"/>
          <w:sz w:val="32"/>
          <w:szCs w:val="32"/>
          <w:highlight w:val="none"/>
          <w:lang w:bidi="ar"/>
        </w:rPr>
        <w:t>领域轻微违法行为不予处罚清单</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960"/>
        <w:gridCol w:w="3345"/>
        <w:gridCol w:w="2205"/>
        <w:gridCol w:w="6924"/>
      </w:tblGrid>
      <w:tr w14:paraId="49730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20144E8F">
            <w:pPr>
              <w:keepNext w:val="0"/>
              <w:keepLines w:val="0"/>
              <w:widowControl/>
              <w:suppressLineNumbers w:val="0"/>
              <w:jc w:val="center"/>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序号</w:t>
            </w:r>
          </w:p>
        </w:tc>
        <w:tc>
          <w:tcPr>
            <w:tcW w:w="4305" w:type="dxa"/>
            <w:gridSpan w:val="2"/>
            <w:noWrap w:val="0"/>
            <w:vAlign w:val="center"/>
          </w:tcPr>
          <w:p w14:paraId="25B26AD5">
            <w:pPr>
              <w:keepNext w:val="0"/>
              <w:keepLines w:val="0"/>
              <w:widowControl/>
              <w:suppressLineNumbers w:val="0"/>
              <w:jc w:val="center"/>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违法行为</w:t>
            </w:r>
          </w:p>
        </w:tc>
        <w:tc>
          <w:tcPr>
            <w:tcW w:w="2205" w:type="dxa"/>
            <w:noWrap w:val="0"/>
            <w:vAlign w:val="center"/>
          </w:tcPr>
          <w:p w14:paraId="7227FAC1">
            <w:pPr>
              <w:keepNext w:val="0"/>
              <w:keepLines w:val="0"/>
              <w:widowControl/>
              <w:suppressLineNumbers w:val="0"/>
              <w:jc w:val="center"/>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kern w:val="0"/>
                <w:sz w:val="21"/>
                <w:szCs w:val="21"/>
                <w:lang w:val="en-US" w:eastAsia="zh-CN" w:bidi="ar"/>
              </w:rPr>
              <w:t>不予处罚条件</w:t>
            </w:r>
          </w:p>
        </w:tc>
        <w:tc>
          <w:tcPr>
            <w:tcW w:w="6924" w:type="dxa"/>
            <w:noWrap w:val="0"/>
            <w:vAlign w:val="center"/>
          </w:tcPr>
          <w:p w14:paraId="7A14D87F">
            <w:pPr>
              <w:jc w:val="center"/>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kern w:val="0"/>
                <w:sz w:val="21"/>
                <w:szCs w:val="21"/>
                <w:lang w:val="en-US" w:eastAsia="zh-CN" w:bidi="ar"/>
              </w:rPr>
              <w:t>法律依据</w:t>
            </w:r>
          </w:p>
        </w:tc>
      </w:tr>
      <w:tr w14:paraId="12FA0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2DB87383">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sz w:val="21"/>
                <w:szCs w:val="21"/>
                <w:vertAlign w:val="baseline"/>
                <w:lang w:eastAsia="zh-CN"/>
              </w:rPr>
              <w:t>一</w:t>
            </w:r>
          </w:p>
        </w:tc>
        <w:tc>
          <w:tcPr>
            <w:tcW w:w="13434" w:type="dxa"/>
            <w:gridSpan w:val="4"/>
            <w:noWrap w:val="0"/>
            <w:vAlign w:val="center"/>
          </w:tcPr>
          <w:p w14:paraId="110703BC">
            <w:pPr>
              <w:jc w:val="left"/>
              <w:rPr>
                <w:rFonts w:hint="eastAsia" w:ascii="宋体" w:hAnsi="宋体" w:eastAsia="宋体" w:cs="宋体"/>
                <w:color w:val="auto"/>
                <w:sz w:val="21"/>
                <w:szCs w:val="21"/>
                <w:vertAlign w:val="baseline"/>
                <w:lang w:eastAsia="zh-CN"/>
              </w:rPr>
            </w:pPr>
            <w:r>
              <w:rPr>
                <w:rFonts w:hint="eastAsia" w:ascii="宋体" w:hAnsi="宋体" w:eastAsia="宋体" w:cs="宋体"/>
                <w:b/>
                <w:bCs/>
                <w:color w:val="auto"/>
                <w:kern w:val="0"/>
                <w:sz w:val="21"/>
                <w:szCs w:val="21"/>
                <w:lang w:val="en-US" w:eastAsia="zh-CN" w:bidi="ar"/>
              </w:rPr>
              <w:t>及时纠正，没有造成危害后果的，不予行政处罚</w:t>
            </w:r>
          </w:p>
        </w:tc>
      </w:tr>
      <w:tr w14:paraId="59E7F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27899F2F">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w:t>
            </w:r>
          </w:p>
        </w:tc>
        <w:tc>
          <w:tcPr>
            <w:tcW w:w="960" w:type="dxa"/>
            <w:vMerge w:val="restart"/>
            <w:noWrap w:val="0"/>
            <w:vAlign w:val="center"/>
          </w:tcPr>
          <w:p w14:paraId="7E5C2A44">
            <w:pPr>
              <w:keepNext w:val="0"/>
              <w:keepLines w:val="0"/>
              <w:widowControl/>
              <w:suppressLineNumbers w:val="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消防设施、器材或者消防安全标志配置、设置不符合标准或者未保持完好有效的</w:t>
            </w:r>
          </w:p>
          <w:p w14:paraId="27274870">
            <w:pPr>
              <w:keepNext w:val="0"/>
              <w:keepLines w:val="0"/>
              <w:widowControl/>
              <w:suppressLineNumbers w:val="0"/>
              <w:jc w:val="center"/>
              <w:rPr>
                <w:rFonts w:hint="eastAsia" w:ascii="宋体" w:hAnsi="宋体" w:eastAsia="宋体" w:cs="宋体"/>
                <w:color w:val="auto"/>
                <w:kern w:val="0"/>
                <w:sz w:val="21"/>
                <w:szCs w:val="21"/>
                <w:lang w:val="zh-CN" w:eastAsia="zh-CN" w:bidi="ar"/>
              </w:rPr>
            </w:pPr>
          </w:p>
        </w:tc>
        <w:tc>
          <w:tcPr>
            <w:tcW w:w="3345" w:type="dxa"/>
            <w:noWrap w:val="0"/>
            <w:vAlign w:val="center"/>
          </w:tcPr>
          <w:p w14:paraId="1678A7C3">
            <w:pPr>
              <w:keepNext w:val="0"/>
              <w:keepLines w:val="0"/>
              <w:widowControl/>
              <w:suppressLineNumbers w:val="0"/>
              <w:jc w:val="left"/>
              <w:rPr>
                <w:rFonts w:hint="eastAsia" w:ascii="宋体" w:hAnsi="宋体" w:eastAsia="宋体" w:cs="宋体"/>
                <w:color w:val="auto"/>
                <w:kern w:val="0"/>
                <w:sz w:val="21"/>
                <w:szCs w:val="21"/>
                <w:lang w:val="zh-CN" w:eastAsia="zh-CN" w:bidi="ar"/>
              </w:rPr>
            </w:pPr>
            <w:r>
              <w:rPr>
                <w:rFonts w:hint="eastAsia" w:ascii="宋体" w:hAnsi="宋体" w:eastAsia="宋体" w:cs="宋体"/>
                <w:color w:val="auto"/>
                <w:kern w:val="0"/>
                <w:sz w:val="21"/>
                <w:szCs w:val="21"/>
                <w:lang w:val="en-US" w:eastAsia="zh-CN" w:bidi="ar"/>
              </w:rPr>
              <w:t>室外消火栓、水泵接合器配件缺失或损坏，但不影响使用的；</w:t>
            </w:r>
          </w:p>
        </w:tc>
        <w:tc>
          <w:tcPr>
            <w:tcW w:w="2205" w:type="dxa"/>
            <w:vMerge w:val="restart"/>
            <w:noWrap w:val="0"/>
            <w:vAlign w:val="center"/>
          </w:tcPr>
          <w:p w14:paraId="2CE13D2C">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1.违法情节轻微；</w:t>
            </w:r>
          </w:p>
          <w:p w14:paraId="470B0115">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2.当场改正或者在责令改正期限内改正；</w:t>
            </w:r>
          </w:p>
          <w:p w14:paraId="1F2DF797">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3.没有造成危害后果。</w:t>
            </w:r>
          </w:p>
          <w:p w14:paraId="07618DF3">
            <w:pPr>
              <w:jc w:val="center"/>
              <w:rPr>
                <w:rFonts w:hint="eastAsia" w:ascii="宋体" w:hAnsi="宋体" w:eastAsia="宋体" w:cs="宋体"/>
                <w:color w:val="auto"/>
                <w:sz w:val="21"/>
                <w:szCs w:val="21"/>
                <w:vertAlign w:val="baseline"/>
                <w:lang w:eastAsia="zh-CN"/>
              </w:rPr>
            </w:pPr>
          </w:p>
        </w:tc>
        <w:tc>
          <w:tcPr>
            <w:tcW w:w="6924" w:type="dxa"/>
            <w:vMerge w:val="restart"/>
            <w:noWrap w:val="0"/>
            <w:vAlign w:val="center"/>
          </w:tcPr>
          <w:p w14:paraId="6DEB8B0E">
            <w:pPr>
              <w:keepNext w:val="0"/>
              <w:keepLines w:val="0"/>
              <w:widowControl/>
              <w:suppressLineNumbers w:val="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《中华人民共和国消防法》</w:t>
            </w:r>
          </w:p>
          <w:p w14:paraId="336C5083">
            <w:pPr>
              <w:keepNext w:val="0"/>
              <w:keepLines w:val="0"/>
              <w:widowControl/>
              <w:suppressLineNumbers w:val="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第六十条第一款 单位违反本法规定，有下列行为之一的，责令改正，处五千元以上五万元以下罚款：</w:t>
            </w:r>
          </w:p>
          <w:p w14:paraId="7D9C54FA">
            <w:pPr>
              <w:keepNext w:val="0"/>
              <w:keepLines w:val="0"/>
              <w:widowControl/>
              <w:suppressLineNumbers w:val="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（一）消防设施、器材或者消防安全标志的配置、设置不符合国家标准、行业标准，或者未保持完好有效的；</w:t>
            </w:r>
          </w:p>
          <w:p w14:paraId="33F17FCA">
            <w:pPr>
              <w:jc w:val="center"/>
              <w:rPr>
                <w:rFonts w:hint="eastAsia" w:ascii="宋体" w:hAnsi="宋体" w:eastAsia="宋体" w:cs="宋体"/>
                <w:color w:val="auto"/>
                <w:sz w:val="21"/>
                <w:szCs w:val="21"/>
                <w:vertAlign w:val="baseline"/>
                <w:lang w:eastAsia="zh-CN"/>
              </w:rPr>
            </w:pPr>
          </w:p>
        </w:tc>
      </w:tr>
      <w:tr w14:paraId="003DF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3F8BF89F">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w:t>
            </w:r>
          </w:p>
        </w:tc>
        <w:tc>
          <w:tcPr>
            <w:tcW w:w="960" w:type="dxa"/>
            <w:vMerge w:val="continue"/>
            <w:noWrap w:val="0"/>
            <w:vAlign w:val="center"/>
          </w:tcPr>
          <w:p w14:paraId="726F464D">
            <w:pPr>
              <w:keepNext w:val="0"/>
              <w:keepLines w:val="0"/>
              <w:widowControl/>
              <w:suppressLineNumbers w:val="0"/>
              <w:jc w:val="center"/>
              <w:rPr>
                <w:rFonts w:hint="eastAsia" w:ascii="宋体" w:hAnsi="宋体" w:eastAsia="宋体" w:cs="宋体"/>
                <w:color w:val="auto"/>
                <w:kern w:val="0"/>
                <w:sz w:val="21"/>
                <w:szCs w:val="21"/>
                <w:lang w:val="zh-CN" w:eastAsia="zh-CN" w:bidi="ar"/>
              </w:rPr>
            </w:pPr>
          </w:p>
        </w:tc>
        <w:tc>
          <w:tcPr>
            <w:tcW w:w="3345" w:type="dxa"/>
            <w:noWrap w:val="0"/>
            <w:vAlign w:val="center"/>
          </w:tcPr>
          <w:p w14:paraId="749F4899">
            <w:pPr>
              <w:keepNext w:val="0"/>
              <w:keepLines w:val="0"/>
              <w:widowControl/>
              <w:suppressLineNumbers w:val="0"/>
              <w:jc w:val="left"/>
              <w:rPr>
                <w:rFonts w:hint="eastAsia" w:ascii="宋体" w:hAnsi="宋体" w:eastAsia="宋体" w:cs="宋体"/>
                <w:color w:val="auto"/>
                <w:kern w:val="0"/>
                <w:sz w:val="21"/>
                <w:szCs w:val="21"/>
                <w:lang w:val="zh-CN" w:eastAsia="zh-CN" w:bidi="ar"/>
              </w:rPr>
            </w:pPr>
            <w:r>
              <w:rPr>
                <w:rFonts w:hint="eastAsia" w:ascii="宋体" w:hAnsi="宋体" w:eastAsia="宋体" w:cs="宋体"/>
                <w:color w:val="auto"/>
                <w:kern w:val="0"/>
                <w:sz w:val="21"/>
                <w:szCs w:val="21"/>
                <w:lang w:val="en-US" w:eastAsia="zh-CN" w:bidi="ar"/>
              </w:rPr>
              <w:t>火灾自动报警系统探测器损坏或故障，每层不超过1个，且不影响系统功能的；</w:t>
            </w:r>
          </w:p>
        </w:tc>
        <w:tc>
          <w:tcPr>
            <w:tcW w:w="2205" w:type="dxa"/>
            <w:vMerge w:val="continue"/>
            <w:noWrap w:val="0"/>
            <w:vAlign w:val="center"/>
          </w:tcPr>
          <w:p w14:paraId="432E322A">
            <w:pPr>
              <w:jc w:val="center"/>
              <w:rPr>
                <w:rFonts w:hint="eastAsia" w:ascii="宋体" w:hAnsi="宋体" w:eastAsia="宋体" w:cs="宋体"/>
                <w:color w:val="auto"/>
                <w:sz w:val="21"/>
                <w:szCs w:val="21"/>
                <w:vertAlign w:val="baseline"/>
                <w:lang w:eastAsia="zh-CN"/>
              </w:rPr>
            </w:pPr>
          </w:p>
        </w:tc>
        <w:tc>
          <w:tcPr>
            <w:tcW w:w="6924" w:type="dxa"/>
            <w:vMerge w:val="continue"/>
            <w:noWrap w:val="0"/>
            <w:vAlign w:val="center"/>
          </w:tcPr>
          <w:p w14:paraId="5D62F792">
            <w:pPr>
              <w:jc w:val="center"/>
              <w:rPr>
                <w:rFonts w:hint="eastAsia" w:ascii="宋体" w:hAnsi="宋体" w:eastAsia="宋体" w:cs="宋体"/>
                <w:color w:val="auto"/>
                <w:sz w:val="21"/>
                <w:szCs w:val="21"/>
                <w:vertAlign w:val="baseline"/>
                <w:lang w:eastAsia="zh-CN"/>
              </w:rPr>
            </w:pPr>
          </w:p>
        </w:tc>
      </w:tr>
      <w:tr w14:paraId="1165D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439347AE">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w:t>
            </w:r>
          </w:p>
        </w:tc>
        <w:tc>
          <w:tcPr>
            <w:tcW w:w="960" w:type="dxa"/>
            <w:vMerge w:val="continue"/>
            <w:noWrap w:val="0"/>
            <w:vAlign w:val="center"/>
          </w:tcPr>
          <w:p w14:paraId="1BE9EB86">
            <w:pPr>
              <w:keepNext w:val="0"/>
              <w:keepLines w:val="0"/>
              <w:widowControl/>
              <w:suppressLineNumbers w:val="0"/>
              <w:jc w:val="center"/>
              <w:rPr>
                <w:rFonts w:hint="eastAsia" w:ascii="宋体" w:hAnsi="宋体" w:eastAsia="宋体" w:cs="宋体"/>
                <w:color w:val="auto"/>
                <w:kern w:val="0"/>
                <w:sz w:val="21"/>
                <w:szCs w:val="21"/>
                <w:lang w:val="en-US" w:eastAsia="zh-CN" w:bidi="ar"/>
              </w:rPr>
            </w:pPr>
          </w:p>
        </w:tc>
        <w:tc>
          <w:tcPr>
            <w:tcW w:w="3345" w:type="dxa"/>
            <w:noWrap w:val="0"/>
            <w:vAlign w:val="center"/>
          </w:tcPr>
          <w:p w14:paraId="52D46817">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自动喷水灭火系统喷头损坏，每层不超过 1个，且不影响系统功能的；</w:t>
            </w:r>
          </w:p>
        </w:tc>
        <w:tc>
          <w:tcPr>
            <w:tcW w:w="2205" w:type="dxa"/>
            <w:vMerge w:val="continue"/>
            <w:noWrap w:val="0"/>
            <w:vAlign w:val="center"/>
          </w:tcPr>
          <w:p w14:paraId="3EB33D5C">
            <w:pPr>
              <w:jc w:val="center"/>
              <w:rPr>
                <w:rFonts w:hint="eastAsia" w:ascii="宋体" w:hAnsi="宋体" w:eastAsia="宋体" w:cs="宋体"/>
                <w:color w:val="auto"/>
                <w:sz w:val="21"/>
                <w:szCs w:val="21"/>
                <w:vertAlign w:val="baseline"/>
                <w:lang w:eastAsia="zh-CN"/>
              </w:rPr>
            </w:pPr>
          </w:p>
        </w:tc>
        <w:tc>
          <w:tcPr>
            <w:tcW w:w="6924" w:type="dxa"/>
            <w:vMerge w:val="continue"/>
            <w:noWrap w:val="0"/>
            <w:vAlign w:val="center"/>
          </w:tcPr>
          <w:p w14:paraId="63AD4236">
            <w:pPr>
              <w:jc w:val="center"/>
              <w:rPr>
                <w:rFonts w:hint="eastAsia" w:ascii="宋体" w:hAnsi="宋体" w:eastAsia="宋体" w:cs="宋体"/>
                <w:color w:val="auto"/>
                <w:sz w:val="21"/>
                <w:szCs w:val="21"/>
                <w:vertAlign w:val="baseline"/>
                <w:lang w:eastAsia="zh-CN"/>
              </w:rPr>
            </w:pPr>
          </w:p>
        </w:tc>
      </w:tr>
      <w:tr w14:paraId="4C10F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60AFB2AC">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4</w:t>
            </w:r>
          </w:p>
        </w:tc>
        <w:tc>
          <w:tcPr>
            <w:tcW w:w="960" w:type="dxa"/>
            <w:vMerge w:val="continue"/>
            <w:noWrap w:val="0"/>
            <w:vAlign w:val="center"/>
          </w:tcPr>
          <w:p w14:paraId="7A92D76D">
            <w:pPr>
              <w:keepNext w:val="0"/>
              <w:keepLines w:val="0"/>
              <w:widowControl/>
              <w:suppressLineNumbers w:val="0"/>
              <w:jc w:val="center"/>
              <w:rPr>
                <w:rFonts w:hint="eastAsia" w:ascii="宋体" w:hAnsi="宋体" w:eastAsia="宋体" w:cs="宋体"/>
                <w:color w:val="auto"/>
                <w:kern w:val="0"/>
                <w:sz w:val="21"/>
                <w:szCs w:val="21"/>
                <w:lang w:val="en-US" w:eastAsia="zh-CN" w:bidi="ar"/>
              </w:rPr>
            </w:pPr>
          </w:p>
        </w:tc>
        <w:tc>
          <w:tcPr>
            <w:tcW w:w="3345" w:type="dxa"/>
            <w:noWrap w:val="0"/>
            <w:vAlign w:val="center"/>
          </w:tcPr>
          <w:p w14:paraId="353BC44F">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自动喷水灭火系统压力表、末端试水装置等局部配件损坏，且不影响系统功能的；</w:t>
            </w:r>
          </w:p>
        </w:tc>
        <w:tc>
          <w:tcPr>
            <w:tcW w:w="2205" w:type="dxa"/>
            <w:vMerge w:val="continue"/>
            <w:noWrap w:val="0"/>
            <w:vAlign w:val="center"/>
          </w:tcPr>
          <w:p w14:paraId="61E5B0F3">
            <w:pPr>
              <w:jc w:val="center"/>
              <w:rPr>
                <w:rFonts w:hint="eastAsia" w:ascii="宋体" w:hAnsi="宋体" w:eastAsia="宋体" w:cs="宋体"/>
                <w:color w:val="auto"/>
                <w:sz w:val="21"/>
                <w:szCs w:val="21"/>
                <w:vertAlign w:val="baseline"/>
                <w:lang w:eastAsia="zh-CN"/>
              </w:rPr>
            </w:pPr>
          </w:p>
        </w:tc>
        <w:tc>
          <w:tcPr>
            <w:tcW w:w="6924" w:type="dxa"/>
            <w:vMerge w:val="continue"/>
            <w:noWrap w:val="0"/>
            <w:vAlign w:val="center"/>
          </w:tcPr>
          <w:p w14:paraId="7A9D18C2">
            <w:pPr>
              <w:jc w:val="center"/>
              <w:rPr>
                <w:rFonts w:hint="eastAsia" w:ascii="宋体" w:hAnsi="宋体" w:eastAsia="宋体" w:cs="宋体"/>
                <w:color w:val="auto"/>
                <w:sz w:val="21"/>
                <w:szCs w:val="21"/>
                <w:vertAlign w:val="baseline"/>
                <w:lang w:eastAsia="zh-CN"/>
              </w:rPr>
            </w:pPr>
          </w:p>
        </w:tc>
      </w:tr>
      <w:tr w14:paraId="5C123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740" w:type="dxa"/>
            <w:noWrap w:val="0"/>
            <w:vAlign w:val="center"/>
          </w:tcPr>
          <w:p w14:paraId="7A18669E">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5</w:t>
            </w:r>
          </w:p>
        </w:tc>
        <w:tc>
          <w:tcPr>
            <w:tcW w:w="960" w:type="dxa"/>
            <w:vMerge w:val="continue"/>
            <w:noWrap w:val="0"/>
            <w:vAlign w:val="center"/>
          </w:tcPr>
          <w:p w14:paraId="1728BA94">
            <w:pPr>
              <w:keepNext w:val="0"/>
              <w:keepLines w:val="0"/>
              <w:widowControl/>
              <w:suppressLineNumbers w:val="0"/>
              <w:jc w:val="center"/>
              <w:rPr>
                <w:rFonts w:hint="eastAsia" w:ascii="宋体" w:hAnsi="宋体" w:eastAsia="宋体" w:cs="宋体"/>
                <w:color w:val="auto"/>
                <w:kern w:val="0"/>
                <w:sz w:val="21"/>
                <w:szCs w:val="21"/>
                <w:lang w:val="en-US" w:eastAsia="zh-CN" w:bidi="ar"/>
              </w:rPr>
            </w:pPr>
          </w:p>
        </w:tc>
        <w:tc>
          <w:tcPr>
            <w:tcW w:w="3345" w:type="dxa"/>
            <w:noWrap w:val="0"/>
            <w:vAlign w:val="center"/>
          </w:tcPr>
          <w:p w14:paraId="16A7B7BE">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防排烟系统常闭式防排烟口处于打开状态，不超过 1处；</w:t>
            </w:r>
          </w:p>
        </w:tc>
        <w:tc>
          <w:tcPr>
            <w:tcW w:w="2205" w:type="dxa"/>
            <w:vMerge w:val="continue"/>
            <w:noWrap w:val="0"/>
            <w:vAlign w:val="center"/>
          </w:tcPr>
          <w:p w14:paraId="3B735726">
            <w:pPr>
              <w:jc w:val="center"/>
              <w:rPr>
                <w:rFonts w:hint="eastAsia" w:ascii="宋体" w:hAnsi="宋体" w:eastAsia="宋体" w:cs="宋体"/>
                <w:color w:val="auto"/>
                <w:sz w:val="21"/>
                <w:szCs w:val="21"/>
                <w:vertAlign w:val="baseline"/>
                <w:lang w:eastAsia="zh-CN"/>
              </w:rPr>
            </w:pPr>
          </w:p>
        </w:tc>
        <w:tc>
          <w:tcPr>
            <w:tcW w:w="6924" w:type="dxa"/>
            <w:vMerge w:val="continue"/>
            <w:noWrap w:val="0"/>
            <w:vAlign w:val="center"/>
          </w:tcPr>
          <w:p w14:paraId="4A29C6AC">
            <w:pPr>
              <w:jc w:val="center"/>
              <w:rPr>
                <w:rFonts w:hint="eastAsia" w:ascii="宋体" w:hAnsi="宋体" w:eastAsia="宋体" w:cs="宋体"/>
                <w:color w:val="auto"/>
                <w:sz w:val="21"/>
                <w:szCs w:val="21"/>
                <w:vertAlign w:val="baseline"/>
                <w:lang w:eastAsia="zh-CN"/>
              </w:rPr>
            </w:pPr>
          </w:p>
        </w:tc>
      </w:tr>
      <w:tr w14:paraId="0BB18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104E57A7">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6</w:t>
            </w:r>
          </w:p>
        </w:tc>
        <w:tc>
          <w:tcPr>
            <w:tcW w:w="960" w:type="dxa"/>
            <w:vMerge w:val="continue"/>
            <w:noWrap w:val="0"/>
            <w:vAlign w:val="center"/>
          </w:tcPr>
          <w:p w14:paraId="606D20D3">
            <w:pPr>
              <w:keepNext w:val="0"/>
              <w:keepLines w:val="0"/>
              <w:widowControl/>
              <w:suppressLineNumbers w:val="0"/>
              <w:jc w:val="center"/>
              <w:rPr>
                <w:rFonts w:hint="eastAsia" w:ascii="宋体" w:hAnsi="宋体" w:eastAsia="宋体" w:cs="宋体"/>
                <w:color w:val="auto"/>
                <w:kern w:val="0"/>
                <w:sz w:val="21"/>
                <w:szCs w:val="21"/>
                <w:lang w:val="en-US" w:eastAsia="zh-CN" w:bidi="ar"/>
              </w:rPr>
            </w:pPr>
          </w:p>
        </w:tc>
        <w:tc>
          <w:tcPr>
            <w:tcW w:w="3345" w:type="dxa"/>
            <w:noWrap w:val="0"/>
            <w:vAlign w:val="center"/>
          </w:tcPr>
          <w:p w14:paraId="1D563377">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应急照明和疏散指示标志故障，不超过 2 处；</w:t>
            </w:r>
          </w:p>
        </w:tc>
        <w:tc>
          <w:tcPr>
            <w:tcW w:w="2205" w:type="dxa"/>
            <w:vMerge w:val="continue"/>
            <w:noWrap w:val="0"/>
            <w:vAlign w:val="center"/>
          </w:tcPr>
          <w:p w14:paraId="2E47A4AD">
            <w:pPr>
              <w:jc w:val="center"/>
              <w:rPr>
                <w:rFonts w:hint="eastAsia" w:ascii="宋体" w:hAnsi="宋体" w:eastAsia="宋体" w:cs="宋体"/>
                <w:color w:val="auto"/>
                <w:sz w:val="21"/>
                <w:szCs w:val="21"/>
                <w:vertAlign w:val="baseline"/>
                <w:lang w:eastAsia="zh-CN"/>
              </w:rPr>
            </w:pPr>
          </w:p>
        </w:tc>
        <w:tc>
          <w:tcPr>
            <w:tcW w:w="6924" w:type="dxa"/>
            <w:vMerge w:val="continue"/>
            <w:noWrap w:val="0"/>
            <w:vAlign w:val="center"/>
          </w:tcPr>
          <w:p w14:paraId="2492E644">
            <w:pPr>
              <w:jc w:val="center"/>
              <w:rPr>
                <w:rFonts w:hint="eastAsia" w:ascii="宋体" w:hAnsi="宋体" w:eastAsia="宋体" w:cs="宋体"/>
                <w:color w:val="auto"/>
                <w:sz w:val="21"/>
                <w:szCs w:val="21"/>
                <w:vertAlign w:val="baseline"/>
                <w:lang w:eastAsia="zh-CN"/>
              </w:rPr>
            </w:pPr>
          </w:p>
        </w:tc>
      </w:tr>
      <w:tr w14:paraId="69C9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011F8FB6">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7</w:t>
            </w:r>
          </w:p>
        </w:tc>
        <w:tc>
          <w:tcPr>
            <w:tcW w:w="960" w:type="dxa"/>
            <w:vMerge w:val="continue"/>
            <w:noWrap w:val="0"/>
            <w:vAlign w:val="center"/>
          </w:tcPr>
          <w:p w14:paraId="26ECFA23">
            <w:pPr>
              <w:keepNext w:val="0"/>
              <w:keepLines w:val="0"/>
              <w:widowControl/>
              <w:suppressLineNumbers w:val="0"/>
              <w:jc w:val="center"/>
              <w:rPr>
                <w:rFonts w:hint="eastAsia" w:ascii="宋体" w:hAnsi="宋体" w:eastAsia="宋体" w:cs="宋体"/>
                <w:color w:val="auto"/>
                <w:kern w:val="0"/>
                <w:sz w:val="21"/>
                <w:szCs w:val="21"/>
                <w:lang w:val="en-US" w:eastAsia="zh-CN" w:bidi="ar"/>
              </w:rPr>
            </w:pPr>
          </w:p>
        </w:tc>
        <w:tc>
          <w:tcPr>
            <w:tcW w:w="3345" w:type="dxa"/>
            <w:noWrap w:val="0"/>
            <w:vAlign w:val="center"/>
          </w:tcPr>
          <w:p w14:paraId="59C24BFB">
            <w:pPr>
              <w:keepNext w:val="0"/>
              <w:keepLines w:val="0"/>
              <w:widowControl/>
              <w:suppressLineNumbers w:val="0"/>
              <w:jc w:val="left"/>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kern w:val="0"/>
                <w:sz w:val="21"/>
                <w:szCs w:val="21"/>
                <w:lang w:val="en-US" w:eastAsia="zh-CN" w:bidi="ar"/>
              </w:rPr>
              <w:t>消火栓箱内配套器材缺失或损坏不超过 1 处，且不影响正常使用功能的；</w:t>
            </w:r>
          </w:p>
        </w:tc>
        <w:tc>
          <w:tcPr>
            <w:tcW w:w="2205" w:type="dxa"/>
            <w:vMerge w:val="continue"/>
            <w:noWrap w:val="0"/>
            <w:vAlign w:val="center"/>
          </w:tcPr>
          <w:p w14:paraId="62FAAC03">
            <w:pPr>
              <w:jc w:val="center"/>
              <w:rPr>
                <w:rFonts w:hint="eastAsia" w:ascii="宋体" w:hAnsi="宋体" w:eastAsia="宋体" w:cs="宋体"/>
                <w:color w:val="auto"/>
                <w:sz w:val="21"/>
                <w:szCs w:val="21"/>
                <w:vertAlign w:val="baseline"/>
                <w:lang w:eastAsia="zh-CN"/>
              </w:rPr>
            </w:pPr>
          </w:p>
        </w:tc>
        <w:tc>
          <w:tcPr>
            <w:tcW w:w="6924" w:type="dxa"/>
            <w:vMerge w:val="continue"/>
            <w:noWrap w:val="0"/>
            <w:vAlign w:val="center"/>
          </w:tcPr>
          <w:p w14:paraId="7629909D">
            <w:pPr>
              <w:jc w:val="center"/>
              <w:rPr>
                <w:rFonts w:hint="eastAsia" w:ascii="宋体" w:hAnsi="宋体" w:eastAsia="宋体" w:cs="宋体"/>
                <w:color w:val="auto"/>
                <w:sz w:val="21"/>
                <w:szCs w:val="21"/>
                <w:vertAlign w:val="baseline"/>
                <w:lang w:eastAsia="zh-CN"/>
              </w:rPr>
            </w:pPr>
          </w:p>
        </w:tc>
      </w:tr>
      <w:tr w14:paraId="3264B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638DDBF3">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8</w:t>
            </w:r>
          </w:p>
        </w:tc>
        <w:tc>
          <w:tcPr>
            <w:tcW w:w="960" w:type="dxa"/>
            <w:vMerge w:val="continue"/>
            <w:noWrap w:val="0"/>
            <w:vAlign w:val="center"/>
          </w:tcPr>
          <w:p w14:paraId="0968AA10">
            <w:pPr>
              <w:keepNext w:val="0"/>
              <w:keepLines w:val="0"/>
              <w:widowControl/>
              <w:suppressLineNumbers w:val="0"/>
              <w:jc w:val="center"/>
              <w:rPr>
                <w:rFonts w:hint="eastAsia" w:ascii="宋体" w:hAnsi="宋体" w:eastAsia="宋体" w:cs="宋体"/>
                <w:color w:val="auto"/>
                <w:kern w:val="0"/>
                <w:sz w:val="21"/>
                <w:szCs w:val="21"/>
                <w:lang w:val="en-US" w:eastAsia="zh-CN" w:bidi="ar"/>
              </w:rPr>
            </w:pPr>
          </w:p>
        </w:tc>
        <w:tc>
          <w:tcPr>
            <w:tcW w:w="3345" w:type="dxa"/>
            <w:noWrap w:val="0"/>
            <w:vAlign w:val="center"/>
          </w:tcPr>
          <w:p w14:paraId="59B31408">
            <w:pPr>
              <w:keepNext w:val="0"/>
              <w:keepLines w:val="0"/>
              <w:widowControl/>
              <w:suppressLineNumbers w:val="0"/>
              <w:jc w:val="left"/>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kern w:val="0"/>
                <w:sz w:val="21"/>
                <w:szCs w:val="21"/>
                <w:lang w:val="en-US" w:eastAsia="zh-CN" w:bidi="ar"/>
              </w:rPr>
              <w:t>常闭式防火门处于开启状态或者闭门器损坏不超过3处，且不影响正常使用功能的；</w:t>
            </w:r>
          </w:p>
        </w:tc>
        <w:tc>
          <w:tcPr>
            <w:tcW w:w="2205" w:type="dxa"/>
            <w:vMerge w:val="continue"/>
            <w:noWrap w:val="0"/>
            <w:vAlign w:val="center"/>
          </w:tcPr>
          <w:p w14:paraId="22C3377D">
            <w:pPr>
              <w:jc w:val="center"/>
              <w:rPr>
                <w:rFonts w:hint="eastAsia" w:ascii="宋体" w:hAnsi="宋体" w:eastAsia="宋体" w:cs="宋体"/>
                <w:color w:val="auto"/>
                <w:sz w:val="21"/>
                <w:szCs w:val="21"/>
                <w:vertAlign w:val="baseline"/>
                <w:lang w:eastAsia="zh-CN"/>
              </w:rPr>
            </w:pPr>
          </w:p>
        </w:tc>
        <w:tc>
          <w:tcPr>
            <w:tcW w:w="6924" w:type="dxa"/>
            <w:vMerge w:val="continue"/>
            <w:noWrap w:val="0"/>
            <w:vAlign w:val="center"/>
          </w:tcPr>
          <w:p w14:paraId="626A0640">
            <w:pPr>
              <w:jc w:val="center"/>
              <w:rPr>
                <w:rFonts w:hint="eastAsia" w:ascii="宋体" w:hAnsi="宋体" w:eastAsia="宋体" w:cs="宋体"/>
                <w:color w:val="auto"/>
                <w:sz w:val="21"/>
                <w:szCs w:val="21"/>
                <w:vertAlign w:val="baseline"/>
                <w:lang w:eastAsia="zh-CN"/>
              </w:rPr>
            </w:pPr>
          </w:p>
        </w:tc>
      </w:tr>
      <w:tr w14:paraId="45E25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717EB8A2">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9</w:t>
            </w:r>
          </w:p>
        </w:tc>
        <w:tc>
          <w:tcPr>
            <w:tcW w:w="960" w:type="dxa"/>
            <w:vMerge w:val="continue"/>
            <w:noWrap w:val="0"/>
            <w:vAlign w:val="center"/>
          </w:tcPr>
          <w:p w14:paraId="0E1579F5">
            <w:pPr>
              <w:keepNext w:val="0"/>
              <w:keepLines w:val="0"/>
              <w:widowControl/>
              <w:suppressLineNumbers w:val="0"/>
              <w:jc w:val="center"/>
              <w:rPr>
                <w:rFonts w:hint="eastAsia" w:ascii="宋体" w:hAnsi="宋体" w:eastAsia="宋体" w:cs="宋体"/>
                <w:color w:val="auto"/>
                <w:kern w:val="0"/>
                <w:sz w:val="21"/>
                <w:szCs w:val="21"/>
                <w:lang w:val="en-US" w:eastAsia="zh-CN" w:bidi="ar"/>
              </w:rPr>
            </w:pPr>
          </w:p>
        </w:tc>
        <w:tc>
          <w:tcPr>
            <w:tcW w:w="3345" w:type="dxa"/>
            <w:noWrap w:val="0"/>
            <w:vAlign w:val="center"/>
          </w:tcPr>
          <w:p w14:paraId="61CF3A43">
            <w:pPr>
              <w:keepNext w:val="0"/>
              <w:keepLines w:val="0"/>
              <w:widowControl/>
              <w:suppressLineNumbers w:val="0"/>
              <w:jc w:val="left"/>
              <w:rPr>
                <w:rFonts w:hint="eastAsia" w:ascii="宋体" w:hAnsi="宋体" w:eastAsia="宋体" w:cs="宋体"/>
                <w:color w:val="auto"/>
                <w:kern w:val="2"/>
                <w:sz w:val="21"/>
                <w:szCs w:val="21"/>
                <w:vertAlign w:val="baseline"/>
                <w:lang w:val="en-US" w:eastAsia="zh-CN" w:bidi="ar-SA"/>
              </w:rPr>
            </w:pPr>
            <w:r>
              <w:rPr>
                <w:rFonts w:hint="eastAsia" w:ascii="宋体" w:hAnsi="宋体" w:eastAsia="宋体" w:cs="宋体"/>
                <w:color w:val="auto"/>
                <w:kern w:val="0"/>
                <w:sz w:val="21"/>
                <w:szCs w:val="21"/>
                <w:lang w:val="en-US" w:eastAsia="zh-CN" w:bidi="ar"/>
              </w:rPr>
              <w:t>灭火器材损坏或失效，不影响整个区域功能使用的</w:t>
            </w:r>
          </w:p>
        </w:tc>
        <w:tc>
          <w:tcPr>
            <w:tcW w:w="2205" w:type="dxa"/>
            <w:vMerge w:val="continue"/>
            <w:noWrap w:val="0"/>
            <w:vAlign w:val="center"/>
          </w:tcPr>
          <w:p w14:paraId="4431EBB5">
            <w:pPr>
              <w:jc w:val="center"/>
              <w:rPr>
                <w:rFonts w:hint="eastAsia" w:ascii="宋体" w:hAnsi="宋体" w:eastAsia="宋体" w:cs="宋体"/>
                <w:color w:val="auto"/>
                <w:sz w:val="21"/>
                <w:szCs w:val="21"/>
                <w:vertAlign w:val="baseline"/>
                <w:lang w:eastAsia="zh-CN"/>
              </w:rPr>
            </w:pPr>
          </w:p>
        </w:tc>
        <w:tc>
          <w:tcPr>
            <w:tcW w:w="6924" w:type="dxa"/>
            <w:vMerge w:val="continue"/>
            <w:noWrap w:val="0"/>
            <w:vAlign w:val="center"/>
          </w:tcPr>
          <w:p w14:paraId="0D8564F6">
            <w:pPr>
              <w:jc w:val="center"/>
              <w:rPr>
                <w:rFonts w:hint="eastAsia" w:ascii="宋体" w:hAnsi="宋体" w:eastAsia="宋体" w:cs="宋体"/>
                <w:color w:val="auto"/>
                <w:sz w:val="21"/>
                <w:szCs w:val="21"/>
                <w:vertAlign w:val="baseline"/>
                <w:lang w:eastAsia="zh-CN"/>
              </w:rPr>
            </w:pPr>
          </w:p>
        </w:tc>
      </w:tr>
      <w:tr w14:paraId="22E0F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5684F3AF">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w:t>
            </w:r>
          </w:p>
        </w:tc>
        <w:tc>
          <w:tcPr>
            <w:tcW w:w="13434" w:type="dxa"/>
            <w:gridSpan w:val="4"/>
            <w:noWrap w:val="0"/>
            <w:vAlign w:val="center"/>
          </w:tcPr>
          <w:p w14:paraId="65922791">
            <w:pPr>
              <w:jc w:val="left"/>
              <w:rPr>
                <w:rFonts w:hint="eastAsia" w:ascii="宋体" w:hAnsi="宋体" w:eastAsia="宋体" w:cs="宋体"/>
                <w:color w:val="auto"/>
                <w:sz w:val="21"/>
                <w:szCs w:val="21"/>
                <w:vertAlign w:val="baseline"/>
                <w:lang w:eastAsia="zh-CN"/>
              </w:rPr>
            </w:pPr>
            <w:r>
              <w:rPr>
                <w:rFonts w:hint="eastAsia" w:ascii="宋体" w:hAnsi="宋体" w:eastAsia="宋体" w:cs="宋体"/>
                <w:b/>
                <w:bCs/>
                <w:color w:val="auto"/>
                <w:kern w:val="0"/>
                <w:sz w:val="21"/>
                <w:szCs w:val="21"/>
                <w:lang w:val="en-US" w:eastAsia="zh-CN" w:bidi="ar"/>
              </w:rPr>
              <w:t>初次违法且危害后果轻微并及时改正的</w:t>
            </w:r>
            <w:r>
              <w:rPr>
                <w:rFonts w:hint="eastAsia" w:ascii="宋体" w:hAnsi="宋体" w:cs="宋体"/>
                <w:b/>
                <w:bCs/>
                <w:color w:val="auto"/>
                <w:kern w:val="0"/>
                <w:sz w:val="21"/>
                <w:szCs w:val="21"/>
                <w:lang w:val="en-US" w:eastAsia="zh-CN" w:bidi="ar"/>
              </w:rPr>
              <w:t>（</w:t>
            </w:r>
            <w:r>
              <w:rPr>
                <w:rFonts w:hint="eastAsia" w:ascii="宋体" w:hAnsi="宋体" w:eastAsia="宋体" w:cs="宋体"/>
                <w:b/>
                <w:bCs/>
                <w:color w:val="auto"/>
                <w:kern w:val="0"/>
                <w:sz w:val="21"/>
                <w:szCs w:val="21"/>
                <w:lang w:val="en-US" w:eastAsia="zh-CN" w:bidi="ar"/>
              </w:rPr>
              <w:t>三个工作日内</w:t>
            </w:r>
            <w:r>
              <w:rPr>
                <w:rFonts w:hint="eastAsia" w:ascii="宋体" w:hAnsi="宋体" w:cs="宋体"/>
                <w:b/>
                <w:bCs/>
                <w:color w:val="auto"/>
                <w:kern w:val="0"/>
                <w:sz w:val="21"/>
                <w:szCs w:val="21"/>
                <w:lang w:val="en-US" w:eastAsia="zh-CN" w:bidi="ar"/>
              </w:rPr>
              <w:t>）</w:t>
            </w:r>
            <w:r>
              <w:rPr>
                <w:rFonts w:hint="eastAsia" w:ascii="宋体" w:hAnsi="宋体" w:eastAsia="宋体" w:cs="宋体"/>
                <w:b/>
                <w:bCs/>
                <w:color w:val="auto"/>
                <w:kern w:val="0"/>
                <w:sz w:val="21"/>
                <w:szCs w:val="21"/>
                <w:lang w:val="en-US" w:eastAsia="zh-CN" w:bidi="ar"/>
              </w:rPr>
              <w:t>，不予行政处罚</w:t>
            </w:r>
          </w:p>
        </w:tc>
      </w:tr>
      <w:tr w14:paraId="3B7DD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456E2750">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10</w:t>
            </w:r>
          </w:p>
        </w:tc>
        <w:tc>
          <w:tcPr>
            <w:tcW w:w="4305" w:type="dxa"/>
            <w:gridSpan w:val="2"/>
            <w:noWrap w:val="0"/>
            <w:vAlign w:val="center"/>
          </w:tcPr>
          <w:p w14:paraId="4256758E">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擅自停用消防设施、器材的</w:t>
            </w:r>
          </w:p>
        </w:tc>
        <w:tc>
          <w:tcPr>
            <w:tcW w:w="2205" w:type="dxa"/>
            <w:vMerge w:val="restart"/>
            <w:noWrap w:val="0"/>
            <w:vAlign w:val="center"/>
          </w:tcPr>
          <w:p w14:paraId="1CD75FA1">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1.属于初次被发现实施违法行为；</w:t>
            </w:r>
          </w:p>
          <w:p w14:paraId="0DA89EC5">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2.及时改正；</w:t>
            </w:r>
          </w:p>
          <w:p w14:paraId="40FA7FD8">
            <w:pPr>
              <w:keepNext w:val="0"/>
              <w:keepLines w:val="0"/>
              <w:widowControl/>
              <w:suppressLineNumbers w:val="0"/>
              <w:jc w:val="left"/>
              <w:rPr>
                <w:rFonts w:hint="eastAsia" w:ascii="宋体" w:hAnsi="宋体" w:eastAsia="宋体" w:cs="宋体"/>
                <w:color w:val="auto"/>
                <w:sz w:val="21"/>
                <w:szCs w:val="21"/>
                <w:vertAlign w:val="baseline"/>
                <w:lang w:eastAsia="zh-CN"/>
              </w:rPr>
            </w:pPr>
            <w:r>
              <w:rPr>
                <w:rFonts w:hint="eastAsia" w:ascii="宋体" w:hAnsi="宋体" w:eastAsia="宋体" w:cs="宋体"/>
                <w:color w:val="auto"/>
                <w:kern w:val="0"/>
                <w:sz w:val="21"/>
                <w:szCs w:val="21"/>
                <w:lang w:val="en-US" w:eastAsia="zh-CN" w:bidi="ar"/>
              </w:rPr>
              <w:t>3.危害后果轻微。</w:t>
            </w:r>
          </w:p>
        </w:tc>
        <w:tc>
          <w:tcPr>
            <w:tcW w:w="6924" w:type="dxa"/>
            <w:noWrap w:val="0"/>
            <w:vAlign w:val="center"/>
          </w:tcPr>
          <w:p w14:paraId="31B8D6ED">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《中华人民共和国消防法》</w:t>
            </w:r>
          </w:p>
          <w:p w14:paraId="3059E10A">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第六十条第一款 单位违反本法规定，有下列行为之一的，责令改正，处五千元以上五万元以下罚款：……（二）损坏、挪用或者擅自拆除、停用消防设施、器材的；</w:t>
            </w:r>
          </w:p>
          <w:p w14:paraId="7D6A95CF">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第六十条第二款 个人有前款第二项、第三项、第四项、第五项行为之一的，处警告或者五百元以下罚款。</w:t>
            </w:r>
          </w:p>
        </w:tc>
      </w:tr>
      <w:tr w14:paraId="0762F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4" w:hRule="atLeast"/>
          <w:jc w:val="center"/>
        </w:trPr>
        <w:tc>
          <w:tcPr>
            <w:tcW w:w="740" w:type="dxa"/>
            <w:noWrap w:val="0"/>
            <w:vAlign w:val="center"/>
          </w:tcPr>
          <w:p w14:paraId="06D81370">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11</w:t>
            </w:r>
          </w:p>
        </w:tc>
        <w:tc>
          <w:tcPr>
            <w:tcW w:w="4305" w:type="dxa"/>
            <w:gridSpan w:val="2"/>
            <w:noWrap w:val="0"/>
            <w:vAlign w:val="center"/>
          </w:tcPr>
          <w:p w14:paraId="6346B100">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占用、堵塞疏散通道、安全出口或者有其他妨碍安全疏散行为的</w:t>
            </w:r>
          </w:p>
        </w:tc>
        <w:tc>
          <w:tcPr>
            <w:tcW w:w="2205" w:type="dxa"/>
            <w:vMerge w:val="continue"/>
            <w:noWrap w:val="0"/>
            <w:vAlign w:val="center"/>
          </w:tcPr>
          <w:p w14:paraId="788DD37B">
            <w:pPr>
              <w:jc w:val="center"/>
              <w:rPr>
                <w:rFonts w:hint="eastAsia" w:ascii="宋体" w:hAnsi="宋体" w:eastAsia="宋体" w:cs="宋体"/>
                <w:color w:val="auto"/>
                <w:sz w:val="21"/>
                <w:szCs w:val="21"/>
                <w:vertAlign w:val="baseline"/>
                <w:lang w:eastAsia="zh-CN"/>
              </w:rPr>
            </w:pPr>
          </w:p>
        </w:tc>
        <w:tc>
          <w:tcPr>
            <w:tcW w:w="6924" w:type="dxa"/>
            <w:noWrap w:val="0"/>
            <w:vAlign w:val="center"/>
          </w:tcPr>
          <w:p w14:paraId="23422ACC">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《中华人民共和国消防法》</w:t>
            </w:r>
          </w:p>
          <w:p w14:paraId="214C10AE">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第六十条第一款 单位违反本法规定，有下列行为之一的，责令改正，处五千元以上五万元以下罚款：……（三）占用、堵塞、封闭疏散通道、安全出口或者有其他妨碍安全疏散行为的；</w:t>
            </w:r>
          </w:p>
          <w:p w14:paraId="13A36C0A">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第六十条第二款 个人有前款第二项、第三项、第四项、第五项行为之一的，处警告或者五百元以下罚款。</w:t>
            </w:r>
          </w:p>
        </w:tc>
      </w:tr>
      <w:tr w14:paraId="0DEF9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1C7D5CD7">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12</w:t>
            </w:r>
          </w:p>
        </w:tc>
        <w:tc>
          <w:tcPr>
            <w:tcW w:w="4305" w:type="dxa"/>
            <w:gridSpan w:val="2"/>
            <w:noWrap w:val="0"/>
            <w:vAlign w:val="center"/>
          </w:tcPr>
          <w:p w14:paraId="7CE28131">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埋压、圈占、遮挡消火栓或者占用防火间距的</w:t>
            </w:r>
          </w:p>
        </w:tc>
        <w:tc>
          <w:tcPr>
            <w:tcW w:w="2205" w:type="dxa"/>
            <w:vMerge w:val="continue"/>
            <w:noWrap w:val="0"/>
            <w:vAlign w:val="center"/>
          </w:tcPr>
          <w:p w14:paraId="594129F9">
            <w:pPr>
              <w:jc w:val="center"/>
              <w:rPr>
                <w:rFonts w:hint="eastAsia" w:ascii="宋体" w:hAnsi="宋体" w:eastAsia="宋体" w:cs="宋体"/>
                <w:color w:val="auto"/>
                <w:sz w:val="21"/>
                <w:szCs w:val="21"/>
                <w:vertAlign w:val="baseline"/>
                <w:lang w:eastAsia="zh-CN"/>
              </w:rPr>
            </w:pPr>
          </w:p>
        </w:tc>
        <w:tc>
          <w:tcPr>
            <w:tcW w:w="6924" w:type="dxa"/>
            <w:noWrap w:val="0"/>
            <w:vAlign w:val="center"/>
          </w:tcPr>
          <w:p w14:paraId="2E30B971">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《中华人民共和国消防法》</w:t>
            </w:r>
          </w:p>
          <w:p w14:paraId="494EDA96">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第六十条第一款 单位违反本法规定，有下列行为之一的，责令改正，处五千元以上五万元以下罚款：……（四）埋压、圈占、遮挡消火栓或者占用防火间距的；</w:t>
            </w:r>
          </w:p>
          <w:p w14:paraId="0137FF0A">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第六十条第二款 个人有前款第二项、第三项、第四项、第五项行为之一的，处警告或者五百元以下罚款。</w:t>
            </w:r>
          </w:p>
        </w:tc>
      </w:tr>
      <w:tr w14:paraId="7E364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433214F1">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13</w:t>
            </w:r>
          </w:p>
        </w:tc>
        <w:tc>
          <w:tcPr>
            <w:tcW w:w="4305" w:type="dxa"/>
            <w:gridSpan w:val="2"/>
            <w:noWrap w:val="0"/>
            <w:vAlign w:val="center"/>
          </w:tcPr>
          <w:p w14:paraId="143613E0">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占用、堵塞、封闭消防车通道，妨碍消防车通行的</w:t>
            </w:r>
          </w:p>
        </w:tc>
        <w:tc>
          <w:tcPr>
            <w:tcW w:w="2205" w:type="dxa"/>
            <w:vMerge w:val="continue"/>
            <w:noWrap w:val="0"/>
            <w:vAlign w:val="center"/>
          </w:tcPr>
          <w:p w14:paraId="44684C0F">
            <w:pPr>
              <w:jc w:val="center"/>
              <w:rPr>
                <w:rFonts w:hint="eastAsia" w:ascii="宋体" w:hAnsi="宋体" w:eastAsia="宋体" w:cs="宋体"/>
                <w:color w:val="auto"/>
                <w:sz w:val="21"/>
                <w:szCs w:val="21"/>
                <w:vertAlign w:val="baseline"/>
                <w:lang w:eastAsia="zh-CN"/>
              </w:rPr>
            </w:pPr>
          </w:p>
        </w:tc>
        <w:tc>
          <w:tcPr>
            <w:tcW w:w="6924" w:type="dxa"/>
            <w:noWrap w:val="0"/>
            <w:vAlign w:val="center"/>
          </w:tcPr>
          <w:p w14:paraId="433E0275">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《中华人民共和国消防法》</w:t>
            </w:r>
          </w:p>
          <w:p w14:paraId="50A818CF">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第六十条第一款 单位违反本法规定，有下列行为之一的，责令改正，处五千元以上五万元以下罚款：……（五）占用、堵塞、封闭消防车通道，妨碍消防车通行的；</w:t>
            </w:r>
          </w:p>
          <w:p w14:paraId="6E7AA39A">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第六十条第二款 个人有前款第二项、第三项、第四项、第五项行为之一的，处警告或者五百元以下罚款。</w:t>
            </w:r>
          </w:p>
        </w:tc>
      </w:tr>
      <w:tr w14:paraId="17221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3AD64C32">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14</w:t>
            </w:r>
          </w:p>
        </w:tc>
        <w:tc>
          <w:tcPr>
            <w:tcW w:w="4305" w:type="dxa"/>
            <w:gridSpan w:val="2"/>
            <w:noWrap w:val="0"/>
            <w:vAlign w:val="center"/>
          </w:tcPr>
          <w:p w14:paraId="7F7A58C2">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人员密集场所在门窗上设置影响逃生和灭火救援的障碍物的</w:t>
            </w:r>
          </w:p>
        </w:tc>
        <w:tc>
          <w:tcPr>
            <w:tcW w:w="2205" w:type="dxa"/>
            <w:vMerge w:val="continue"/>
            <w:noWrap w:val="0"/>
            <w:vAlign w:val="center"/>
          </w:tcPr>
          <w:p w14:paraId="7C3AB209">
            <w:pPr>
              <w:jc w:val="center"/>
              <w:rPr>
                <w:rFonts w:hint="eastAsia" w:ascii="宋体" w:hAnsi="宋体" w:eastAsia="宋体" w:cs="宋体"/>
                <w:color w:val="auto"/>
                <w:sz w:val="21"/>
                <w:szCs w:val="21"/>
                <w:vertAlign w:val="baseline"/>
                <w:lang w:eastAsia="zh-CN"/>
              </w:rPr>
            </w:pPr>
          </w:p>
        </w:tc>
        <w:tc>
          <w:tcPr>
            <w:tcW w:w="6924" w:type="dxa"/>
            <w:noWrap w:val="0"/>
            <w:vAlign w:val="center"/>
          </w:tcPr>
          <w:p w14:paraId="67E323EA">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《中华人民共和国消防法》</w:t>
            </w:r>
          </w:p>
          <w:p w14:paraId="3AF59FEF">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第六十条第一款 单位违反本法规定，有下列行为之一的，责令改正，处五千元以上五万元以下罚款：……（六）人员密集场所在门窗上设置影响逃生和灭火救援的障碍物的；</w:t>
            </w:r>
          </w:p>
        </w:tc>
      </w:tr>
      <w:tr w14:paraId="59CAC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67372C05">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15</w:t>
            </w:r>
          </w:p>
        </w:tc>
        <w:tc>
          <w:tcPr>
            <w:tcW w:w="4305" w:type="dxa"/>
            <w:gridSpan w:val="2"/>
            <w:noWrap w:val="0"/>
            <w:vAlign w:val="center"/>
          </w:tcPr>
          <w:p w14:paraId="29982850">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消防技术服务机构未在经其维修、保养的消防设施所在建筑的醒目位置公示消防技术服务信息的</w:t>
            </w:r>
          </w:p>
        </w:tc>
        <w:tc>
          <w:tcPr>
            <w:tcW w:w="2205" w:type="dxa"/>
            <w:vMerge w:val="restart"/>
            <w:noWrap w:val="0"/>
            <w:vAlign w:val="center"/>
          </w:tcPr>
          <w:p w14:paraId="7F8F1226">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1.属于初次被发现实施违法行为； </w:t>
            </w:r>
          </w:p>
          <w:p w14:paraId="598ED4BA">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2.及时改正； </w:t>
            </w:r>
          </w:p>
          <w:p w14:paraId="7BF610C5">
            <w:pPr>
              <w:keepNext w:val="0"/>
              <w:keepLines w:val="0"/>
              <w:widowControl/>
              <w:suppressLineNumbers w:val="0"/>
              <w:jc w:val="left"/>
              <w:rPr>
                <w:rFonts w:hint="eastAsia" w:ascii="宋体" w:hAnsi="宋体" w:eastAsia="宋体" w:cs="宋体"/>
                <w:color w:val="auto"/>
                <w:sz w:val="21"/>
                <w:szCs w:val="21"/>
                <w:vertAlign w:val="baseline"/>
                <w:lang w:eastAsia="zh-CN"/>
              </w:rPr>
            </w:pPr>
            <w:r>
              <w:rPr>
                <w:rFonts w:hint="eastAsia" w:ascii="宋体" w:hAnsi="宋体" w:eastAsia="宋体" w:cs="宋体"/>
                <w:color w:val="auto"/>
                <w:kern w:val="0"/>
                <w:sz w:val="21"/>
                <w:szCs w:val="21"/>
                <w:lang w:val="en-US" w:eastAsia="zh-CN" w:bidi="ar"/>
              </w:rPr>
              <w:t>3.危害后果轻微。</w:t>
            </w:r>
          </w:p>
        </w:tc>
        <w:tc>
          <w:tcPr>
            <w:tcW w:w="6924" w:type="dxa"/>
            <w:noWrap w:val="0"/>
            <w:vAlign w:val="center"/>
          </w:tcPr>
          <w:p w14:paraId="3841D779">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《社会消防技术服务管理规定》（应急管理部令第 7 号）</w:t>
            </w:r>
          </w:p>
          <w:p w14:paraId="0EDD8760">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第三十条消防设施维护保养检测机构未按照本规定要求在经其维护保养的消防设施所在建筑的醒目位置上公示消防技术服务信息的，责令改正，处 5000 元以下罚款。</w:t>
            </w:r>
          </w:p>
        </w:tc>
      </w:tr>
      <w:tr w14:paraId="19814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7F2A836B">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16</w:t>
            </w:r>
          </w:p>
        </w:tc>
        <w:tc>
          <w:tcPr>
            <w:tcW w:w="4305" w:type="dxa"/>
            <w:gridSpan w:val="2"/>
            <w:noWrap w:val="0"/>
            <w:vAlign w:val="center"/>
          </w:tcPr>
          <w:p w14:paraId="495A04F0">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出具的书面结论文件未经技术负责人、项目负责人签名、盖章，或者未加盖消防技术服务机构印章的</w:t>
            </w:r>
          </w:p>
        </w:tc>
        <w:tc>
          <w:tcPr>
            <w:tcW w:w="2205" w:type="dxa"/>
            <w:vMerge w:val="continue"/>
            <w:noWrap w:val="0"/>
            <w:vAlign w:val="center"/>
          </w:tcPr>
          <w:p w14:paraId="055DBBC9">
            <w:pPr>
              <w:jc w:val="center"/>
              <w:rPr>
                <w:rFonts w:hint="eastAsia" w:ascii="宋体" w:hAnsi="宋体" w:eastAsia="宋体" w:cs="宋体"/>
                <w:color w:val="auto"/>
                <w:sz w:val="21"/>
                <w:szCs w:val="21"/>
                <w:vertAlign w:val="baseline"/>
                <w:lang w:eastAsia="zh-CN"/>
              </w:rPr>
            </w:pPr>
          </w:p>
        </w:tc>
        <w:tc>
          <w:tcPr>
            <w:tcW w:w="6924" w:type="dxa"/>
            <w:noWrap w:val="0"/>
            <w:vAlign w:val="center"/>
          </w:tcPr>
          <w:p w14:paraId="570C8A71">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《社会消防技术服务管理规定》（应急管理部令第 7 号）</w:t>
            </w:r>
          </w:p>
          <w:p w14:paraId="515042AE">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第二十八条消防技术服务机构违反本规定，有下列情形之一的，责令改正，处1 万元以下罚款：……（二）出具的书面结论文件未经技术负责人、项目负责人签名、盖章，或者未加盖消防技术服务机构印章的。</w:t>
            </w:r>
          </w:p>
        </w:tc>
      </w:tr>
      <w:tr w14:paraId="4240C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6495A188">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17</w:t>
            </w:r>
          </w:p>
        </w:tc>
        <w:tc>
          <w:tcPr>
            <w:tcW w:w="4305" w:type="dxa"/>
            <w:gridSpan w:val="2"/>
            <w:noWrap w:val="0"/>
            <w:vAlign w:val="center"/>
          </w:tcPr>
          <w:p w14:paraId="4BDBFEDC">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消防技术服务机构未公示营业执照、工作程序、收费标准、从业守则、注册消防工程师注册证书、投诉电话等事项的</w:t>
            </w:r>
          </w:p>
        </w:tc>
        <w:tc>
          <w:tcPr>
            <w:tcW w:w="2205" w:type="dxa"/>
            <w:vMerge w:val="continue"/>
            <w:noWrap w:val="0"/>
            <w:vAlign w:val="center"/>
          </w:tcPr>
          <w:p w14:paraId="6D103827">
            <w:pPr>
              <w:jc w:val="center"/>
              <w:rPr>
                <w:rFonts w:hint="eastAsia" w:ascii="宋体" w:hAnsi="宋体" w:eastAsia="宋体" w:cs="宋体"/>
                <w:color w:val="auto"/>
                <w:sz w:val="21"/>
                <w:szCs w:val="21"/>
                <w:vertAlign w:val="baseline"/>
                <w:lang w:eastAsia="zh-CN"/>
              </w:rPr>
            </w:pPr>
          </w:p>
        </w:tc>
        <w:tc>
          <w:tcPr>
            <w:tcW w:w="6924" w:type="dxa"/>
            <w:noWrap w:val="0"/>
            <w:vAlign w:val="center"/>
          </w:tcPr>
          <w:p w14:paraId="66EA61DB">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《社会消防技术服务管理规定》（应急管理部令第 7 号）</w:t>
            </w:r>
          </w:p>
          <w:p w14:paraId="60A87DE2">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第二十八条消防技术服务机构违反本规定，有下列情形之一的，责令改正，处 1 万元以下罚款：……（六）未公示营业执照、工作程序、收费标准、从业守则、注册消防工程师注册证书、投诉电话等事项的。</w:t>
            </w:r>
          </w:p>
        </w:tc>
      </w:tr>
      <w:tr w14:paraId="2A4B3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10464F49">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w:t>
            </w:r>
          </w:p>
        </w:tc>
        <w:tc>
          <w:tcPr>
            <w:tcW w:w="13434" w:type="dxa"/>
            <w:gridSpan w:val="4"/>
            <w:noWrap w:val="0"/>
            <w:vAlign w:val="center"/>
          </w:tcPr>
          <w:p w14:paraId="53B82E67">
            <w:pPr>
              <w:jc w:val="left"/>
              <w:rPr>
                <w:rFonts w:hint="eastAsia" w:ascii="宋体" w:hAnsi="宋体" w:eastAsia="宋体" w:cs="宋体"/>
                <w:color w:val="auto"/>
                <w:sz w:val="21"/>
                <w:szCs w:val="21"/>
                <w:vertAlign w:val="baseline"/>
                <w:lang w:eastAsia="zh-CN"/>
              </w:rPr>
            </w:pPr>
            <w:r>
              <w:rPr>
                <w:rFonts w:hint="eastAsia" w:ascii="宋体" w:hAnsi="宋体" w:eastAsia="宋体" w:cs="宋体"/>
                <w:b/>
                <w:bCs/>
                <w:color w:val="auto"/>
                <w:kern w:val="0"/>
                <w:sz w:val="21"/>
                <w:szCs w:val="21"/>
                <w:lang w:val="en-US" w:eastAsia="zh-CN" w:bidi="ar"/>
              </w:rPr>
              <w:t>当事人有证据足以证明没有主观过错的行为，不予行政处罚</w:t>
            </w:r>
          </w:p>
        </w:tc>
      </w:tr>
      <w:tr w14:paraId="6C095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2E1F5CA5">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18</w:t>
            </w:r>
          </w:p>
        </w:tc>
        <w:tc>
          <w:tcPr>
            <w:tcW w:w="4305" w:type="dxa"/>
            <w:gridSpan w:val="2"/>
            <w:noWrap w:val="0"/>
            <w:vAlign w:val="center"/>
          </w:tcPr>
          <w:p w14:paraId="6084102C">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消防设施、器材或者消防安全标志未保持完好有效的</w:t>
            </w:r>
          </w:p>
        </w:tc>
        <w:tc>
          <w:tcPr>
            <w:tcW w:w="2205" w:type="dxa"/>
            <w:noWrap w:val="0"/>
            <w:vAlign w:val="center"/>
          </w:tcPr>
          <w:p w14:paraId="40950C9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消防设施、器材和消防安全标志存在的问题和故障，单位已自行发现，并采取措施进行整改，且已落实保证消防安全的防范措施或者将危险部位停用的。</w:t>
            </w:r>
          </w:p>
        </w:tc>
        <w:tc>
          <w:tcPr>
            <w:tcW w:w="6924" w:type="dxa"/>
            <w:noWrap w:val="0"/>
            <w:vAlign w:val="center"/>
          </w:tcPr>
          <w:p w14:paraId="5F66FB92">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《中华人民共和国消防法》 </w:t>
            </w:r>
          </w:p>
          <w:p w14:paraId="61A7A582">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第六十条第一款 单位违反本法规定，有下列行为之一的，责令改正，处五千元以上五万元以下罚款：</w:t>
            </w:r>
          </w:p>
          <w:p w14:paraId="0E89F154">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（一）消防设施、器材或者消防安全标志的配置、设置不符合国家标准、行业标准，或者未保持完好有效的；</w:t>
            </w:r>
          </w:p>
        </w:tc>
      </w:tr>
      <w:tr w14:paraId="0FF5B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73FF8F32">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19</w:t>
            </w:r>
          </w:p>
        </w:tc>
        <w:tc>
          <w:tcPr>
            <w:tcW w:w="4305" w:type="dxa"/>
            <w:gridSpan w:val="2"/>
            <w:noWrap w:val="0"/>
            <w:vAlign w:val="center"/>
          </w:tcPr>
          <w:p w14:paraId="66942874">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损坏、挪用或者擅自拆除、停用消防设施、器材的</w:t>
            </w:r>
          </w:p>
        </w:tc>
        <w:tc>
          <w:tcPr>
            <w:tcW w:w="2205" w:type="dxa"/>
            <w:noWrap w:val="0"/>
            <w:vAlign w:val="center"/>
          </w:tcPr>
          <w:p w14:paraId="1A4055F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因室内装修、设备维护等确实需要局部停用消防设施、器材的，已书面报经消防安全责任人或者管理人同意，并落实消防安全的防范措施或者将危险部位停用，且不影响其他区域消防设施、器材正常使用的。</w:t>
            </w:r>
          </w:p>
        </w:tc>
        <w:tc>
          <w:tcPr>
            <w:tcW w:w="6924" w:type="dxa"/>
            <w:noWrap w:val="0"/>
            <w:vAlign w:val="center"/>
          </w:tcPr>
          <w:p w14:paraId="32C4B9C9">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《中华人民共和国消防法》 </w:t>
            </w:r>
          </w:p>
          <w:p w14:paraId="56079EEE">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第六十第一款 单位违反本法规定，有下列行为之一的，责令改正，处五千元以上五万元以下罚款：……（二）损坏、挪用或者擅自拆除、停用消防设施、器材的； </w:t>
            </w:r>
          </w:p>
          <w:p w14:paraId="795C1542">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第六十条第二款 个人有前款第二项、第三项、第四项、第五项行为之一的，处警告或者五百元以下罚款。</w:t>
            </w:r>
          </w:p>
        </w:tc>
      </w:tr>
      <w:tr w14:paraId="05305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58574EC5">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20</w:t>
            </w:r>
          </w:p>
        </w:tc>
        <w:tc>
          <w:tcPr>
            <w:tcW w:w="4305" w:type="dxa"/>
            <w:gridSpan w:val="2"/>
            <w:noWrap w:val="0"/>
            <w:vAlign w:val="center"/>
          </w:tcPr>
          <w:p w14:paraId="3762A7BE">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消防安全检查发现场所使用、营业情况与承诺内容不符</w:t>
            </w:r>
          </w:p>
        </w:tc>
        <w:tc>
          <w:tcPr>
            <w:tcW w:w="2205" w:type="dxa"/>
            <w:noWrap w:val="0"/>
            <w:vAlign w:val="center"/>
          </w:tcPr>
          <w:p w14:paraId="1A5BD8BD">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当事人主观积极配合，实际与承诺内容轻微不符并在责令改正期限届满前或行政处罚案件调查取证期内整改完毕的。</w:t>
            </w:r>
          </w:p>
        </w:tc>
        <w:tc>
          <w:tcPr>
            <w:tcW w:w="6924" w:type="dxa"/>
            <w:noWrap w:val="0"/>
            <w:vAlign w:val="center"/>
          </w:tcPr>
          <w:p w14:paraId="581CC6D7">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《中华人民共和国消防法》</w:t>
            </w:r>
          </w:p>
          <w:p w14:paraId="77C36EE3">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第十五条第二款 消防救援机构对申请人提交的材料进行审查；申请材料齐全、符合法定形式的，应当予以许可。消防救援机构应当根据消防技术标准和管理规定，及时对作出承诺的公众聚集场所进行核查。</w:t>
            </w:r>
          </w:p>
          <w:p w14:paraId="3D498C77">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第五十八条第一款第四项 　违反本法规定，有下列行为之一的，由住房和城乡建设主管部门、消防救援机构按照各自职权责令停止施工、停止使用或者停产停业，并处三万元以上三十万元以下罚款：……（四）公众聚集场所未经消防救援机构许可，擅自投入使用、营业的，或者经核查发现场所使用、营业情况与承诺内容不符的。</w:t>
            </w:r>
          </w:p>
        </w:tc>
      </w:tr>
      <w:tr w14:paraId="100B1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57B1375E">
            <w:pPr>
              <w:keepNext w:val="0"/>
              <w:keepLines w:val="0"/>
              <w:widowControl/>
              <w:suppressLineNumbers w:val="0"/>
              <w:jc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21</w:t>
            </w:r>
          </w:p>
        </w:tc>
        <w:tc>
          <w:tcPr>
            <w:tcW w:w="4305" w:type="dxa"/>
            <w:gridSpan w:val="2"/>
            <w:noWrap w:val="0"/>
            <w:vAlign w:val="center"/>
          </w:tcPr>
          <w:p w14:paraId="7158F1CA">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过失引起火灾</w:t>
            </w:r>
          </w:p>
        </w:tc>
        <w:tc>
          <w:tcPr>
            <w:tcW w:w="2205" w:type="dxa"/>
            <w:noWrap w:val="0"/>
            <w:vAlign w:val="center"/>
          </w:tcPr>
          <w:p w14:paraId="2A8777AB">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火灾发生在居民住宅内、没有争议、损失在10000元以下、未造成他人财产损失，并且起火原因可排除电动自行车充电、氧焊氧割、储存易燃易爆物品的。</w:t>
            </w:r>
          </w:p>
        </w:tc>
        <w:tc>
          <w:tcPr>
            <w:tcW w:w="6924" w:type="dxa"/>
            <w:noWrap w:val="0"/>
            <w:vAlign w:val="center"/>
          </w:tcPr>
          <w:p w14:paraId="4319291D">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《中华人民共和国消防法》</w:t>
            </w:r>
          </w:p>
          <w:p w14:paraId="43748AD9">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第六十四条第二项 违反本法规定，有下列行为之一，尚不构成犯罪的，处十日以上十五日以下拘留，可以并处五百元以下罚款；情节较轻的，处警告或者五百元以下罚款：……（二）过失引起火灾的；</w:t>
            </w:r>
          </w:p>
        </w:tc>
      </w:tr>
      <w:tr w14:paraId="7DED4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noWrap w:val="0"/>
            <w:vAlign w:val="center"/>
          </w:tcPr>
          <w:p w14:paraId="46A994DA">
            <w:pPr>
              <w:keepNext w:val="0"/>
              <w:keepLines w:val="0"/>
              <w:widowControl/>
              <w:suppressLineNumbers w:val="0"/>
              <w:jc w:val="center"/>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序号</w:t>
            </w:r>
          </w:p>
        </w:tc>
        <w:tc>
          <w:tcPr>
            <w:tcW w:w="4305" w:type="dxa"/>
            <w:gridSpan w:val="2"/>
            <w:noWrap w:val="0"/>
            <w:vAlign w:val="center"/>
          </w:tcPr>
          <w:p w14:paraId="1FDF2213">
            <w:pPr>
              <w:keepNext w:val="0"/>
              <w:keepLines w:val="0"/>
              <w:widowControl/>
              <w:suppressLineNumbers w:val="0"/>
              <w:jc w:val="center"/>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违法行为</w:t>
            </w:r>
          </w:p>
        </w:tc>
        <w:tc>
          <w:tcPr>
            <w:tcW w:w="2205" w:type="dxa"/>
            <w:noWrap w:val="0"/>
            <w:vAlign w:val="center"/>
          </w:tcPr>
          <w:p w14:paraId="3285C5B1">
            <w:pPr>
              <w:keepNext w:val="0"/>
              <w:keepLines w:val="0"/>
              <w:widowControl/>
              <w:suppressLineNumbers w:val="0"/>
              <w:jc w:val="center"/>
              <w:rPr>
                <w:rFonts w:hint="eastAsia" w:ascii="宋体" w:hAnsi="宋体" w:eastAsia="宋体" w:cs="宋体"/>
                <w:color w:val="auto"/>
                <w:sz w:val="21"/>
                <w:szCs w:val="21"/>
                <w:vertAlign w:val="baseline"/>
                <w:lang w:eastAsia="zh-CN"/>
              </w:rPr>
            </w:pPr>
            <w:r>
              <w:rPr>
                <w:rFonts w:hint="eastAsia" w:ascii="宋体" w:hAnsi="宋体" w:eastAsia="宋体" w:cs="宋体"/>
                <w:b/>
                <w:bCs/>
                <w:color w:val="auto"/>
                <w:kern w:val="0"/>
                <w:sz w:val="21"/>
                <w:szCs w:val="21"/>
                <w:lang w:val="en-US" w:eastAsia="zh-CN" w:bidi="ar"/>
              </w:rPr>
              <w:t>不予强制条件</w:t>
            </w:r>
          </w:p>
        </w:tc>
        <w:tc>
          <w:tcPr>
            <w:tcW w:w="6924" w:type="dxa"/>
            <w:noWrap w:val="0"/>
            <w:vAlign w:val="center"/>
          </w:tcPr>
          <w:p w14:paraId="3800DFB4">
            <w:pPr>
              <w:jc w:val="center"/>
              <w:rPr>
                <w:rFonts w:hint="eastAsia" w:ascii="宋体" w:hAnsi="宋体" w:eastAsia="宋体" w:cs="宋体"/>
                <w:color w:val="auto"/>
                <w:sz w:val="21"/>
                <w:szCs w:val="21"/>
                <w:vertAlign w:val="baseline"/>
                <w:lang w:eastAsia="zh-CN"/>
              </w:rPr>
            </w:pPr>
            <w:r>
              <w:rPr>
                <w:rFonts w:hint="eastAsia" w:ascii="宋体" w:hAnsi="宋体" w:eastAsia="宋体" w:cs="宋体"/>
                <w:b/>
                <w:bCs/>
                <w:color w:val="auto"/>
                <w:kern w:val="0"/>
                <w:sz w:val="21"/>
                <w:szCs w:val="21"/>
                <w:lang w:val="en-US" w:eastAsia="zh-CN" w:bidi="ar"/>
              </w:rPr>
              <w:t>法律依据</w:t>
            </w:r>
          </w:p>
        </w:tc>
      </w:tr>
      <w:tr w14:paraId="6BAC3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9" w:hRule="atLeast"/>
          <w:jc w:val="center"/>
        </w:trPr>
        <w:tc>
          <w:tcPr>
            <w:tcW w:w="740" w:type="dxa"/>
            <w:noWrap w:val="0"/>
            <w:vAlign w:val="center"/>
          </w:tcPr>
          <w:p w14:paraId="7F797249">
            <w:pPr>
              <w:keepNext w:val="0"/>
              <w:keepLines w:val="0"/>
              <w:widowControl/>
              <w:suppressLineNumbers w:val="0"/>
              <w:jc w:val="center"/>
              <w:rPr>
                <w:rFonts w:hint="eastAsia" w:ascii="宋体" w:hAnsi="宋体" w:eastAsia="宋体" w:cs="宋体"/>
                <w:b/>
                <w:bCs/>
                <w:color w:val="auto"/>
                <w:kern w:val="0"/>
                <w:sz w:val="21"/>
                <w:szCs w:val="21"/>
                <w:lang w:val="en-US" w:eastAsia="zh-CN" w:bidi="ar"/>
              </w:rPr>
            </w:pPr>
            <w:r>
              <w:rPr>
                <w:rFonts w:hint="eastAsia" w:ascii="宋体" w:hAnsi="宋体" w:eastAsia="宋体" w:cs="宋体"/>
                <w:color w:val="auto"/>
                <w:kern w:val="0"/>
                <w:sz w:val="21"/>
                <w:szCs w:val="21"/>
                <w:lang w:val="en-US" w:eastAsia="zh-CN" w:bidi="ar"/>
              </w:rPr>
              <w:t>1</w:t>
            </w:r>
          </w:p>
        </w:tc>
        <w:tc>
          <w:tcPr>
            <w:tcW w:w="4305" w:type="dxa"/>
            <w:gridSpan w:val="2"/>
            <w:noWrap w:val="0"/>
            <w:vAlign w:val="center"/>
          </w:tcPr>
          <w:p w14:paraId="3AC54269">
            <w:pPr>
              <w:rPr>
                <w:rFonts w:hint="eastAsia" w:ascii="宋体" w:hAnsi="宋体" w:eastAsia="宋体" w:cs="宋体"/>
                <w:b/>
                <w:bCs/>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符合不予处罚清单中条件的违法行为</w:t>
            </w:r>
          </w:p>
        </w:tc>
        <w:tc>
          <w:tcPr>
            <w:tcW w:w="2205" w:type="dxa"/>
            <w:noWrap w:val="0"/>
            <w:vAlign w:val="center"/>
          </w:tcPr>
          <w:p w14:paraId="30FA3BCC">
            <w:pPr>
              <w:keepNext w:val="0"/>
              <w:keepLines w:val="0"/>
              <w:widowControl/>
              <w:suppressLineNumbers w:val="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违法行为显著轻微或者没有明显社会危害的；初次违法且危害后果轻微并及时改正的；</w:t>
            </w:r>
          </w:p>
          <w:p w14:paraId="6225A81D">
            <w:pPr>
              <w:keepNext w:val="0"/>
              <w:keepLines w:val="0"/>
              <w:widowControl/>
              <w:suppressLineNumbers w:val="0"/>
              <w:jc w:val="left"/>
              <w:rPr>
                <w:rFonts w:hint="eastAsia" w:ascii="宋体" w:hAnsi="宋体" w:eastAsia="宋体" w:cs="宋体"/>
                <w:b/>
                <w:bCs/>
                <w:color w:val="auto"/>
                <w:kern w:val="0"/>
                <w:sz w:val="21"/>
                <w:szCs w:val="21"/>
                <w:lang w:val="en-US" w:eastAsia="zh-CN" w:bidi="ar"/>
              </w:rPr>
            </w:pPr>
            <w:r>
              <w:rPr>
                <w:rFonts w:hint="eastAsia" w:ascii="宋体" w:hAnsi="宋体" w:eastAsia="宋体" w:cs="宋体"/>
                <w:color w:val="auto"/>
                <w:kern w:val="0"/>
                <w:sz w:val="21"/>
                <w:szCs w:val="21"/>
                <w:lang w:val="en-US" w:eastAsia="zh-CN" w:bidi="ar"/>
              </w:rPr>
              <w:t>当事人有证据足以证明没有主观过错的。</w:t>
            </w:r>
          </w:p>
        </w:tc>
        <w:tc>
          <w:tcPr>
            <w:tcW w:w="6924" w:type="dxa"/>
            <w:noWrap w:val="0"/>
            <w:vAlign w:val="center"/>
          </w:tcPr>
          <w:p w14:paraId="524DE4A1">
            <w:pPr>
              <w:keepNext w:val="0"/>
              <w:keepLines w:val="0"/>
              <w:widowControl/>
              <w:suppressLineNumbers w:val="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《中华人民共和国消防法》</w:t>
            </w:r>
          </w:p>
          <w:p w14:paraId="5845725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第五十四条　消防救援机构在消防监督检查中发现火灾隐患的，应当通知有关单位或者个人立即采取措施消除隐患；不及时消除隐患可能严重威胁公共安全的，消防救援机构应当依照规定对危险部位或者场所采取临时查封措施。</w:t>
            </w:r>
          </w:p>
          <w:p w14:paraId="3ABC575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sz w:val="21"/>
                <w:szCs w:val="21"/>
                <w:lang w:val="en-US" w:eastAsia="zh-CN"/>
              </w:rPr>
              <w:t>《</w:t>
            </w:r>
            <w:r>
              <w:rPr>
                <w:rFonts w:hint="eastAsia" w:ascii="宋体" w:hAnsi="宋体" w:eastAsia="宋体" w:cs="宋体"/>
                <w:color w:val="auto"/>
                <w:kern w:val="0"/>
                <w:sz w:val="21"/>
                <w:szCs w:val="21"/>
                <w:lang w:val="en-US" w:eastAsia="zh-CN" w:bidi="ar"/>
              </w:rPr>
              <w:t>中华人民共和国行政强制法》</w:t>
            </w:r>
          </w:p>
          <w:p w14:paraId="32CDB33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第十六条　行政机关履行行政管理职责，依照法律、法规的规定，实施行政强制措施。</w:t>
            </w:r>
          </w:p>
          <w:p w14:paraId="0A863ED2">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违法行为情节显著轻微或者没有明显社会危害的，可以不采取行政强制措施。</w:t>
            </w:r>
          </w:p>
        </w:tc>
      </w:tr>
    </w:tbl>
    <w:p w14:paraId="66D59351">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p>
    <w:p w14:paraId="23EC5248">
      <w:pPr>
        <w:pStyle w:val="2"/>
        <w:rPr>
          <w:rFonts w:hint="eastAsia"/>
          <w:lang w:val="en-US" w:eastAsia="zh-CN"/>
        </w:rPr>
      </w:pPr>
    </w:p>
    <w:p w14:paraId="53D8396D">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气象</w:t>
      </w:r>
      <w:r>
        <w:rPr>
          <w:rFonts w:hint="eastAsia" w:ascii="黑体" w:hAnsi="黑体" w:eastAsia="黑体" w:cs="黑体"/>
          <w:spacing w:val="-11"/>
          <w:kern w:val="0"/>
          <w:sz w:val="32"/>
          <w:szCs w:val="32"/>
          <w:highlight w:val="none"/>
          <w:lang w:bidi="ar"/>
        </w:rPr>
        <w:t>领域轻微违法行为不予处罚清单</w:t>
      </w:r>
    </w:p>
    <w:tbl>
      <w:tblPr>
        <w:tblStyle w:val="9"/>
        <w:tblW w:w="14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7"/>
        <w:gridCol w:w="1262"/>
        <w:gridCol w:w="2268"/>
        <w:gridCol w:w="9776"/>
      </w:tblGrid>
      <w:tr w14:paraId="2ABE8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87" w:type="dxa"/>
            <w:noWrap w:val="0"/>
            <w:vAlign w:val="center"/>
          </w:tcPr>
          <w:p w14:paraId="703A36A6">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序号</w:t>
            </w:r>
          </w:p>
        </w:tc>
        <w:tc>
          <w:tcPr>
            <w:tcW w:w="1262" w:type="dxa"/>
            <w:noWrap w:val="0"/>
            <w:vAlign w:val="center"/>
          </w:tcPr>
          <w:p w14:paraId="2410D0DD">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违法行为</w:t>
            </w:r>
          </w:p>
        </w:tc>
        <w:tc>
          <w:tcPr>
            <w:tcW w:w="2268" w:type="dxa"/>
            <w:noWrap w:val="0"/>
            <w:vAlign w:val="center"/>
          </w:tcPr>
          <w:p w14:paraId="7AA7553B">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不予处罚条件</w:t>
            </w:r>
          </w:p>
        </w:tc>
        <w:tc>
          <w:tcPr>
            <w:tcW w:w="9776" w:type="dxa"/>
            <w:noWrap w:val="0"/>
            <w:vAlign w:val="center"/>
          </w:tcPr>
          <w:p w14:paraId="25BF98F2">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法律依据</w:t>
            </w:r>
          </w:p>
        </w:tc>
      </w:tr>
      <w:tr w14:paraId="07B3C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87" w:type="dxa"/>
            <w:noWrap w:val="0"/>
            <w:vAlign w:val="center"/>
          </w:tcPr>
          <w:p w14:paraId="5F35B0FE">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w:t>
            </w:r>
          </w:p>
        </w:tc>
        <w:tc>
          <w:tcPr>
            <w:tcW w:w="1262" w:type="dxa"/>
            <w:noWrap w:val="0"/>
            <w:vAlign w:val="center"/>
          </w:tcPr>
          <w:p w14:paraId="61FC3287">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对违反升放气球安全管理规定行为的处罚</w:t>
            </w:r>
          </w:p>
        </w:tc>
        <w:tc>
          <w:tcPr>
            <w:tcW w:w="2268" w:type="dxa"/>
            <w:noWrap w:val="0"/>
            <w:vAlign w:val="center"/>
          </w:tcPr>
          <w:p w14:paraId="4006C0F0">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1.首次发现有本项规定的违法行为，未造成严重不良影响和危害后果的</w:t>
            </w:r>
          </w:p>
          <w:p w14:paraId="5AF298C6">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2.主动改正或者在市气象局责令改正期限内改正，未造成严重不良影响和危害后果的</w:t>
            </w:r>
          </w:p>
        </w:tc>
        <w:tc>
          <w:tcPr>
            <w:tcW w:w="9776" w:type="dxa"/>
            <w:noWrap w:val="0"/>
            <w:vAlign w:val="center"/>
          </w:tcPr>
          <w:p w14:paraId="08E6F788">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通用航空飞行管制条例》（国务院、中央军事委员会令第371号）第四十三条：“违反本条例规定，升放无人驾驶自由气球或者系留气球，有下列情形之一的，由气象主管机构或者有关部门按照职责分工责令改正，给予警告；情节严重的，处１万元以上５万元以下罚款；造成重大事故或者严重后果的，依照刑法关于重大责任事故罪或者其他罪的规定，依法追究刑事责任：（一）未经批准擅自升放的；（二）未按照批准的申请升放的；（三）未按照规定设置识别标志的；（四）未及时报告升放动态或者系留气球意外脱离时未按照规定及时报告的；（五）在规定的禁止区域内升放的。”</w:t>
            </w:r>
          </w:p>
          <w:p w14:paraId="3AEE9A8F">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2.《升放气球管理办法》（中国气象局36号令）第二十九条：“违反本办法规定，有下列行为之一的，按照《通用航空飞行管制条例》第四十三条的规定进行处罚：</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一</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未经批准擅自升放的；</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二</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未按照批准的申请升放的；</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三</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未按照规定设置识别标志的；</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四</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未及时报告异常升放动态或者系留气球意外脱离时未按照规定及时报告的；</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五</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在规定的禁止区域内升放的。”第三十条： 违反本办法规定，有下列行为之一的，由县级以上气象主管机构按照权限责令改正，给予警告，可以处一万元以下罚款；情节严重的，处一万元以上三万元以下罚款；造成重大事故或者严重后果的，依照</w:t>
            </w:r>
            <w:r>
              <w:rPr>
                <w:rFonts w:hint="eastAsia" w:ascii="宋体" w:hAnsi="宋体" w:cs="宋体"/>
                <w:spacing w:val="-11"/>
                <w:kern w:val="0"/>
                <w:sz w:val="21"/>
                <w:szCs w:val="21"/>
                <w:lang w:val="en-US" w:eastAsia="zh-CN" w:bidi="ar"/>
              </w:rPr>
              <w:t>《中华人民共和国安全生产法》</w:t>
            </w:r>
            <w:r>
              <w:rPr>
                <w:rFonts w:hint="eastAsia" w:ascii="宋体" w:hAnsi="宋体" w:eastAsia="宋体" w:cs="宋体"/>
                <w:spacing w:val="-11"/>
                <w:kern w:val="0"/>
                <w:sz w:val="21"/>
                <w:szCs w:val="21"/>
                <w:lang w:val="en-US" w:eastAsia="zh-CN" w:bidi="ar"/>
              </w:rPr>
              <w:t>有关规定处罚；构成犯罪的，依法追究刑事责任：</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一</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未按期提交年度报告或者提交的年度报告存在虚假内容的；</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二</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 xml:space="preserve">违反升放气球技术规范和标准的； </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三</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未指定专人值守的；</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四</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升放高度超过地面50米的系留气球未加装快速放气装置的；</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五</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利用气球开展各种活动的单位和个人，使用无《升放气球资质证》的单位升放气球的；</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六</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在安全事故发生后隐瞒不报、谎报、故意迟延不报、故意破坏现场，或者拒绝接受调查以及拒绝提供有关情况和资料的；</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七</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违反升放气球安全要求的其他行为。"</w:t>
            </w:r>
          </w:p>
        </w:tc>
      </w:tr>
      <w:tr w14:paraId="06145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4" w:hRule="atLeast"/>
          <w:jc w:val="center"/>
        </w:trPr>
        <w:tc>
          <w:tcPr>
            <w:tcW w:w="987" w:type="dxa"/>
            <w:tcBorders>
              <w:top w:val="single" w:color="auto" w:sz="4" w:space="0"/>
              <w:left w:val="single" w:color="auto" w:sz="4" w:space="0"/>
              <w:bottom w:val="single" w:color="auto" w:sz="4" w:space="0"/>
              <w:right w:val="single" w:color="auto" w:sz="4" w:space="0"/>
            </w:tcBorders>
            <w:noWrap w:val="0"/>
            <w:vAlign w:val="center"/>
          </w:tcPr>
          <w:p w14:paraId="2FD6D02C">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w:t>
            </w:r>
          </w:p>
        </w:tc>
        <w:tc>
          <w:tcPr>
            <w:tcW w:w="1262" w:type="dxa"/>
            <w:tcBorders>
              <w:top w:val="single" w:color="auto" w:sz="4" w:space="0"/>
              <w:left w:val="single" w:color="auto" w:sz="4" w:space="0"/>
              <w:bottom w:val="single" w:color="auto" w:sz="4" w:space="0"/>
              <w:right w:val="single" w:color="auto" w:sz="4" w:space="0"/>
            </w:tcBorders>
            <w:noWrap w:val="0"/>
            <w:vAlign w:val="center"/>
          </w:tcPr>
          <w:p w14:paraId="6C8EF8D2">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对安装或使用不符合要求的雷电防护装置或产品的处罚</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100E4B7">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首次发现有本项规定的违法行为，未造成严重不良影响和危害后果的并及时安装了符合使用要求的防雷装置或者产品的。</w:t>
            </w:r>
          </w:p>
        </w:tc>
        <w:tc>
          <w:tcPr>
            <w:tcW w:w="9776" w:type="dxa"/>
            <w:tcBorders>
              <w:top w:val="single" w:color="auto" w:sz="4" w:space="0"/>
              <w:left w:val="single" w:color="auto" w:sz="4" w:space="0"/>
              <w:bottom w:val="single" w:color="auto" w:sz="4" w:space="0"/>
              <w:right w:val="single" w:color="auto" w:sz="4" w:space="0"/>
            </w:tcBorders>
            <w:noWrap w:val="0"/>
            <w:vAlign w:val="center"/>
          </w:tcPr>
          <w:p w14:paraId="0B6F8DAD">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中华人民共和国气象法》第三十七条：“违反本法规定，安装不符合使用要求的雷电灾害防护装置的，由有关气象主管机构责令改正，给予警告。使用不符合使用要求的雷电灾害防护装置给他人造成损失的，依法承担赔偿责任的。”</w:t>
            </w:r>
          </w:p>
          <w:p w14:paraId="1E412443">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2.《防雷减灾管理办法》（中国气象局令第24号）第三十五条：“违反本办法规定，有下列行为之一的，由县级以上气象主管机构按照权限责令改正，给予警告，可以处1万元以上3万元以下罚款；给他人造成损失的，依法承担赔偿责任；构成犯罪的，依法追究刑事责任：</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二</w:t>
            </w:r>
            <w:r>
              <w:rPr>
                <w:rFonts w:hint="eastAsia" w:ascii="宋体" w:hAnsi="宋体" w:cs="宋体"/>
                <w:spacing w:val="-11"/>
                <w:kern w:val="0"/>
                <w:sz w:val="21"/>
                <w:szCs w:val="21"/>
                <w:lang w:val="en-US" w:eastAsia="zh-CN" w:bidi="ar"/>
              </w:rPr>
              <w:t>）</w:t>
            </w:r>
            <w:r>
              <w:rPr>
                <w:rFonts w:hint="eastAsia" w:ascii="宋体" w:hAnsi="宋体" w:eastAsia="宋体" w:cs="宋体"/>
                <w:spacing w:val="-11"/>
                <w:kern w:val="0"/>
                <w:sz w:val="21"/>
                <w:szCs w:val="21"/>
                <w:lang w:val="en-US" w:eastAsia="zh-CN" w:bidi="ar"/>
              </w:rPr>
              <w:t>使用不符合使用要求的防雷装置或者产品的；”</w:t>
            </w:r>
          </w:p>
        </w:tc>
      </w:tr>
    </w:tbl>
    <w:p w14:paraId="3678E639">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p>
    <w:p w14:paraId="3391E0C8">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p>
    <w:p w14:paraId="50610515">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医疗</w:t>
      </w:r>
      <w:r>
        <w:rPr>
          <w:rFonts w:hint="eastAsia" w:ascii="黑体" w:hAnsi="黑体" w:eastAsia="黑体" w:cs="黑体"/>
          <w:spacing w:val="-11"/>
          <w:kern w:val="0"/>
          <w:sz w:val="32"/>
          <w:szCs w:val="32"/>
          <w:highlight w:val="none"/>
          <w:lang w:bidi="ar"/>
        </w:rPr>
        <w:t>领域轻微违法行为不予处罚清单</w:t>
      </w:r>
    </w:p>
    <w:tbl>
      <w:tblPr>
        <w:tblStyle w:val="9"/>
        <w:tblW w:w="142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5277"/>
        <w:gridCol w:w="4369"/>
        <w:gridCol w:w="3524"/>
      </w:tblGrid>
      <w:tr w14:paraId="230D4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092" w:type="dxa"/>
            <w:noWrap w:val="0"/>
            <w:vAlign w:val="center"/>
          </w:tcPr>
          <w:p w14:paraId="2F052B6E">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序号</w:t>
            </w:r>
          </w:p>
        </w:tc>
        <w:tc>
          <w:tcPr>
            <w:tcW w:w="5277" w:type="dxa"/>
            <w:noWrap w:val="0"/>
            <w:vAlign w:val="center"/>
          </w:tcPr>
          <w:p w14:paraId="77E03200">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违法行为</w:t>
            </w:r>
          </w:p>
        </w:tc>
        <w:tc>
          <w:tcPr>
            <w:tcW w:w="4369" w:type="dxa"/>
            <w:noWrap w:val="0"/>
            <w:vAlign w:val="center"/>
          </w:tcPr>
          <w:p w14:paraId="211F6844">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不予处罚条件</w:t>
            </w:r>
          </w:p>
        </w:tc>
        <w:tc>
          <w:tcPr>
            <w:tcW w:w="3524" w:type="dxa"/>
            <w:noWrap w:val="0"/>
            <w:vAlign w:val="center"/>
          </w:tcPr>
          <w:p w14:paraId="583B7183">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法律依据</w:t>
            </w:r>
          </w:p>
        </w:tc>
      </w:tr>
      <w:tr w14:paraId="6D225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1092" w:type="dxa"/>
            <w:noWrap w:val="0"/>
            <w:vAlign w:val="center"/>
          </w:tcPr>
          <w:p w14:paraId="395B5B90">
            <w:pPr>
              <w:keepNext w:val="0"/>
              <w:keepLines w:val="0"/>
              <w:widowControl/>
              <w:suppressLineNumbers w:val="0"/>
              <w:jc w:val="left"/>
              <w:textAlignment w:val="center"/>
              <w:rPr>
                <w:rFonts w:hint="eastAsia" w:ascii="宋体" w:hAnsi="宋体" w:eastAsia="宋体" w:cs="宋体"/>
                <w:spacing w:val="-11"/>
                <w:kern w:val="0"/>
                <w:sz w:val="21"/>
                <w:szCs w:val="21"/>
                <w:lang w:val="en-US" w:eastAsia="zh-CN" w:bidi="ar"/>
              </w:rPr>
            </w:pPr>
            <w:r>
              <w:rPr>
                <w:rFonts w:hint="eastAsia" w:ascii="宋体" w:hAnsi="宋体" w:eastAsia="宋体" w:cs="宋体"/>
                <w:spacing w:val="-11"/>
                <w:kern w:val="0"/>
                <w:sz w:val="21"/>
                <w:szCs w:val="21"/>
                <w:lang w:val="en-US" w:eastAsia="zh-CN" w:bidi="ar"/>
              </w:rPr>
              <w:t>1</w:t>
            </w:r>
          </w:p>
        </w:tc>
        <w:tc>
          <w:tcPr>
            <w:tcW w:w="5277" w:type="dxa"/>
            <w:noWrap w:val="0"/>
            <w:vAlign w:val="center"/>
          </w:tcPr>
          <w:p w14:paraId="0F0E9BF0">
            <w:pPr>
              <w:keepNext w:val="0"/>
              <w:keepLines w:val="0"/>
              <w:widowControl/>
              <w:numPr>
                <w:ilvl w:val="0"/>
                <w:numId w:val="3"/>
              </w:numPr>
              <w:suppressLineNumbers w:val="0"/>
              <w:jc w:val="left"/>
              <w:textAlignment w:val="center"/>
              <w:rPr>
                <w:rFonts w:hint="eastAsia"/>
                <w:lang w:val="en-US" w:eastAsia="zh-CN"/>
              </w:rPr>
            </w:pPr>
            <w:r>
              <w:rPr>
                <w:rFonts w:hint="eastAsia"/>
                <w:lang w:val="en-US" w:eastAsia="zh-CN"/>
              </w:rPr>
              <w:t>分解住院、挂床住院</w:t>
            </w:r>
          </w:p>
          <w:p w14:paraId="25DFADC1">
            <w:pPr>
              <w:keepNext w:val="0"/>
              <w:keepLines w:val="0"/>
              <w:widowControl/>
              <w:numPr>
                <w:ilvl w:val="0"/>
                <w:numId w:val="3"/>
              </w:numPr>
              <w:suppressLineNumbers w:val="0"/>
              <w:jc w:val="left"/>
              <w:textAlignment w:val="center"/>
              <w:rPr>
                <w:rFonts w:hint="eastAsia"/>
                <w:lang w:val="en-US" w:eastAsia="zh-CN"/>
              </w:rPr>
            </w:pPr>
            <w:r>
              <w:rPr>
                <w:rFonts w:hint="eastAsia"/>
                <w:lang w:val="en-US" w:eastAsia="zh-CN"/>
              </w:rPr>
              <w:t>违反诊疗规范过度诊疗、过度检查、分解处方、超量开药、重复开药或者提供其他不必要的医药服务；</w:t>
            </w:r>
          </w:p>
          <w:p w14:paraId="316C4E3C">
            <w:pPr>
              <w:keepNext w:val="0"/>
              <w:keepLines w:val="0"/>
              <w:widowControl/>
              <w:numPr>
                <w:ilvl w:val="0"/>
                <w:numId w:val="3"/>
              </w:numPr>
              <w:suppressLineNumbers w:val="0"/>
              <w:jc w:val="left"/>
              <w:textAlignment w:val="center"/>
              <w:rPr>
                <w:rFonts w:hint="eastAsia"/>
                <w:lang w:val="en-US" w:eastAsia="zh-CN"/>
              </w:rPr>
            </w:pPr>
            <w:r>
              <w:rPr>
                <w:rFonts w:hint="eastAsia"/>
                <w:lang w:val="en-US" w:eastAsia="zh-CN"/>
              </w:rPr>
              <w:t>重复收费、超标准收费、分解项目收费；</w:t>
            </w:r>
          </w:p>
          <w:p w14:paraId="6EA56D71">
            <w:pPr>
              <w:keepNext w:val="0"/>
              <w:keepLines w:val="0"/>
              <w:widowControl/>
              <w:numPr>
                <w:ilvl w:val="0"/>
                <w:numId w:val="3"/>
              </w:numPr>
              <w:suppressLineNumbers w:val="0"/>
              <w:jc w:val="left"/>
              <w:textAlignment w:val="center"/>
              <w:rPr>
                <w:rFonts w:hint="eastAsia"/>
                <w:lang w:val="en-US" w:eastAsia="zh-CN"/>
              </w:rPr>
            </w:pPr>
            <w:r>
              <w:rPr>
                <w:rFonts w:hint="eastAsia"/>
                <w:lang w:val="en-US" w:eastAsia="zh-CN"/>
              </w:rPr>
              <w:t>串换药品、医用耗材、诊疗项目和服务设施；</w:t>
            </w:r>
          </w:p>
          <w:p w14:paraId="07BA3EA7">
            <w:pPr>
              <w:pStyle w:val="3"/>
              <w:numPr>
                <w:ilvl w:val="0"/>
                <w:numId w:val="3"/>
              </w:numPr>
              <w:ind w:left="0" w:leftChars="0" w:firstLine="0" w:firstLineChars="0"/>
              <w:rPr>
                <w:rFonts w:hint="eastAsia" w:ascii="Times New Roman" w:hAnsi="Times New Roman" w:eastAsia="宋体" w:cs="Times New Roman"/>
                <w:b w:val="0"/>
                <w:bCs w:val="0"/>
                <w:kern w:val="2"/>
                <w:sz w:val="21"/>
                <w:szCs w:val="24"/>
                <w:lang w:val="en-US" w:eastAsia="zh-CN" w:bidi="ar-SA"/>
              </w:rPr>
            </w:pPr>
            <w:r>
              <w:rPr>
                <w:rFonts w:hint="eastAsia" w:ascii="Times New Roman" w:hAnsi="Times New Roman" w:eastAsia="宋体" w:cs="Times New Roman"/>
                <w:b w:val="0"/>
                <w:bCs w:val="0"/>
                <w:kern w:val="2"/>
                <w:sz w:val="21"/>
                <w:szCs w:val="24"/>
                <w:lang w:val="en-US" w:eastAsia="zh-CN" w:bidi="ar-SA"/>
              </w:rPr>
              <w:t>为参保人员利用其享受医疗保险待遇的机会转卖药品，接收返还现金、实物或者获得其他非法利益提供便利；</w:t>
            </w:r>
          </w:p>
          <w:p w14:paraId="017AB88D">
            <w:pPr>
              <w:numPr>
                <w:ilvl w:val="0"/>
                <w:numId w:val="3"/>
              </w:numPr>
              <w:bidi w:val="0"/>
              <w:rPr>
                <w:rFonts w:hint="eastAsia"/>
                <w:lang w:val="en-US" w:eastAsia="zh-CN"/>
              </w:rPr>
            </w:pPr>
            <w:r>
              <w:rPr>
                <w:rFonts w:hint="eastAsia"/>
                <w:lang w:val="en-US" w:eastAsia="zh-CN"/>
              </w:rPr>
              <w:t>将不属于医保基金支付范围的医药费用纳入医保基金结算；</w:t>
            </w:r>
          </w:p>
          <w:p w14:paraId="0EE50410">
            <w:pPr>
              <w:pStyle w:val="3"/>
              <w:rPr>
                <w:rFonts w:hint="eastAsia"/>
                <w:lang w:val="en-US" w:eastAsia="zh-CN"/>
              </w:rPr>
            </w:pPr>
            <w:r>
              <w:rPr>
                <w:rFonts w:hint="eastAsia" w:ascii="Times New Roman" w:hAnsi="Times New Roman" w:eastAsia="宋体" w:cs="Times New Roman"/>
                <w:b w:val="0"/>
                <w:bCs w:val="0"/>
                <w:kern w:val="2"/>
                <w:sz w:val="21"/>
                <w:szCs w:val="24"/>
                <w:lang w:val="en-US" w:eastAsia="zh-CN" w:bidi="ar-SA"/>
              </w:rPr>
              <w:t>（七）造成医保基金损失的其他违法行为</w:t>
            </w:r>
          </w:p>
        </w:tc>
        <w:tc>
          <w:tcPr>
            <w:tcW w:w="4369" w:type="dxa"/>
            <w:noWrap w:val="0"/>
            <w:vAlign w:val="center"/>
          </w:tcPr>
          <w:p w14:paraId="1A6B0F54">
            <w:pPr>
              <w:keepNext w:val="0"/>
              <w:keepLines w:val="0"/>
              <w:widowControl/>
              <w:suppressLineNumbers w:val="0"/>
              <w:jc w:val="left"/>
              <w:textAlignment w:val="center"/>
              <w:rPr>
                <w:rFonts w:hint="eastAsia" w:ascii="Times New Roman" w:hAnsi="Times New Roman" w:cs="Times New Roman"/>
                <w:lang w:val="en-US" w:eastAsia="zh-CN"/>
              </w:rPr>
            </w:pPr>
            <w:r>
              <w:rPr>
                <w:rFonts w:hint="eastAsia" w:ascii="Times New Roman" w:hAnsi="Times New Roman" w:cs="Times New Roman"/>
                <w:lang w:val="en-US" w:eastAsia="zh-CN"/>
              </w:rPr>
              <w:t>1.定点医药机构主动自查自纠发现违规医保基金在10万元以下并及时退回的，约谈有关负责人。</w:t>
            </w:r>
          </w:p>
          <w:p w14:paraId="36BDA66E">
            <w:pPr>
              <w:keepNext w:val="0"/>
              <w:keepLines w:val="0"/>
              <w:widowControl/>
              <w:suppressLineNumbers w:val="0"/>
              <w:jc w:val="left"/>
              <w:textAlignment w:val="center"/>
              <w:rPr>
                <w:rFonts w:hint="default" w:ascii="Times New Roman" w:hAnsi="Times New Roman" w:cs="Times New Roman"/>
                <w:lang w:val="en-US" w:eastAsia="zh-CN"/>
              </w:rPr>
            </w:pPr>
            <w:r>
              <w:rPr>
                <w:rFonts w:hint="eastAsia" w:ascii="Times New Roman" w:hAnsi="Times New Roman" w:cs="Times New Roman"/>
                <w:lang w:val="en-US" w:eastAsia="zh-CN"/>
              </w:rPr>
              <w:t>2.在行政检查中发现的违法行为，同时满足以下情形，约谈有关负责人：①首次出现；②属于个别人或个别部门行为；③造成医保基金损失在5000元以下；④未发现以骗取医保基金为目的；⑤及时退回。</w:t>
            </w:r>
          </w:p>
        </w:tc>
        <w:tc>
          <w:tcPr>
            <w:tcW w:w="3524" w:type="dxa"/>
            <w:noWrap w:val="0"/>
            <w:vAlign w:val="center"/>
          </w:tcPr>
          <w:p w14:paraId="3126D53F">
            <w:pPr>
              <w:keepNext w:val="0"/>
              <w:keepLines w:val="0"/>
              <w:widowControl/>
              <w:suppressLineNumbers w:val="0"/>
              <w:jc w:val="left"/>
              <w:textAlignment w:val="center"/>
              <w:rPr>
                <w:rFonts w:hint="eastAsia"/>
                <w:lang w:val="en-US" w:eastAsia="zh-CN"/>
              </w:rPr>
            </w:pPr>
            <w:r>
              <w:rPr>
                <w:rFonts w:hint="eastAsia"/>
                <w:lang w:val="en-US" w:eastAsia="zh-CN"/>
              </w:rPr>
              <w:t>1.《医疗保障基金使用监督管理条例》第三十八条；</w:t>
            </w:r>
          </w:p>
          <w:p w14:paraId="06345F71">
            <w:pPr>
              <w:pStyle w:val="3"/>
              <w:rPr>
                <w:rFonts w:hint="eastAsia" w:ascii="Times New Roman" w:hAnsi="Times New Roman" w:eastAsia="宋体" w:cs="Times New Roman"/>
                <w:b w:val="0"/>
                <w:bCs w:val="0"/>
                <w:kern w:val="2"/>
                <w:sz w:val="21"/>
                <w:szCs w:val="24"/>
                <w:lang w:val="en-US" w:eastAsia="zh-CN" w:bidi="ar-SA"/>
              </w:rPr>
            </w:pPr>
            <w:r>
              <w:rPr>
                <w:rFonts w:hint="eastAsia" w:ascii="Times New Roman" w:hAnsi="Times New Roman" w:eastAsia="宋体" w:cs="Times New Roman"/>
                <w:b w:val="0"/>
                <w:bCs w:val="0"/>
                <w:kern w:val="2"/>
                <w:sz w:val="21"/>
                <w:szCs w:val="24"/>
                <w:lang w:val="en-US" w:eastAsia="zh-CN" w:bidi="ar-SA"/>
              </w:rPr>
              <w:t>2.《江西省医疗保障基金监管行政处罚裁量权实施细则（试行）》第一章第二条裁量细则（一）；</w:t>
            </w:r>
          </w:p>
          <w:p w14:paraId="70EF28AD">
            <w:pPr>
              <w:rPr>
                <w:rFonts w:hint="default"/>
                <w:lang w:val="en-US" w:eastAsia="zh-CN"/>
              </w:rPr>
            </w:pPr>
            <w:r>
              <w:rPr>
                <w:rFonts w:hint="eastAsia" w:ascii="宋体" w:hAnsi="宋体" w:cs="宋体"/>
                <w:spacing w:val="-11"/>
                <w:kern w:val="0"/>
                <w:sz w:val="21"/>
                <w:szCs w:val="21"/>
                <w:lang w:val="en-US" w:eastAsia="zh-CN" w:bidi="ar"/>
              </w:rPr>
              <w:t>3.《中华人民共和国行政处罚法》第十三条第一款</w:t>
            </w:r>
          </w:p>
        </w:tc>
      </w:tr>
    </w:tbl>
    <w:p w14:paraId="7256D3F1">
      <w:pPr>
        <w:widowControl/>
        <w:numPr>
          <w:ilvl w:val="0"/>
          <w:numId w:val="0"/>
        </w:numPr>
        <w:jc w:val="both"/>
        <w:textAlignment w:val="center"/>
        <w:rPr>
          <w:rFonts w:hint="eastAsia" w:ascii="黑体" w:hAnsi="黑体" w:eastAsia="黑体" w:cs="黑体"/>
          <w:spacing w:val="-11"/>
          <w:kern w:val="0"/>
          <w:sz w:val="32"/>
          <w:szCs w:val="32"/>
          <w:highlight w:val="none"/>
          <w:lang w:bidi="ar"/>
        </w:rPr>
      </w:pPr>
    </w:p>
    <w:p w14:paraId="08AC90E3">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民政</w:t>
      </w:r>
      <w:r>
        <w:rPr>
          <w:rFonts w:hint="eastAsia" w:ascii="黑体" w:hAnsi="黑体" w:eastAsia="黑体" w:cs="黑体"/>
          <w:spacing w:val="-11"/>
          <w:kern w:val="0"/>
          <w:sz w:val="32"/>
          <w:szCs w:val="32"/>
          <w:highlight w:val="none"/>
          <w:lang w:bidi="ar"/>
        </w:rPr>
        <w:t>领域轻微违法行为不予处罚清单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3418"/>
        <w:gridCol w:w="2881"/>
        <w:gridCol w:w="6975"/>
      </w:tblGrid>
      <w:tr w14:paraId="096AF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noWrap w:val="0"/>
            <w:vAlign w:val="top"/>
          </w:tcPr>
          <w:p w14:paraId="1036738B">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序号</w:t>
            </w:r>
          </w:p>
        </w:tc>
        <w:tc>
          <w:tcPr>
            <w:tcW w:w="3418" w:type="dxa"/>
            <w:noWrap w:val="0"/>
            <w:vAlign w:val="top"/>
          </w:tcPr>
          <w:p w14:paraId="7739E1D5">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违法行为</w:t>
            </w:r>
          </w:p>
        </w:tc>
        <w:tc>
          <w:tcPr>
            <w:tcW w:w="2881" w:type="dxa"/>
            <w:noWrap w:val="0"/>
            <w:vAlign w:val="top"/>
          </w:tcPr>
          <w:p w14:paraId="6041C97F">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不予处罚条件</w:t>
            </w:r>
          </w:p>
        </w:tc>
        <w:tc>
          <w:tcPr>
            <w:tcW w:w="6975" w:type="dxa"/>
            <w:noWrap w:val="0"/>
            <w:vAlign w:val="top"/>
          </w:tcPr>
          <w:p w14:paraId="3CFEDC69">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法律依据</w:t>
            </w:r>
          </w:p>
        </w:tc>
      </w:tr>
      <w:tr w14:paraId="6C1A6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noWrap w:val="0"/>
            <w:vAlign w:val="center"/>
          </w:tcPr>
          <w:p w14:paraId="3E64A904">
            <w:pPr>
              <w:widowControl/>
              <w:spacing w:line="320" w:lineRule="exact"/>
              <w:textAlignment w:val="center"/>
              <w:rPr>
                <w:rFonts w:hint="eastAsia" w:ascii="宋体" w:hAnsi="宋体" w:eastAsia="宋体" w:cs="宋体"/>
                <w:spacing w:val="-11"/>
                <w:kern w:val="0"/>
                <w:szCs w:val="21"/>
                <w:lang w:val="en-US" w:eastAsia="zh-CN" w:bidi="ar"/>
              </w:rPr>
            </w:pPr>
            <w:r>
              <w:rPr>
                <w:rFonts w:hint="eastAsia" w:ascii="宋体" w:hAnsi="宋体" w:cs="宋体"/>
                <w:spacing w:val="-11"/>
                <w:kern w:val="0"/>
                <w:szCs w:val="21"/>
                <w:lang w:val="en-US" w:eastAsia="zh-CN" w:bidi="ar"/>
              </w:rPr>
              <w:t>1</w:t>
            </w:r>
          </w:p>
        </w:tc>
        <w:tc>
          <w:tcPr>
            <w:tcW w:w="3418" w:type="dxa"/>
            <w:noWrap w:val="0"/>
            <w:vAlign w:val="top"/>
          </w:tcPr>
          <w:p w14:paraId="1ED9381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对违反民办非企业管理规定行为的处罚，拒不接受或者不</w:t>
            </w:r>
          </w:p>
          <w:p w14:paraId="2B04C54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按照规定接受监督检查</w:t>
            </w:r>
          </w:p>
        </w:tc>
        <w:tc>
          <w:tcPr>
            <w:tcW w:w="2881" w:type="dxa"/>
            <w:noWrap w:val="0"/>
            <w:vAlign w:val="top"/>
          </w:tcPr>
          <w:p w14:paraId="18643ED7">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一年不参加年度检查的，不予处罚。</w:t>
            </w:r>
          </w:p>
        </w:tc>
        <w:tc>
          <w:tcPr>
            <w:tcW w:w="6975" w:type="dxa"/>
            <w:noWrap w:val="0"/>
            <w:vAlign w:val="top"/>
          </w:tcPr>
          <w:p w14:paraId="6175BAB4">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“违法行为轻微并及时改正，没有造成危害后果的，不予行政处罚。初次违法且危害后果轻微并及时改正的，可以不予行政处罚。”《民办非企业单位登记管理暂行条例》第二十五条</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“民办非企业单位有下列情形之一的，由登记管理机关予以警告</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责令改正</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可以限期停止活动</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情节严重的</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予以撤销登记</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构成犯罪的</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依法追究刑事责任</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三</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拒不接受或者不按照规规定接受监督检查的”</w:t>
            </w:r>
          </w:p>
        </w:tc>
      </w:tr>
      <w:tr w14:paraId="7CD43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noWrap w:val="0"/>
            <w:vAlign w:val="center"/>
          </w:tcPr>
          <w:p w14:paraId="0CB0EF0E">
            <w:pPr>
              <w:widowControl/>
              <w:spacing w:line="320" w:lineRule="exact"/>
              <w:textAlignment w:val="center"/>
              <w:rPr>
                <w:rFonts w:hint="eastAsia" w:ascii="宋体" w:hAnsi="宋体" w:eastAsia="宋体" w:cs="宋体"/>
                <w:spacing w:val="-11"/>
                <w:kern w:val="0"/>
                <w:szCs w:val="21"/>
                <w:lang w:val="en-US" w:eastAsia="zh-CN" w:bidi="ar"/>
              </w:rPr>
            </w:pPr>
            <w:r>
              <w:rPr>
                <w:rFonts w:hint="eastAsia" w:ascii="宋体" w:hAnsi="宋体" w:cs="宋体"/>
                <w:spacing w:val="-11"/>
                <w:kern w:val="0"/>
                <w:szCs w:val="21"/>
                <w:lang w:val="en-US" w:eastAsia="zh-CN" w:bidi="ar"/>
              </w:rPr>
              <w:t>2</w:t>
            </w:r>
          </w:p>
        </w:tc>
        <w:tc>
          <w:tcPr>
            <w:tcW w:w="3418" w:type="dxa"/>
            <w:noWrap w:val="0"/>
            <w:vAlign w:val="top"/>
          </w:tcPr>
          <w:p w14:paraId="2900EEC2">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对违反社会团体管理规定行为的处罚，拒不接受或者不按</w:t>
            </w:r>
          </w:p>
          <w:p w14:paraId="672ACF1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照规定接受监督检查</w:t>
            </w:r>
          </w:p>
        </w:tc>
        <w:tc>
          <w:tcPr>
            <w:tcW w:w="2881" w:type="dxa"/>
            <w:noWrap w:val="0"/>
            <w:vAlign w:val="top"/>
          </w:tcPr>
          <w:p w14:paraId="75E59B25">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一年不参加年度检查的，不予处罚。</w:t>
            </w:r>
          </w:p>
        </w:tc>
        <w:tc>
          <w:tcPr>
            <w:tcW w:w="6975" w:type="dxa"/>
            <w:noWrap w:val="0"/>
            <w:vAlign w:val="top"/>
          </w:tcPr>
          <w:p w14:paraId="41799568">
            <w:pPr>
              <w:widowControl/>
              <w:spacing w:line="320" w:lineRule="exact"/>
              <w:textAlignment w:val="center"/>
              <w:rPr>
                <w:rFonts w:ascii="宋体" w:hAnsi="宋体" w:cs="宋体"/>
                <w:spacing w:val="-11"/>
                <w:kern w:val="0"/>
                <w:szCs w:val="21"/>
                <w:lang w:bidi="ar"/>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“违法行为轻微并及时改正，没有造成危害后果的，不予行政处罚。初次违法且危害后果轻微并及时改正的，可以不予行政处罚”。《社会团体登记管理条例》第三十条</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“社会团体有下列情形之一的，由登记管理机关予以警告，责令改正，可以限期停止活动</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情节严重的，予以撤销登记</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构成犯罪的</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依法追究刑事责任</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三</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拒不接受或者不按照规定接受</w:t>
            </w:r>
            <w:r>
              <w:rPr>
                <w:rFonts w:hint="eastAsia" w:ascii="宋体" w:hAnsi="宋体" w:cs="宋体"/>
                <w:spacing w:val="-11"/>
                <w:kern w:val="0"/>
                <w:szCs w:val="21"/>
                <w:lang w:eastAsia="zh-CN" w:bidi="ar"/>
              </w:rPr>
              <w:t>！</w:t>
            </w:r>
            <w:r>
              <w:rPr>
                <w:rFonts w:hint="eastAsia" w:ascii="宋体" w:hAnsi="宋体" w:cs="宋体"/>
                <w:spacing w:val="-11"/>
                <w:kern w:val="0"/>
                <w:szCs w:val="21"/>
                <w:lang w:bidi="ar"/>
              </w:rPr>
              <w:t>监督检查的”</w:t>
            </w:r>
          </w:p>
        </w:tc>
      </w:tr>
      <w:tr w14:paraId="37786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noWrap w:val="0"/>
            <w:vAlign w:val="center"/>
          </w:tcPr>
          <w:p w14:paraId="56D452B3">
            <w:pPr>
              <w:widowControl/>
              <w:spacing w:line="320" w:lineRule="exact"/>
              <w:textAlignment w:val="center"/>
              <w:rPr>
                <w:rFonts w:hint="default" w:ascii="宋体" w:hAnsi="宋体" w:cs="宋体"/>
                <w:spacing w:val="-11"/>
                <w:kern w:val="0"/>
                <w:szCs w:val="21"/>
                <w:lang w:val="en-US" w:eastAsia="zh-CN" w:bidi="ar"/>
              </w:rPr>
            </w:pPr>
            <w:r>
              <w:rPr>
                <w:rFonts w:hint="eastAsia" w:ascii="宋体" w:hAnsi="宋体" w:cs="宋体"/>
                <w:spacing w:val="-11"/>
                <w:kern w:val="0"/>
                <w:szCs w:val="21"/>
                <w:lang w:val="en-US" w:eastAsia="zh-CN" w:bidi="ar"/>
              </w:rPr>
              <w:t>3</w:t>
            </w:r>
          </w:p>
        </w:tc>
        <w:tc>
          <w:tcPr>
            <w:tcW w:w="3418" w:type="dxa"/>
            <w:noWrap w:val="0"/>
            <w:vAlign w:val="top"/>
          </w:tcPr>
          <w:p w14:paraId="08ED3AB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未对初入院老人开展入院评估的情况。</w:t>
            </w:r>
          </w:p>
        </w:tc>
        <w:tc>
          <w:tcPr>
            <w:tcW w:w="2881" w:type="dxa"/>
            <w:noWrap w:val="0"/>
            <w:vAlign w:val="top"/>
          </w:tcPr>
          <w:p w14:paraId="2F72876C">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属初次违法且危害后果轻微并及时改正的</w:t>
            </w:r>
          </w:p>
        </w:tc>
        <w:tc>
          <w:tcPr>
            <w:tcW w:w="6975" w:type="dxa"/>
            <w:noWrap w:val="0"/>
            <w:vAlign w:val="top"/>
          </w:tcPr>
          <w:p w14:paraId="17934730">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参照《养老机构管理办法》第十五条、第四十六条第一款有关规定的延伸理解。</w:t>
            </w:r>
          </w:p>
        </w:tc>
      </w:tr>
      <w:tr w14:paraId="7B129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noWrap w:val="0"/>
            <w:vAlign w:val="center"/>
          </w:tcPr>
          <w:p w14:paraId="051D2E4B">
            <w:pPr>
              <w:widowControl/>
              <w:spacing w:line="320" w:lineRule="exact"/>
              <w:textAlignment w:val="center"/>
              <w:rPr>
                <w:rFonts w:hint="default" w:ascii="宋体" w:hAnsi="宋体" w:cs="宋体"/>
                <w:spacing w:val="-11"/>
                <w:kern w:val="0"/>
                <w:szCs w:val="21"/>
                <w:lang w:val="en-US" w:eastAsia="zh-CN" w:bidi="ar"/>
              </w:rPr>
            </w:pPr>
            <w:r>
              <w:rPr>
                <w:rFonts w:hint="eastAsia" w:ascii="宋体" w:hAnsi="宋体" w:cs="宋体"/>
                <w:spacing w:val="-11"/>
                <w:kern w:val="0"/>
                <w:szCs w:val="21"/>
                <w:lang w:val="en-US" w:eastAsia="zh-CN" w:bidi="ar"/>
              </w:rPr>
              <w:t>4</w:t>
            </w:r>
          </w:p>
        </w:tc>
        <w:tc>
          <w:tcPr>
            <w:tcW w:w="3418" w:type="dxa"/>
            <w:noWrap w:val="0"/>
            <w:vAlign w:val="top"/>
          </w:tcPr>
          <w:p w14:paraId="52A935D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对违反殡葬管理规定行为的处罚，墓穴占地面积超过标准</w:t>
            </w:r>
          </w:p>
        </w:tc>
        <w:tc>
          <w:tcPr>
            <w:tcW w:w="2881" w:type="dxa"/>
            <w:noWrap w:val="0"/>
            <w:vAlign w:val="top"/>
          </w:tcPr>
          <w:p w14:paraId="09F11F38">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已自行改正或在民政部门规定的期限内整改到位，不予处罚。</w:t>
            </w:r>
          </w:p>
        </w:tc>
        <w:tc>
          <w:tcPr>
            <w:tcW w:w="6975" w:type="dxa"/>
            <w:noWrap w:val="0"/>
            <w:vAlign w:val="top"/>
          </w:tcPr>
          <w:p w14:paraId="66D364F9">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eastAsia="zh-CN" w:bidi="ar"/>
              </w:rPr>
              <w:t>《中华人民共和国行政处罚法》</w:t>
            </w:r>
            <w:r>
              <w:rPr>
                <w:rFonts w:hint="eastAsia" w:ascii="宋体" w:hAnsi="宋体" w:cs="宋体"/>
                <w:spacing w:val="-11"/>
                <w:kern w:val="0"/>
                <w:szCs w:val="21"/>
                <w:lang w:bidi="ar"/>
              </w:rPr>
              <w:t>第三十三条第一款：“违法行为轻微并及时改正，没有造成危害后果的，不予行政处罚。初次违法且危害后果轻微并及时改正的，可以不予行政处罚。”《国务院殡葬管理条例》（国务院令第225号）第十九条：墓穴占地面积超过省、自治区、直辖市人民政府规定的标准的，由民政部门责令限期改正，没收违法所得，可以并处违法所得1倍以上3倍以下的罚款。</w:t>
            </w:r>
          </w:p>
        </w:tc>
      </w:tr>
      <w:tr w14:paraId="2C0F5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 w:type="dxa"/>
            <w:noWrap w:val="0"/>
            <w:vAlign w:val="center"/>
          </w:tcPr>
          <w:p w14:paraId="479F082C">
            <w:pPr>
              <w:widowControl/>
              <w:spacing w:line="320" w:lineRule="exact"/>
              <w:textAlignment w:val="center"/>
              <w:rPr>
                <w:rFonts w:hint="default" w:ascii="宋体" w:hAnsi="宋体" w:cs="宋体"/>
                <w:spacing w:val="-11"/>
                <w:kern w:val="0"/>
                <w:szCs w:val="21"/>
                <w:lang w:val="en-US" w:eastAsia="zh-CN" w:bidi="ar"/>
              </w:rPr>
            </w:pPr>
            <w:r>
              <w:rPr>
                <w:rFonts w:hint="eastAsia" w:ascii="宋体" w:hAnsi="宋体" w:cs="宋体"/>
                <w:spacing w:val="-11"/>
                <w:kern w:val="0"/>
                <w:szCs w:val="21"/>
                <w:lang w:val="en-US" w:eastAsia="zh-CN" w:bidi="ar"/>
              </w:rPr>
              <w:t>5</w:t>
            </w:r>
          </w:p>
        </w:tc>
        <w:tc>
          <w:tcPr>
            <w:tcW w:w="3418" w:type="dxa"/>
            <w:noWrap w:val="0"/>
            <w:vAlign w:val="top"/>
          </w:tcPr>
          <w:p w14:paraId="375DD49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对违反慈善活动管理规定行为的处罚，慈善组织不依法向捐赠人开具捐赠票据、不依法向志愿者出具志愿服务记录证明或者不及时主动向捐赠人反馈有关情况。</w:t>
            </w:r>
          </w:p>
        </w:tc>
        <w:tc>
          <w:tcPr>
            <w:tcW w:w="2881" w:type="dxa"/>
            <w:noWrap w:val="0"/>
            <w:vAlign w:val="top"/>
          </w:tcPr>
          <w:p w14:paraId="022F85C6">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违法行为轻微，未造成危害后果，由民政部门予以警告，在民政部门规定的期限内整改到位的，不</w:t>
            </w:r>
          </w:p>
          <w:p w14:paraId="446C9953">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予处罚</w:t>
            </w:r>
          </w:p>
        </w:tc>
        <w:tc>
          <w:tcPr>
            <w:tcW w:w="6975" w:type="dxa"/>
            <w:noWrap w:val="0"/>
            <w:vAlign w:val="top"/>
          </w:tcPr>
          <w:p w14:paraId="3572F62E">
            <w:pPr>
              <w:widowControl/>
              <w:spacing w:line="320" w:lineRule="exact"/>
              <w:textAlignment w:val="center"/>
              <w:rPr>
                <w:rFonts w:hint="eastAsia" w:ascii="宋体" w:hAnsi="宋体" w:cs="宋体"/>
                <w:spacing w:val="-11"/>
                <w:kern w:val="0"/>
                <w:szCs w:val="21"/>
                <w:lang w:bidi="ar"/>
              </w:rPr>
            </w:pPr>
            <w:r>
              <w:rPr>
                <w:rFonts w:hint="eastAsia" w:ascii="宋体" w:hAnsi="宋体" w:cs="宋体"/>
                <w:spacing w:val="-11"/>
                <w:kern w:val="0"/>
                <w:szCs w:val="21"/>
                <w:lang w:bidi="ar"/>
              </w:rPr>
              <w:t>《慈善法》第一百零二条慈善组织不依法向捐赠人开具捐赠票据、不依法向志愿者出具志愿服务记录证明或者不及时主动向捐赠人反馈有关情况的，由民政部门予以警告，责令限期改正：逾期不改正的，责令限期停止活动。</w:t>
            </w:r>
          </w:p>
        </w:tc>
      </w:tr>
    </w:tbl>
    <w:p w14:paraId="29A25C29">
      <w:pPr>
        <w:widowControl/>
        <w:numPr>
          <w:ilvl w:val="0"/>
          <w:numId w:val="0"/>
        </w:numPr>
        <w:textAlignment w:val="center"/>
        <w:rPr>
          <w:rFonts w:hint="eastAsia" w:ascii="黑体" w:hAnsi="黑体" w:eastAsia="黑体" w:cs="黑体"/>
          <w:spacing w:val="-11"/>
          <w:kern w:val="0"/>
          <w:sz w:val="32"/>
          <w:szCs w:val="32"/>
          <w:highlight w:val="none"/>
          <w:lang w:bidi="ar"/>
        </w:rPr>
      </w:pPr>
    </w:p>
    <w:p w14:paraId="728C51ED">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审计</w:t>
      </w:r>
      <w:r>
        <w:rPr>
          <w:rFonts w:hint="eastAsia" w:ascii="黑体" w:hAnsi="黑体" w:eastAsia="黑体" w:cs="黑体"/>
          <w:spacing w:val="-11"/>
          <w:kern w:val="0"/>
          <w:sz w:val="32"/>
          <w:szCs w:val="32"/>
          <w:highlight w:val="none"/>
          <w:lang w:bidi="ar"/>
        </w:rPr>
        <w:t>领域轻微违法行为不予处罚清单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1813"/>
        <w:gridCol w:w="2330"/>
        <w:gridCol w:w="9023"/>
      </w:tblGrid>
      <w:tr w14:paraId="724E7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826" w:type="dxa"/>
            <w:vAlign w:val="center"/>
          </w:tcPr>
          <w:p w14:paraId="29C1A614">
            <w:pPr>
              <w:bidi w:val="0"/>
              <w:jc w:val="center"/>
              <w:rPr>
                <w:rFonts w:hint="eastAsia"/>
                <w:b/>
                <w:bCs/>
                <w:lang w:eastAsia="zh-CN"/>
              </w:rPr>
            </w:pPr>
            <w:r>
              <w:rPr>
                <w:rFonts w:hint="eastAsia"/>
                <w:b/>
                <w:bCs/>
                <w:lang w:eastAsia="zh-CN"/>
              </w:rPr>
              <w:t>序号</w:t>
            </w:r>
          </w:p>
        </w:tc>
        <w:tc>
          <w:tcPr>
            <w:tcW w:w="1813" w:type="dxa"/>
            <w:vAlign w:val="center"/>
          </w:tcPr>
          <w:p w14:paraId="46B51D2F">
            <w:pPr>
              <w:bidi w:val="0"/>
              <w:jc w:val="center"/>
              <w:rPr>
                <w:rFonts w:hint="eastAsia" w:eastAsiaTheme="minorEastAsia"/>
                <w:b/>
                <w:bCs/>
                <w:lang w:val="en-US" w:eastAsia="zh-CN"/>
              </w:rPr>
            </w:pPr>
            <w:r>
              <w:rPr>
                <w:rFonts w:hint="eastAsia"/>
                <w:b/>
                <w:bCs/>
                <w:lang w:val="en-US" w:eastAsia="zh-CN"/>
              </w:rPr>
              <w:t>违法行为</w:t>
            </w:r>
          </w:p>
        </w:tc>
        <w:tc>
          <w:tcPr>
            <w:tcW w:w="2330" w:type="dxa"/>
            <w:vAlign w:val="center"/>
          </w:tcPr>
          <w:p w14:paraId="3BA54367">
            <w:pPr>
              <w:bidi w:val="0"/>
              <w:jc w:val="center"/>
              <w:rPr>
                <w:rFonts w:hint="eastAsia"/>
                <w:b/>
                <w:bCs/>
                <w:lang w:eastAsia="zh-CN"/>
              </w:rPr>
            </w:pPr>
            <w:r>
              <w:rPr>
                <w:rFonts w:hint="eastAsia"/>
                <w:b/>
                <w:bCs/>
                <w:lang w:eastAsia="zh-CN"/>
              </w:rPr>
              <w:t>不予处罚条件</w:t>
            </w:r>
          </w:p>
          <w:p w14:paraId="3F7011A0">
            <w:pPr>
              <w:bidi w:val="0"/>
              <w:jc w:val="center"/>
              <w:rPr>
                <w:rFonts w:hint="eastAsia"/>
                <w:b/>
                <w:bCs/>
                <w:lang w:eastAsia="zh-CN"/>
              </w:rPr>
            </w:pPr>
            <w:r>
              <w:rPr>
                <w:rFonts w:hint="eastAsia"/>
                <w:b/>
                <w:bCs/>
                <w:lang w:eastAsia="zh-CN"/>
              </w:rPr>
              <w:t>（同时满足）</w:t>
            </w:r>
          </w:p>
        </w:tc>
        <w:tc>
          <w:tcPr>
            <w:tcW w:w="9023" w:type="dxa"/>
            <w:vAlign w:val="center"/>
          </w:tcPr>
          <w:p w14:paraId="40BCDAED">
            <w:pPr>
              <w:bidi w:val="0"/>
              <w:jc w:val="center"/>
              <w:rPr>
                <w:rFonts w:hint="eastAsia"/>
                <w:b/>
                <w:bCs/>
                <w:lang w:eastAsia="zh-CN"/>
              </w:rPr>
            </w:pPr>
            <w:r>
              <w:rPr>
                <w:rFonts w:hint="eastAsia"/>
                <w:b/>
                <w:bCs/>
                <w:lang w:eastAsia="zh-CN"/>
              </w:rPr>
              <w:t>法律依据</w:t>
            </w:r>
          </w:p>
        </w:tc>
      </w:tr>
      <w:tr w14:paraId="28110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trPr>
        <w:tc>
          <w:tcPr>
            <w:tcW w:w="826" w:type="dxa"/>
            <w:vMerge w:val="restart"/>
            <w:vAlign w:val="center"/>
          </w:tcPr>
          <w:p w14:paraId="0A040A59">
            <w:pPr>
              <w:bidi w:val="0"/>
              <w:jc w:val="left"/>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1</w:t>
            </w:r>
          </w:p>
        </w:tc>
        <w:tc>
          <w:tcPr>
            <w:tcW w:w="1813" w:type="dxa"/>
            <w:vMerge w:val="restart"/>
            <w:vAlign w:val="center"/>
          </w:tcPr>
          <w:p w14:paraId="35EE9B0D">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对拒绝或者拖延提供与审计事项有关的资料的，或者提供的资料不真实、不完整的，或者拒绝、阻碍检查行为</w:t>
            </w:r>
          </w:p>
        </w:tc>
        <w:tc>
          <w:tcPr>
            <w:tcW w:w="2330" w:type="dxa"/>
            <w:vMerge w:val="restart"/>
            <w:vAlign w:val="center"/>
          </w:tcPr>
          <w:p w14:paraId="15C3C510">
            <w:pPr>
              <w:bidi w:val="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初次违法，经审计机关责令改正后能够立即改正，没有主观过错，未造成不良后果，没有影响审计工作正常开展。</w:t>
            </w:r>
          </w:p>
        </w:tc>
        <w:tc>
          <w:tcPr>
            <w:tcW w:w="9023" w:type="dxa"/>
            <w:vAlign w:val="center"/>
          </w:tcPr>
          <w:p w14:paraId="13962EA9">
            <w:pPr>
              <w:bidi w:val="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华人民共和国审计法实施条例》第四十七条“被审计单位违反审计法和本条例的规定，拒绝、拖延提供与审计事项有关的资料，或者提供的资料不真实、不完整，或者拒绝、阻碍检查的，由审计机关责令改正，可以通报批评，给予警告</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拒不改正的，对被审计单位可以处5万元以下的罚款，对直接负责的主管人员和其他直接责任人员，可以处2万元以下的罚款，审计机关认为应当给予处分的，向有关主管机关、单位提出给予处分的建议</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构成犯罪的，依法追究刑事责任。”</w:t>
            </w:r>
          </w:p>
        </w:tc>
      </w:tr>
      <w:tr w14:paraId="7029B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826" w:type="dxa"/>
            <w:vMerge w:val="continue"/>
            <w:vAlign w:val="center"/>
          </w:tcPr>
          <w:p w14:paraId="33FC921A">
            <w:pPr>
              <w:bidi w:val="0"/>
              <w:jc w:val="left"/>
              <w:rPr>
                <w:rFonts w:hint="eastAsia" w:ascii="仿宋" w:hAnsi="仿宋" w:eastAsia="仿宋" w:cs="仿宋"/>
                <w:sz w:val="18"/>
                <w:szCs w:val="18"/>
                <w:lang w:val="en-US" w:eastAsia="zh-CN"/>
              </w:rPr>
            </w:pPr>
          </w:p>
        </w:tc>
        <w:tc>
          <w:tcPr>
            <w:tcW w:w="1813" w:type="dxa"/>
            <w:vMerge w:val="continue"/>
            <w:vAlign w:val="center"/>
          </w:tcPr>
          <w:p w14:paraId="04C0137E">
            <w:pPr>
              <w:bidi w:val="0"/>
              <w:rPr>
                <w:rFonts w:hint="eastAsia" w:ascii="宋体" w:hAnsi="宋体" w:eastAsia="宋体" w:cs="宋体"/>
                <w:sz w:val="21"/>
                <w:szCs w:val="21"/>
                <w:lang w:val="en-US" w:eastAsia="zh-CN"/>
              </w:rPr>
            </w:pPr>
          </w:p>
        </w:tc>
        <w:tc>
          <w:tcPr>
            <w:tcW w:w="2330" w:type="dxa"/>
            <w:vMerge w:val="continue"/>
            <w:vAlign w:val="center"/>
          </w:tcPr>
          <w:p w14:paraId="35D05570">
            <w:pPr>
              <w:bidi w:val="0"/>
              <w:jc w:val="center"/>
              <w:rPr>
                <w:rFonts w:hint="eastAsia" w:ascii="宋体" w:hAnsi="宋体" w:eastAsia="宋体" w:cs="宋体"/>
                <w:sz w:val="21"/>
                <w:szCs w:val="21"/>
                <w:lang w:val="en-US" w:eastAsia="zh-CN"/>
              </w:rPr>
            </w:pPr>
          </w:p>
        </w:tc>
        <w:tc>
          <w:tcPr>
            <w:tcW w:w="9023" w:type="dxa"/>
            <w:vAlign w:val="center"/>
          </w:tcPr>
          <w:p w14:paraId="4FE297F5">
            <w:pPr>
              <w:bidi w:val="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华人民共和国行政处罚法》第三十三条“违法行为轻微并及时改正，没有造成危害后果的，不予行政处罚。初次违法且危害后果轻微并及时改正的，可以不予行政处罚。当事人有证据足以证明没有主观过错的，不予行政处罚。法律、行政法规另有规定的，从其规定。对当事人的违法行为依法不予行政处罚的，行政机关应当对当事人进行教育”。</w:t>
            </w:r>
          </w:p>
        </w:tc>
      </w:tr>
      <w:tr w14:paraId="2447B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5" w:hRule="atLeast"/>
        </w:trPr>
        <w:tc>
          <w:tcPr>
            <w:tcW w:w="826" w:type="dxa"/>
            <w:vMerge w:val="restart"/>
            <w:vAlign w:val="center"/>
          </w:tcPr>
          <w:p w14:paraId="034D3104">
            <w:pPr>
              <w:bidi w:val="0"/>
              <w:jc w:val="left"/>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2</w:t>
            </w:r>
          </w:p>
        </w:tc>
        <w:tc>
          <w:tcPr>
            <w:tcW w:w="1813" w:type="dxa"/>
            <w:vMerge w:val="restart"/>
            <w:vAlign w:val="center"/>
          </w:tcPr>
          <w:p w14:paraId="6AED2063">
            <w:pPr>
              <w:bidi w:val="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对违反国家规定的财务收支行为</w:t>
            </w:r>
          </w:p>
        </w:tc>
        <w:tc>
          <w:tcPr>
            <w:tcW w:w="2330" w:type="dxa"/>
            <w:vMerge w:val="restart"/>
            <w:vAlign w:val="center"/>
          </w:tcPr>
          <w:p w14:paraId="0C81EE0F">
            <w:pPr>
              <w:bidi w:val="0"/>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初次违法，没有违法所得，情节轻微，没有主观过错，未造成不良后果，审计期间能及时改正。</w:t>
            </w:r>
          </w:p>
        </w:tc>
        <w:tc>
          <w:tcPr>
            <w:tcW w:w="9023" w:type="dxa"/>
            <w:vAlign w:val="center"/>
          </w:tcPr>
          <w:p w14:paraId="78AD91AE">
            <w:pPr>
              <w:bidi w:val="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华人民共和国审计法实施条例》第四十九条“对被审计单位违反国家规定的财务收支行为，审计机关在法定职权范围内，区别情况采取审计法第四十五条规定的处理措施，可以通报批评，给予警告；有违法所得的，没收违法所得，并处违法所得1倍以上5倍以下的罚款；没有违法所得的，可以处5万元以下的罚款；对直接负责的主管人员和其他直接责任人员，可以处2万元以下的罚款，审计机关认为应当给予处分的，向有关主管机关、单位提出给予处分的建议；构成犯罪的，依法追究刑事责任。法律、行政法规对被审计单位违反国家规定的财务收支行为处理、处罚另有规定的，从其规定”。</w:t>
            </w:r>
          </w:p>
        </w:tc>
      </w:tr>
      <w:tr w14:paraId="2FEFB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trPr>
        <w:tc>
          <w:tcPr>
            <w:tcW w:w="826" w:type="dxa"/>
            <w:vMerge w:val="continue"/>
            <w:vAlign w:val="center"/>
          </w:tcPr>
          <w:p w14:paraId="0A721791">
            <w:pPr>
              <w:bidi w:val="0"/>
              <w:jc w:val="center"/>
              <w:rPr>
                <w:rFonts w:hint="eastAsia" w:ascii="仿宋" w:hAnsi="仿宋" w:eastAsia="仿宋" w:cs="仿宋"/>
                <w:sz w:val="18"/>
                <w:szCs w:val="18"/>
                <w:lang w:val="en-US" w:eastAsia="zh-CN"/>
              </w:rPr>
            </w:pPr>
          </w:p>
        </w:tc>
        <w:tc>
          <w:tcPr>
            <w:tcW w:w="1813" w:type="dxa"/>
            <w:vMerge w:val="continue"/>
            <w:vAlign w:val="center"/>
          </w:tcPr>
          <w:p w14:paraId="148FC94A">
            <w:pPr>
              <w:bidi w:val="0"/>
              <w:rPr>
                <w:rFonts w:hint="eastAsia" w:ascii="宋体" w:hAnsi="宋体" w:eastAsia="宋体" w:cs="宋体"/>
                <w:sz w:val="21"/>
                <w:szCs w:val="21"/>
                <w:lang w:val="en-US" w:eastAsia="zh-CN"/>
              </w:rPr>
            </w:pPr>
          </w:p>
        </w:tc>
        <w:tc>
          <w:tcPr>
            <w:tcW w:w="2330" w:type="dxa"/>
            <w:vMerge w:val="continue"/>
            <w:vAlign w:val="center"/>
          </w:tcPr>
          <w:p w14:paraId="0D554520">
            <w:pPr>
              <w:bidi w:val="0"/>
              <w:jc w:val="center"/>
              <w:rPr>
                <w:rFonts w:hint="eastAsia" w:ascii="宋体" w:hAnsi="宋体" w:eastAsia="宋体" w:cs="宋体"/>
                <w:sz w:val="21"/>
                <w:szCs w:val="21"/>
                <w:lang w:val="en-US" w:eastAsia="zh-CN"/>
              </w:rPr>
            </w:pPr>
          </w:p>
        </w:tc>
        <w:tc>
          <w:tcPr>
            <w:tcW w:w="9023" w:type="dxa"/>
            <w:vAlign w:val="center"/>
          </w:tcPr>
          <w:p w14:paraId="0251DF85">
            <w:pPr>
              <w:bidi w:val="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华人民共和国行政处罚法》第三十三条“违法行为轻微并及时改正，没有造成危害后果的，不予行政处罚。初次违法且危害后果轻微并及时改正的，可以不予行政处罚。当事人有证据足以证明没有主观过错的，不予行政处罚。法律、行政法规另有规定的，从其规定。对当事人的违法行为依法不予行政处罚的，行政机关应当对当事人进行教育”。</w:t>
            </w:r>
          </w:p>
        </w:tc>
      </w:tr>
    </w:tbl>
    <w:p w14:paraId="7FC71097">
      <w:pPr>
        <w:widowControl/>
        <w:numPr>
          <w:ilvl w:val="0"/>
          <w:numId w:val="0"/>
        </w:numPr>
        <w:textAlignment w:val="center"/>
        <w:rPr>
          <w:rFonts w:hint="eastAsia" w:ascii="黑体" w:hAnsi="黑体" w:eastAsia="黑体" w:cs="黑体"/>
          <w:spacing w:val="-11"/>
          <w:kern w:val="0"/>
          <w:sz w:val="32"/>
          <w:szCs w:val="32"/>
          <w:highlight w:val="none"/>
          <w:lang w:bidi="ar"/>
        </w:rPr>
      </w:pPr>
    </w:p>
    <w:p w14:paraId="2FFD46A2">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卫生健康</w:t>
      </w:r>
      <w:r>
        <w:rPr>
          <w:rFonts w:hint="eastAsia" w:ascii="黑体" w:hAnsi="黑体" w:eastAsia="黑体" w:cs="黑体"/>
          <w:spacing w:val="-11"/>
          <w:kern w:val="0"/>
          <w:sz w:val="32"/>
          <w:szCs w:val="32"/>
          <w:highlight w:val="none"/>
          <w:lang w:bidi="ar"/>
        </w:rPr>
        <w:t>领域轻微违法行为不予处罚清单</w:t>
      </w:r>
    </w:p>
    <w:tbl>
      <w:tblPr>
        <w:tblStyle w:val="9"/>
        <w:tblW w:w="1408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41"/>
        <w:gridCol w:w="1763"/>
        <w:gridCol w:w="2550"/>
        <w:gridCol w:w="8727"/>
      </w:tblGrid>
      <w:tr w14:paraId="04A9D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5"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A08D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3CCA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违法行为</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8360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不予处罚条件</w:t>
            </w: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DDCF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法律依据</w:t>
            </w:r>
          </w:p>
        </w:tc>
      </w:tr>
      <w:tr w14:paraId="3A726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0" w:hRule="atLeast"/>
        </w:trPr>
        <w:tc>
          <w:tcPr>
            <w:tcW w:w="10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D8F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310D15">
            <w:pPr>
              <w:keepNext w:val="0"/>
              <w:keepLines w:val="0"/>
              <w:widowControl/>
              <w:suppressLineNumbers w:val="0"/>
              <w:jc w:val="left"/>
              <w:textAlignment w:val="center"/>
              <w:rPr>
                <w:rFonts w:hint="eastAsia" w:ascii="宋体" w:hAnsi="宋体" w:eastAsia="宋体" w:cs="宋体"/>
                <w:i w:val="0"/>
                <w:iCs w:val="0"/>
                <w:color w:val="353535"/>
                <w:sz w:val="21"/>
                <w:szCs w:val="21"/>
                <w:u w:val="none"/>
              </w:rPr>
            </w:pPr>
            <w:r>
              <w:rPr>
                <w:rFonts w:hint="eastAsia" w:ascii="宋体" w:hAnsi="宋体" w:eastAsia="宋体" w:cs="宋体"/>
                <w:i w:val="0"/>
                <w:iCs w:val="0"/>
                <w:color w:val="353535"/>
                <w:kern w:val="0"/>
                <w:sz w:val="21"/>
                <w:szCs w:val="21"/>
                <w:u w:val="none"/>
                <w:lang w:val="en-US" w:eastAsia="zh-CN" w:bidi="ar"/>
              </w:rPr>
              <w:t>未按照规定公示公共场所卫生许可证、卫生检测结果和卫生信誉度等级的。</w:t>
            </w:r>
          </w:p>
        </w:tc>
        <w:tc>
          <w:tcPr>
            <w:tcW w:w="2550" w:type="dxa"/>
            <w:vMerge w:val="restart"/>
            <w:tcBorders>
              <w:top w:val="single" w:color="000000" w:sz="4" w:space="0"/>
              <w:left w:val="nil"/>
              <w:bottom w:val="single" w:color="000000" w:sz="4" w:space="0"/>
              <w:right w:val="nil"/>
            </w:tcBorders>
            <w:shd w:val="clear" w:color="auto" w:fill="auto"/>
            <w:noWrap/>
            <w:vAlign w:val="center"/>
          </w:tcPr>
          <w:p w14:paraId="032C4F41">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首次发现，立案查处前相关资料齐全，及时改正，且未造成危害后果。</w:t>
            </w:r>
          </w:p>
        </w:tc>
        <w:tc>
          <w:tcPr>
            <w:tcW w:w="8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952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《公共场所卫生管理条例实施细则》第三十七条第（八）项：　公共场所经营者有下列情形之一的，由县级以上地方人民政府卫生行政部门责令限期改正，给予警告，并可处以二千元以下罚款；逾期不改正，造成公共场所卫生质量不符合卫生标准和要求的，处以二千元以上二万元以下罚款；情节严重的，可以依法责令停业整顿，直至吊销卫生许可证：（八）未按照规定公示公共场所卫生许可证、卫生检测结果和卫生信誉度等级的；</w:t>
            </w:r>
          </w:p>
        </w:tc>
      </w:tr>
      <w:tr w14:paraId="2693B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79C8B">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5254C7">
            <w:pPr>
              <w:rPr>
                <w:rFonts w:hint="eastAsia" w:ascii="宋体" w:hAnsi="宋体" w:eastAsia="宋体" w:cs="宋体"/>
                <w:i w:val="0"/>
                <w:iCs w:val="0"/>
                <w:color w:val="353535"/>
                <w:sz w:val="21"/>
                <w:szCs w:val="21"/>
                <w:u w:val="none"/>
              </w:rPr>
            </w:pPr>
          </w:p>
        </w:tc>
        <w:tc>
          <w:tcPr>
            <w:tcW w:w="2550" w:type="dxa"/>
            <w:vMerge w:val="continue"/>
            <w:tcBorders>
              <w:top w:val="single" w:color="000000" w:sz="4" w:space="0"/>
              <w:left w:val="nil"/>
              <w:bottom w:val="single" w:color="000000" w:sz="4" w:space="0"/>
              <w:right w:val="nil"/>
            </w:tcBorders>
            <w:shd w:val="clear" w:color="auto" w:fill="auto"/>
            <w:noWrap/>
            <w:vAlign w:val="center"/>
          </w:tcPr>
          <w:p w14:paraId="2EA3813F">
            <w:pPr>
              <w:jc w:val="both"/>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7F56A">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r w14:paraId="576CD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0" w:hRule="atLeast"/>
        </w:trPr>
        <w:tc>
          <w:tcPr>
            <w:tcW w:w="1041" w:type="dxa"/>
            <w:vMerge w:val="restart"/>
            <w:tcBorders>
              <w:top w:val="single" w:color="000000" w:sz="4" w:space="0"/>
              <w:left w:val="single" w:color="000000" w:sz="4" w:space="0"/>
              <w:bottom w:val="single" w:color="000000" w:sz="4" w:space="0"/>
              <w:right w:val="nil"/>
            </w:tcBorders>
            <w:shd w:val="clear" w:color="auto" w:fill="auto"/>
            <w:noWrap/>
            <w:vAlign w:val="center"/>
          </w:tcPr>
          <w:p w14:paraId="63B9F8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E14706">
            <w:pPr>
              <w:keepNext w:val="0"/>
              <w:keepLines w:val="0"/>
              <w:widowControl/>
              <w:suppressLineNumbers w:val="0"/>
              <w:jc w:val="left"/>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拒绝对送诊的疑似精神障碍患者作出诊断的。</w:t>
            </w:r>
          </w:p>
        </w:tc>
        <w:tc>
          <w:tcPr>
            <w:tcW w:w="2550" w:type="dxa"/>
            <w:vMerge w:val="restart"/>
            <w:tcBorders>
              <w:top w:val="single" w:color="000000" w:sz="4" w:space="0"/>
              <w:left w:val="nil"/>
              <w:bottom w:val="single" w:color="000000" w:sz="4" w:space="0"/>
              <w:right w:val="single" w:color="000000" w:sz="4" w:space="0"/>
            </w:tcBorders>
            <w:shd w:val="clear" w:color="auto" w:fill="auto"/>
            <w:vAlign w:val="center"/>
          </w:tcPr>
          <w:p w14:paraId="2F89DDF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首次发现，情节轻微，发现后立即改正，未造成危害后果。</w:t>
            </w: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73215">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《中华人民共和国精神卫生法》第七十四条第（一）项：　医疗机构及其工作人员有下列行为之一的，由县级以上人民政府卫生行政部门责令改正，给予警告；情节严重的，对直接负责的主管人员和其他直接责任人员依法给予或者责令给予降低岗位等级或者撤职、开除的处分，并可以责令有关医务人员暂停一个月以上六个月以下执业活动：（一）拒绝对送诊的疑似精神障碍患者作出诊断的；</w:t>
            </w:r>
          </w:p>
        </w:tc>
      </w:tr>
      <w:tr w14:paraId="26E92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04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4299A8BF">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92D3B4">
            <w:pPr>
              <w:jc w:val="left"/>
              <w:rPr>
                <w:rFonts w:hint="eastAsia" w:ascii="宋体" w:hAnsi="宋体" w:eastAsia="宋体" w:cs="宋体"/>
                <w:i w:val="0"/>
                <w:iCs w:val="0"/>
                <w:color w:val="333333"/>
                <w:sz w:val="21"/>
                <w:szCs w:val="21"/>
                <w:u w:val="none"/>
              </w:rPr>
            </w:pPr>
          </w:p>
        </w:tc>
        <w:tc>
          <w:tcPr>
            <w:tcW w:w="2550" w:type="dxa"/>
            <w:vMerge w:val="continue"/>
            <w:tcBorders>
              <w:top w:val="single" w:color="000000" w:sz="4" w:space="0"/>
              <w:left w:val="nil"/>
              <w:bottom w:val="single" w:color="000000" w:sz="4" w:space="0"/>
              <w:right w:val="single" w:color="000000" w:sz="4" w:space="0"/>
            </w:tcBorders>
            <w:shd w:val="clear" w:color="auto" w:fill="auto"/>
            <w:vAlign w:val="center"/>
          </w:tcPr>
          <w:p w14:paraId="4FF6AA0D">
            <w:pPr>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F3F93">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r w14:paraId="3CA71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trPr>
        <w:tc>
          <w:tcPr>
            <w:tcW w:w="10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64C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DF1F00">
            <w:pPr>
              <w:keepNext w:val="0"/>
              <w:keepLines w:val="0"/>
              <w:widowControl/>
              <w:suppressLineNumbers w:val="0"/>
              <w:jc w:val="left"/>
              <w:textAlignment w:val="center"/>
              <w:rPr>
                <w:rFonts w:hint="eastAsia" w:ascii="宋体" w:hAnsi="宋体" w:eastAsia="宋体" w:cs="宋体"/>
                <w:i w:val="0"/>
                <w:iCs w:val="0"/>
                <w:color w:val="353535"/>
                <w:sz w:val="21"/>
                <w:szCs w:val="21"/>
                <w:u w:val="none"/>
              </w:rPr>
            </w:pPr>
            <w:r>
              <w:rPr>
                <w:rFonts w:hint="eastAsia" w:ascii="宋体" w:hAnsi="宋体" w:eastAsia="宋体" w:cs="宋体"/>
                <w:i w:val="0"/>
                <w:iCs w:val="0"/>
                <w:color w:val="353535"/>
                <w:kern w:val="0"/>
                <w:sz w:val="21"/>
                <w:szCs w:val="21"/>
                <w:u w:val="none"/>
                <w:lang w:val="en-US" w:eastAsia="zh-CN" w:bidi="ar"/>
              </w:rPr>
              <w:t>未建立医疗质量管理部门或者未指定专（兼）职人员负责医疗质量管理工作的。</w:t>
            </w:r>
          </w:p>
        </w:tc>
        <w:tc>
          <w:tcPr>
            <w:tcW w:w="2550" w:type="dxa"/>
            <w:vMerge w:val="restart"/>
            <w:tcBorders>
              <w:top w:val="single" w:color="000000" w:sz="4" w:space="0"/>
              <w:left w:val="nil"/>
              <w:bottom w:val="single" w:color="000000" w:sz="4" w:space="0"/>
              <w:right w:val="nil"/>
            </w:tcBorders>
            <w:shd w:val="clear" w:color="auto" w:fill="auto"/>
            <w:noWrap/>
            <w:vAlign w:val="center"/>
          </w:tcPr>
          <w:p w14:paraId="63102751">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首次发现，情节轻微并及时纠正，未造成危害后果。</w:t>
            </w:r>
          </w:p>
        </w:tc>
        <w:tc>
          <w:tcPr>
            <w:tcW w:w="8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9C2E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15"/>
                <w:rFonts w:hint="eastAsia" w:ascii="宋体" w:hAnsi="宋体" w:eastAsia="宋体" w:cs="宋体"/>
                <w:sz w:val="21"/>
                <w:szCs w:val="21"/>
                <w:lang w:val="en-US" w:eastAsia="zh-CN" w:bidi="ar"/>
              </w:rPr>
              <w:t>《医疗质量管理办法》第四十四条第（一）项</w:t>
            </w:r>
            <w:r>
              <w:rPr>
                <w:rStyle w:val="16"/>
                <w:rFonts w:hint="eastAsia" w:ascii="宋体" w:hAnsi="宋体" w:eastAsia="宋体" w:cs="宋体"/>
                <w:sz w:val="21"/>
                <w:szCs w:val="21"/>
                <w:lang w:val="en-US" w:eastAsia="zh-CN" w:bidi="ar"/>
              </w:rPr>
              <w:t xml:space="preserve"> </w:t>
            </w:r>
            <w:r>
              <w:rPr>
                <w:rStyle w:val="15"/>
                <w:rFonts w:hint="eastAsia" w:ascii="宋体" w:hAnsi="宋体" w:eastAsia="宋体" w:cs="宋体"/>
                <w:sz w:val="21"/>
                <w:szCs w:val="21"/>
                <w:lang w:val="en-US" w:eastAsia="zh-CN" w:bidi="ar"/>
              </w:rPr>
              <w:t>： 医疗机构有下列情形之一的，由县级以上卫生计生行政部门责令限期改正；逾期不改的，给予警告，并处三万元以下罚款；对公立医疗机构负有责任的主管人员和其他直接责任人员，依法给予处分：（一）未建立医疗质量管理部门或者未指定专（兼）职人员负责医疗质量管理工作的；</w:t>
            </w:r>
            <w:r>
              <w:rPr>
                <w:rStyle w:val="16"/>
                <w:rFonts w:hint="eastAsia" w:ascii="宋体" w:hAnsi="宋体" w:eastAsia="宋体" w:cs="宋体"/>
                <w:sz w:val="21"/>
                <w:szCs w:val="21"/>
                <w:lang w:val="en-US" w:eastAsia="zh-CN" w:bidi="ar"/>
              </w:rPr>
              <w:t xml:space="preserve"> </w:t>
            </w:r>
          </w:p>
        </w:tc>
      </w:tr>
      <w:tr w14:paraId="79FF1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AB153">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17857C">
            <w:pPr>
              <w:rPr>
                <w:rFonts w:hint="eastAsia" w:ascii="宋体" w:hAnsi="宋体" w:eastAsia="宋体" w:cs="宋体"/>
                <w:i w:val="0"/>
                <w:iCs w:val="0"/>
                <w:color w:val="353535"/>
                <w:sz w:val="21"/>
                <w:szCs w:val="21"/>
                <w:u w:val="none"/>
              </w:rPr>
            </w:pPr>
          </w:p>
        </w:tc>
        <w:tc>
          <w:tcPr>
            <w:tcW w:w="2550" w:type="dxa"/>
            <w:vMerge w:val="continue"/>
            <w:tcBorders>
              <w:top w:val="single" w:color="000000" w:sz="4" w:space="0"/>
              <w:left w:val="nil"/>
              <w:bottom w:val="single" w:color="000000" w:sz="4" w:space="0"/>
              <w:right w:val="nil"/>
            </w:tcBorders>
            <w:shd w:val="clear" w:color="auto" w:fill="auto"/>
            <w:noWrap/>
            <w:vAlign w:val="center"/>
          </w:tcPr>
          <w:p w14:paraId="7D3C5DC4">
            <w:pPr>
              <w:jc w:val="both"/>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E064A">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r w14:paraId="1A707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1041" w:type="dxa"/>
            <w:vMerge w:val="restart"/>
            <w:tcBorders>
              <w:top w:val="single" w:color="000000" w:sz="4" w:space="0"/>
              <w:left w:val="single" w:color="000000" w:sz="4" w:space="0"/>
              <w:bottom w:val="single" w:color="000000" w:sz="4" w:space="0"/>
              <w:right w:val="nil"/>
            </w:tcBorders>
            <w:shd w:val="clear" w:color="auto" w:fill="auto"/>
            <w:noWrap/>
            <w:vAlign w:val="center"/>
          </w:tcPr>
          <w:p w14:paraId="661246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249814">
            <w:pPr>
              <w:keepNext w:val="0"/>
              <w:keepLines w:val="0"/>
              <w:widowControl/>
              <w:suppressLineNumbers w:val="0"/>
              <w:jc w:val="left"/>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工作场所职业病危害因素检测、评价结果没有上报、公布的。</w:t>
            </w:r>
          </w:p>
        </w:tc>
        <w:tc>
          <w:tcPr>
            <w:tcW w:w="2550" w:type="dxa"/>
            <w:vMerge w:val="restart"/>
            <w:tcBorders>
              <w:top w:val="single" w:color="000000" w:sz="4" w:space="0"/>
              <w:left w:val="nil"/>
              <w:bottom w:val="single" w:color="000000" w:sz="4" w:space="0"/>
              <w:right w:val="single" w:color="000000" w:sz="4" w:space="0"/>
            </w:tcBorders>
            <w:shd w:val="clear" w:color="auto" w:fill="auto"/>
            <w:vAlign w:val="center"/>
          </w:tcPr>
          <w:p w14:paraId="17858D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首次发现，有工作场所职业病危害因素检测和评价结果，发现后立即改正，未造成危害后果。</w:t>
            </w: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0A11D">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《中华人民共和国职业病防治法》</w:t>
            </w:r>
            <w:r>
              <w:rPr>
                <w:rFonts w:hint="eastAsia" w:ascii="宋体" w:hAnsi="宋体" w:eastAsia="宋体" w:cs="宋体"/>
                <w:i w:val="0"/>
                <w:iCs w:val="0"/>
                <w:color w:val="000000"/>
                <w:kern w:val="0"/>
                <w:sz w:val="21"/>
                <w:szCs w:val="21"/>
                <w:u w:val="none"/>
                <w:lang w:val="en-US" w:eastAsia="zh-CN" w:bidi="ar"/>
              </w:rPr>
              <w:t>第七十条第（一）项：违反本法规定，有下列行为之一的，由卫生行政部门给予警告，责令限期改正；逾期不改正的，处十万元以下的罚款：（一）工作场所职业病危害因素检测、评价结果没有存档、上报、公布的；</w:t>
            </w:r>
          </w:p>
        </w:tc>
      </w:tr>
      <w:tr w14:paraId="48B5D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04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7A5F6ADF">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47E495">
            <w:pPr>
              <w:jc w:val="left"/>
              <w:rPr>
                <w:rFonts w:hint="eastAsia" w:ascii="宋体" w:hAnsi="宋体" w:eastAsia="宋体" w:cs="宋体"/>
                <w:i w:val="0"/>
                <w:iCs w:val="0"/>
                <w:color w:val="333333"/>
                <w:sz w:val="21"/>
                <w:szCs w:val="21"/>
                <w:u w:val="none"/>
              </w:rPr>
            </w:pPr>
          </w:p>
        </w:tc>
        <w:tc>
          <w:tcPr>
            <w:tcW w:w="2550" w:type="dxa"/>
            <w:vMerge w:val="continue"/>
            <w:tcBorders>
              <w:top w:val="single" w:color="000000" w:sz="4" w:space="0"/>
              <w:left w:val="nil"/>
              <w:bottom w:val="single" w:color="000000" w:sz="4" w:space="0"/>
              <w:right w:val="single" w:color="000000" w:sz="4" w:space="0"/>
            </w:tcBorders>
            <w:shd w:val="clear" w:color="auto" w:fill="auto"/>
            <w:vAlign w:val="center"/>
          </w:tcPr>
          <w:p w14:paraId="6B169242">
            <w:pPr>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8C1EA">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r w14:paraId="77A82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10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134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12C3C4">
            <w:pPr>
              <w:keepNext w:val="0"/>
              <w:keepLines w:val="0"/>
              <w:widowControl/>
              <w:suppressLineNumbers w:val="0"/>
              <w:jc w:val="left"/>
              <w:textAlignment w:val="center"/>
              <w:rPr>
                <w:rFonts w:hint="eastAsia" w:ascii="宋体" w:hAnsi="宋体" w:eastAsia="宋体" w:cs="宋体"/>
                <w:i w:val="0"/>
                <w:iCs w:val="0"/>
                <w:color w:val="353535"/>
                <w:sz w:val="21"/>
                <w:szCs w:val="21"/>
                <w:u w:val="none"/>
              </w:rPr>
            </w:pPr>
            <w:r>
              <w:rPr>
                <w:rFonts w:hint="eastAsia" w:ascii="宋体" w:hAnsi="宋体" w:eastAsia="宋体" w:cs="宋体"/>
                <w:i w:val="0"/>
                <w:iCs w:val="0"/>
                <w:color w:val="353535"/>
                <w:kern w:val="0"/>
                <w:sz w:val="21"/>
                <w:szCs w:val="21"/>
                <w:u w:val="none"/>
                <w:lang w:val="en-US" w:eastAsia="zh-CN" w:bidi="ar"/>
              </w:rPr>
              <w:t>未制定与医疗废物安全处置有关的规章制度和在发生意外事故时的应急方案；未设置监控部门或者专（兼）职人员，负责检查、督促、落实本单位医疗废物的管理工作</w:t>
            </w:r>
          </w:p>
        </w:tc>
        <w:tc>
          <w:tcPr>
            <w:tcW w:w="2550" w:type="dxa"/>
            <w:vMerge w:val="restart"/>
            <w:tcBorders>
              <w:top w:val="single" w:color="000000" w:sz="4" w:space="0"/>
              <w:left w:val="nil"/>
              <w:bottom w:val="single" w:color="000000" w:sz="4" w:space="0"/>
              <w:right w:val="nil"/>
            </w:tcBorders>
            <w:shd w:val="clear" w:color="auto" w:fill="auto"/>
            <w:noWrap/>
            <w:vAlign w:val="center"/>
          </w:tcPr>
          <w:p w14:paraId="2D04D99D">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首次发现情节轻微并及时纠正，未造成危害后果的</w:t>
            </w:r>
          </w:p>
        </w:tc>
        <w:tc>
          <w:tcPr>
            <w:tcW w:w="8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BFED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《医疗废物管理条例》第四十五条第（一）项　</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医疗卫生机构、医疗废物集中处置单位违反本条例规定，有下列情形之一的，由县级以上地方人民政府卫生行政主管部门或者环境保护行政主管部门按照各自的职责责令限期改正，给予警告</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逾期不改正的，处2000元以上5000元以下的罚款：</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一</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未建立、健全医疗废物管理制度，或者未设置监控部门或者专</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兼</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职人员的</w:t>
            </w:r>
            <w:r>
              <w:rPr>
                <w:rFonts w:hint="eastAsia" w:ascii="宋体" w:hAnsi="宋体" w:cs="宋体"/>
                <w:i w:val="0"/>
                <w:iCs w:val="0"/>
                <w:color w:val="000000"/>
                <w:kern w:val="0"/>
                <w:sz w:val="21"/>
                <w:szCs w:val="21"/>
                <w:u w:val="none"/>
                <w:lang w:val="en-US" w:eastAsia="zh-CN" w:bidi="ar"/>
              </w:rPr>
              <w:t>；</w:t>
            </w:r>
          </w:p>
        </w:tc>
      </w:tr>
      <w:tr w14:paraId="18A8D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1A38D">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8AF0D2">
            <w:pPr>
              <w:rPr>
                <w:rFonts w:hint="eastAsia" w:ascii="宋体" w:hAnsi="宋体" w:eastAsia="宋体" w:cs="宋体"/>
                <w:i w:val="0"/>
                <w:iCs w:val="0"/>
                <w:color w:val="353535"/>
                <w:sz w:val="21"/>
                <w:szCs w:val="21"/>
                <w:u w:val="none"/>
              </w:rPr>
            </w:pPr>
          </w:p>
        </w:tc>
        <w:tc>
          <w:tcPr>
            <w:tcW w:w="2550" w:type="dxa"/>
            <w:vMerge w:val="continue"/>
            <w:tcBorders>
              <w:top w:val="single" w:color="000000" w:sz="4" w:space="0"/>
              <w:left w:val="nil"/>
              <w:bottom w:val="single" w:color="000000" w:sz="4" w:space="0"/>
              <w:right w:val="nil"/>
            </w:tcBorders>
            <w:shd w:val="clear" w:color="auto" w:fill="auto"/>
            <w:noWrap/>
            <w:vAlign w:val="center"/>
          </w:tcPr>
          <w:p w14:paraId="7B7A5507">
            <w:pPr>
              <w:jc w:val="both"/>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2E8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《医疗卫生机构医疗废物管理办法》第三十九条第（一）项</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医疗卫生机构违反《医疗废物管理条例》及本办法规定，有下列情形之一的，由县级以上地方人民政府卫生行政主管部门责令限期改正、给予警告</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逾期不改正的，处以2000元以上5000以下的罚款：</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一</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未建立、健全医疗废物管理制度，或者未设置监控部门或者专</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兼</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职人员的</w:t>
            </w:r>
            <w:r>
              <w:rPr>
                <w:rFonts w:hint="eastAsia" w:ascii="宋体" w:hAnsi="宋体" w:cs="宋体"/>
                <w:i w:val="0"/>
                <w:iCs w:val="0"/>
                <w:color w:val="000000"/>
                <w:kern w:val="0"/>
                <w:sz w:val="21"/>
                <w:szCs w:val="21"/>
                <w:u w:val="none"/>
                <w:lang w:val="en-US" w:eastAsia="zh-CN" w:bidi="ar"/>
              </w:rPr>
              <w:t>；</w:t>
            </w:r>
          </w:p>
        </w:tc>
      </w:tr>
      <w:tr w14:paraId="51055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DE5E9">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F4B363">
            <w:pPr>
              <w:rPr>
                <w:rFonts w:hint="eastAsia" w:ascii="宋体" w:hAnsi="宋体" w:eastAsia="宋体" w:cs="宋体"/>
                <w:i w:val="0"/>
                <w:iCs w:val="0"/>
                <w:color w:val="353535"/>
                <w:sz w:val="21"/>
                <w:szCs w:val="21"/>
                <w:u w:val="none"/>
              </w:rPr>
            </w:pPr>
          </w:p>
        </w:tc>
        <w:tc>
          <w:tcPr>
            <w:tcW w:w="2550" w:type="dxa"/>
            <w:vMerge w:val="continue"/>
            <w:tcBorders>
              <w:top w:val="single" w:color="000000" w:sz="4" w:space="0"/>
              <w:left w:val="nil"/>
              <w:bottom w:val="single" w:color="000000" w:sz="4" w:space="0"/>
              <w:right w:val="nil"/>
            </w:tcBorders>
            <w:shd w:val="clear" w:color="auto" w:fill="auto"/>
            <w:noWrap/>
            <w:vAlign w:val="center"/>
          </w:tcPr>
          <w:p w14:paraId="52B58D48">
            <w:pPr>
              <w:jc w:val="both"/>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FCA58">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r w14:paraId="22F4A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0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CEC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5D9DD0">
            <w:pPr>
              <w:keepNext w:val="0"/>
              <w:keepLines w:val="0"/>
              <w:widowControl/>
              <w:suppressLineNumbers w:val="0"/>
              <w:jc w:val="left"/>
              <w:textAlignment w:val="center"/>
              <w:rPr>
                <w:rFonts w:hint="eastAsia" w:ascii="宋体" w:hAnsi="宋体" w:eastAsia="宋体" w:cs="宋体"/>
                <w:i w:val="0"/>
                <w:iCs w:val="0"/>
                <w:color w:val="353535"/>
                <w:sz w:val="21"/>
                <w:szCs w:val="21"/>
                <w:u w:val="none"/>
              </w:rPr>
            </w:pPr>
            <w:r>
              <w:rPr>
                <w:rFonts w:hint="eastAsia" w:ascii="宋体" w:hAnsi="宋体" w:eastAsia="宋体" w:cs="宋体"/>
                <w:i w:val="0"/>
                <w:iCs w:val="0"/>
                <w:color w:val="353535"/>
                <w:kern w:val="0"/>
                <w:sz w:val="21"/>
                <w:szCs w:val="21"/>
                <w:u w:val="none"/>
                <w:lang w:val="en-US" w:eastAsia="zh-CN" w:bidi="ar"/>
              </w:rPr>
              <w:t>学校体育场地和器材不符合卫生要求。</w:t>
            </w:r>
          </w:p>
        </w:tc>
        <w:tc>
          <w:tcPr>
            <w:tcW w:w="2550" w:type="dxa"/>
            <w:vMerge w:val="restart"/>
            <w:tcBorders>
              <w:top w:val="single" w:color="000000" w:sz="4" w:space="0"/>
              <w:left w:val="nil"/>
              <w:bottom w:val="single" w:color="000000" w:sz="4" w:space="0"/>
              <w:right w:val="nil"/>
            </w:tcBorders>
            <w:shd w:val="clear" w:color="auto" w:fill="auto"/>
            <w:noWrap/>
            <w:vAlign w:val="center"/>
          </w:tcPr>
          <w:p w14:paraId="4B5AA1CC">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首次发现，发现后立即改正，未造成危害后果。</w:t>
            </w:r>
          </w:p>
        </w:tc>
        <w:tc>
          <w:tcPr>
            <w:tcW w:w="8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4760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《学校卫生工作条例》第十条　学校体育场地和器材应当符合卫生和安全要求。运动项目和运动强度应当适合学生的生理承受能力和体质健康状况，防止发生伤害事故。</w:t>
            </w:r>
          </w:p>
        </w:tc>
      </w:tr>
      <w:tr w14:paraId="54609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194E6">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44D9C">
            <w:pPr>
              <w:rPr>
                <w:rFonts w:hint="eastAsia" w:ascii="宋体" w:hAnsi="宋体" w:eastAsia="宋体" w:cs="宋体"/>
                <w:i w:val="0"/>
                <w:iCs w:val="0"/>
                <w:color w:val="353535"/>
                <w:sz w:val="21"/>
                <w:szCs w:val="21"/>
                <w:u w:val="none"/>
              </w:rPr>
            </w:pPr>
          </w:p>
        </w:tc>
        <w:tc>
          <w:tcPr>
            <w:tcW w:w="2550" w:type="dxa"/>
            <w:vMerge w:val="continue"/>
            <w:tcBorders>
              <w:top w:val="single" w:color="000000" w:sz="4" w:space="0"/>
              <w:left w:val="nil"/>
              <w:bottom w:val="single" w:color="000000" w:sz="4" w:space="0"/>
              <w:right w:val="nil"/>
            </w:tcBorders>
            <w:shd w:val="clear" w:color="auto" w:fill="auto"/>
            <w:noWrap/>
            <w:vAlign w:val="center"/>
          </w:tcPr>
          <w:p w14:paraId="6C7FB66A">
            <w:pPr>
              <w:jc w:val="both"/>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9CA2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《学校卫生工作条例》　第三十三条　违反本条例第六条第一款、第七条和第十条规定的，由卫生行政部门对直接责任单位或者个人给予警告并责令限期改进。情节严重的，可以同时建议教育行政部门给予行政处分。</w:t>
            </w:r>
          </w:p>
        </w:tc>
      </w:tr>
      <w:tr w14:paraId="30394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52990">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6D0CA">
            <w:pPr>
              <w:rPr>
                <w:rFonts w:hint="eastAsia" w:ascii="宋体" w:hAnsi="宋体" w:eastAsia="宋体" w:cs="宋体"/>
                <w:i w:val="0"/>
                <w:iCs w:val="0"/>
                <w:color w:val="353535"/>
                <w:sz w:val="21"/>
                <w:szCs w:val="21"/>
                <w:u w:val="none"/>
              </w:rPr>
            </w:pPr>
          </w:p>
        </w:tc>
        <w:tc>
          <w:tcPr>
            <w:tcW w:w="2550" w:type="dxa"/>
            <w:vMerge w:val="continue"/>
            <w:tcBorders>
              <w:top w:val="single" w:color="000000" w:sz="4" w:space="0"/>
              <w:left w:val="nil"/>
              <w:bottom w:val="single" w:color="000000" w:sz="4" w:space="0"/>
              <w:right w:val="nil"/>
            </w:tcBorders>
            <w:shd w:val="clear" w:color="auto" w:fill="auto"/>
            <w:noWrap/>
            <w:vAlign w:val="center"/>
          </w:tcPr>
          <w:p w14:paraId="1D6C7B6B">
            <w:pPr>
              <w:jc w:val="both"/>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245D7">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r w14:paraId="7ECCB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0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709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B0D89A">
            <w:pPr>
              <w:keepNext w:val="0"/>
              <w:keepLines w:val="0"/>
              <w:widowControl/>
              <w:suppressLineNumbers w:val="0"/>
              <w:jc w:val="left"/>
              <w:textAlignment w:val="center"/>
              <w:rPr>
                <w:rFonts w:hint="eastAsia" w:ascii="宋体" w:hAnsi="宋体" w:eastAsia="宋体" w:cs="宋体"/>
                <w:i w:val="0"/>
                <w:iCs w:val="0"/>
                <w:color w:val="353535"/>
                <w:sz w:val="21"/>
                <w:szCs w:val="21"/>
                <w:u w:val="none"/>
              </w:rPr>
            </w:pPr>
            <w:r>
              <w:rPr>
                <w:rFonts w:hint="eastAsia" w:ascii="宋体" w:hAnsi="宋体" w:eastAsia="宋体" w:cs="宋体"/>
                <w:i w:val="0"/>
                <w:iCs w:val="0"/>
                <w:color w:val="353535"/>
                <w:kern w:val="0"/>
                <w:sz w:val="21"/>
                <w:szCs w:val="21"/>
                <w:u w:val="none"/>
                <w:lang w:val="en-US" w:eastAsia="zh-CN" w:bidi="ar"/>
              </w:rPr>
              <w:t>医疗卫生机构工作人员未接受消毒技术培训、掌握消毒知识的。</w:t>
            </w:r>
          </w:p>
        </w:tc>
        <w:tc>
          <w:tcPr>
            <w:tcW w:w="2550" w:type="dxa"/>
            <w:vMerge w:val="restart"/>
            <w:tcBorders>
              <w:top w:val="single" w:color="000000" w:sz="4" w:space="0"/>
              <w:left w:val="nil"/>
              <w:bottom w:val="single" w:color="000000" w:sz="4" w:space="0"/>
              <w:right w:val="nil"/>
            </w:tcBorders>
            <w:shd w:val="clear" w:color="auto" w:fill="auto"/>
            <w:noWrap/>
            <w:vAlign w:val="center"/>
          </w:tcPr>
          <w:p w14:paraId="0A88C4B5">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首次发现个别工作人员未接受消毒技术培训、掌握消毒知识，发现后立即改正，未造成危害后果的。</w:t>
            </w:r>
          </w:p>
        </w:tc>
        <w:tc>
          <w:tcPr>
            <w:tcW w:w="8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78B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《消毒管理办法》第五条　医疗卫生机构工作人员应当接受消毒技术培训、掌握消毒知识，并按规定严格执行消毒隔离制度。</w:t>
            </w:r>
          </w:p>
        </w:tc>
      </w:tr>
      <w:tr w14:paraId="03B3B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50218">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7B74BE">
            <w:pPr>
              <w:rPr>
                <w:rFonts w:hint="eastAsia" w:ascii="宋体" w:hAnsi="宋体" w:eastAsia="宋体" w:cs="宋体"/>
                <w:i w:val="0"/>
                <w:iCs w:val="0"/>
                <w:color w:val="353535"/>
                <w:sz w:val="21"/>
                <w:szCs w:val="21"/>
                <w:u w:val="none"/>
              </w:rPr>
            </w:pPr>
          </w:p>
        </w:tc>
        <w:tc>
          <w:tcPr>
            <w:tcW w:w="2550" w:type="dxa"/>
            <w:vMerge w:val="continue"/>
            <w:tcBorders>
              <w:top w:val="single" w:color="000000" w:sz="4" w:space="0"/>
              <w:left w:val="nil"/>
              <w:bottom w:val="single" w:color="000000" w:sz="4" w:space="0"/>
              <w:right w:val="nil"/>
            </w:tcBorders>
            <w:shd w:val="clear" w:color="auto" w:fill="auto"/>
            <w:noWrap/>
            <w:vAlign w:val="center"/>
          </w:tcPr>
          <w:p w14:paraId="5C4B7907">
            <w:pPr>
              <w:jc w:val="both"/>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C1B0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《消毒管理办法》第四十五条　医疗卫生机构违反本办法第四、五、六、七、八、九条规定的，由县级以上地方卫生行政部门责令限期改正，可以处5000元以下罚款；造成感染性疾病暴发的，可以处5000元以上20000元以下罚款。</w:t>
            </w:r>
          </w:p>
        </w:tc>
      </w:tr>
      <w:tr w14:paraId="13488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EFD5C">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9E8888">
            <w:pPr>
              <w:rPr>
                <w:rFonts w:hint="eastAsia" w:ascii="宋体" w:hAnsi="宋体" w:eastAsia="宋体" w:cs="宋体"/>
                <w:i w:val="0"/>
                <w:iCs w:val="0"/>
                <w:color w:val="353535"/>
                <w:sz w:val="21"/>
                <w:szCs w:val="21"/>
                <w:u w:val="none"/>
              </w:rPr>
            </w:pPr>
          </w:p>
        </w:tc>
        <w:tc>
          <w:tcPr>
            <w:tcW w:w="2550" w:type="dxa"/>
            <w:vMerge w:val="continue"/>
            <w:tcBorders>
              <w:top w:val="single" w:color="000000" w:sz="4" w:space="0"/>
              <w:left w:val="nil"/>
              <w:bottom w:val="single" w:color="000000" w:sz="4" w:space="0"/>
              <w:right w:val="nil"/>
            </w:tcBorders>
            <w:shd w:val="clear" w:color="auto" w:fill="auto"/>
            <w:noWrap/>
            <w:vAlign w:val="center"/>
          </w:tcPr>
          <w:p w14:paraId="4DC39EE7">
            <w:pPr>
              <w:jc w:val="both"/>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BC3A7">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r w14:paraId="45C6A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0" w:hRule="atLeast"/>
        </w:trPr>
        <w:tc>
          <w:tcPr>
            <w:tcW w:w="10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193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597B34">
            <w:pPr>
              <w:keepNext w:val="0"/>
              <w:keepLines w:val="0"/>
              <w:widowControl/>
              <w:suppressLineNumbers w:val="0"/>
              <w:jc w:val="left"/>
              <w:textAlignment w:val="center"/>
              <w:rPr>
                <w:rFonts w:hint="eastAsia" w:ascii="宋体" w:hAnsi="宋体" w:eastAsia="宋体" w:cs="宋体"/>
                <w:i w:val="0"/>
                <w:iCs w:val="0"/>
                <w:color w:val="353535"/>
                <w:sz w:val="21"/>
                <w:szCs w:val="21"/>
                <w:u w:val="none"/>
              </w:rPr>
            </w:pPr>
            <w:r>
              <w:rPr>
                <w:rFonts w:hint="eastAsia" w:ascii="宋体" w:hAnsi="宋体" w:eastAsia="宋体" w:cs="宋体"/>
                <w:i w:val="0"/>
                <w:iCs w:val="0"/>
                <w:color w:val="353535"/>
                <w:kern w:val="0"/>
                <w:sz w:val="21"/>
                <w:szCs w:val="21"/>
                <w:u w:val="none"/>
                <w:lang w:val="en-US" w:eastAsia="zh-CN" w:bidi="ar"/>
              </w:rPr>
              <w:t>接种单位未按照规定告知、询问受种者或者其监护人有关情况。</w:t>
            </w:r>
          </w:p>
        </w:tc>
        <w:tc>
          <w:tcPr>
            <w:tcW w:w="2550" w:type="dxa"/>
            <w:vMerge w:val="restart"/>
            <w:tcBorders>
              <w:top w:val="single" w:color="000000" w:sz="4" w:space="0"/>
              <w:left w:val="nil"/>
              <w:bottom w:val="single" w:color="000000" w:sz="4" w:space="0"/>
              <w:right w:val="nil"/>
            </w:tcBorders>
            <w:shd w:val="clear" w:color="auto" w:fill="auto"/>
            <w:noWrap/>
            <w:vAlign w:val="center"/>
          </w:tcPr>
          <w:p w14:paraId="3A62507C">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首次发现，发现后立即改正，未造成危害后果的。</w:t>
            </w:r>
          </w:p>
        </w:tc>
        <w:tc>
          <w:tcPr>
            <w:tcW w:w="8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AA05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《中华人民共和国疫苗管理法》第八十八条第（四）项：　违反本法规定，疾病预防控制机构、接种单位有下列情形之一的，由县级以上人民政府卫生健康主管部门责令改正，给予警告；情节严重的，对主要负责人、直接负责的主管人员和其他直接责任人员依法给予警告直至撤职处分，责令负有责任的医疗卫生人员暂停六个月以上一年以下执业活动；造成严重后果的，对主要负责人、直接负责的主管人员和其他直接责任人员依法给予开除处分，由原发证部门吊销负有责任的医疗卫生人员的执业证书：（四）未按照规定告知、询问受种者或者其监护人有关情况</w:t>
            </w:r>
          </w:p>
        </w:tc>
      </w:tr>
      <w:tr w14:paraId="175CD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8F86A">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8EDA6E">
            <w:pPr>
              <w:rPr>
                <w:rFonts w:hint="eastAsia" w:ascii="宋体" w:hAnsi="宋体" w:eastAsia="宋体" w:cs="宋体"/>
                <w:i w:val="0"/>
                <w:iCs w:val="0"/>
                <w:color w:val="353535"/>
                <w:sz w:val="21"/>
                <w:szCs w:val="21"/>
                <w:u w:val="none"/>
              </w:rPr>
            </w:pPr>
          </w:p>
        </w:tc>
        <w:tc>
          <w:tcPr>
            <w:tcW w:w="2550" w:type="dxa"/>
            <w:vMerge w:val="continue"/>
            <w:tcBorders>
              <w:top w:val="single" w:color="000000" w:sz="4" w:space="0"/>
              <w:left w:val="nil"/>
              <w:bottom w:val="single" w:color="000000" w:sz="4" w:space="0"/>
              <w:right w:val="nil"/>
            </w:tcBorders>
            <w:shd w:val="clear" w:color="auto" w:fill="auto"/>
            <w:noWrap/>
            <w:vAlign w:val="center"/>
          </w:tcPr>
          <w:p w14:paraId="20F57C41">
            <w:pPr>
              <w:jc w:val="both"/>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7EE5C">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r w14:paraId="6A1DA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10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8F5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5BD5E5">
            <w:pPr>
              <w:keepNext w:val="0"/>
              <w:keepLines w:val="0"/>
              <w:widowControl/>
              <w:suppressLineNumbers w:val="0"/>
              <w:jc w:val="left"/>
              <w:textAlignment w:val="center"/>
              <w:rPr>
                <w:rFonts w:hint="eastAsia" w:ascii="宋体" w:hAnsi="宋体" w:eastAsia="宋体" w:cs="宋体"/>
                <w:i w:val="0"/>
                <w:iCs w:val="0"/>
                <w:color w:val="353535"/>
                <w:sz w:val="21"/>
                <w:szCs w:val="21"/>
                <w:u w:val="none"/>
              </w:rPr>
            </w:pPr>
            <w:r>
              <w:rPr>
                <w:rFonts w:hint="eastAsia" w:ascii="宋体" w:hAnsi="宋体" w:eastAsia="宋体" w:cs="宋体"/>
                <w:i w:val="0"/>
                <w:iCs w:val="0"/>
                <w:color w:val="353535"/>
                <w:kern w:val="0"/>
                <w:sz w:val="21"/>
                <w:szCs w:val="21"/>
                <w:u w:val="none"/>
                <w:lang w:val="en-US" w:eastAsia="zh-CN" w:bidi="ar"/>
              </w:rPr>
              <w:t>存在职业病危害的用人单位应当制定职业病危害防治计划和实施方案，建立、健全职业卫生管理制度和操作规程。</w:t>
            </w:r>
          </w:p>
        </w:tc>
        <w:tc>
          <w:tcPr>
            <w:tcW w:w="2550" w:type="dxa"/>
            <w:vMerge w:val="restart"/>
            <w:tcBorders>
              <w:top w:val="single" w:color="000000" w:sz="4" w:space="0"/>
              <w:left w:val="nil"/>
              <w:bottom w:val="single" w:color="000000" w:sz="4" w:space="0"/>
              <w:right w:val="nil"/>
            </w:tcBorders>
            <w:shd w:val="clear" w:color="auto" w:fill="auto"/>
            <w:noWrap/>
            <w:vAlign w:val="center"/>
          </w:tcPr>
          <w:p w14:paraId="4E0B20FD">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首次发现并在立案调查前已自行改正，未产生危害后果。</w:t>
            </w:r>
          </w:p>
        </w:tc>
        <w:tc>
          <w:tcPr>
            <w:tcW w:w="8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8131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《工作场所职业卫生管理规定》第四十八条第（三项）:　用人单位有下列情形之一的，责令限期改正，给予警告；逾期未改正的，处十万元以下的罚款：（三）未按照规定建立、健全职业卫生管理制度和操作规程的；</w:t>
            </w:r>
          </w:p>
        </w:tc>
      </w:tr>
      <w:tr w14:paraId="040E8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C8D9C">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B9887">
            <w:pPr>
              <w:rPr>
                <w:rFonts w:hint="eastAsia" w:ascii="宋体" w:hAnsi="宋体" w:eastAsia="宋体" w:cs="宋体"/>
                <w:i w:val="0"/>
                <w:iCs w:val="0"/>
                <w:color w:val="353535"/>
                <w:sz w:val="21"/>
                <w:szCs w:val="21"/>
                <w:u w:val="none"/>
              </w:rPr>
            </w:pPr>
          </w:p>
        </w:tc>
        <w:tc>
          <w:tcPr>
            <w:tcW w:w="2550" w:type="dxa"/>
            <w:vMerge w:val="continue"/>
            <w:tcBorders>
              <w:top w:val="single" w:color="000000" w:sz="4" w:space="0"/>
              <w:left w:val="nil"/>
              <w:bottom w:val="single" w:color="000000" w:sz="4" w:space="0"/>
              <w:right w:val="nil"/>
            </w:tcBorders>
            <w:shd w:val="clear" w:color="auto" w:fill="auto"/>
            <w:noWrap/>
            <w:vAlign w:val="center"/>
          </w:tcPr>
          <w:p w14:paraId="26B5834E">
            <w:pPr>
              <w:jc w:val="both"/>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0DDD6">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r w14:paraId="1E5ED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1041" w:type="dxa"/>
            <w:vMerge w:val="restart"/>
            <w:tcBorders>
              <w:top w:val="single" w:color="000000" w:sz="4" w:space="0"/>
              <w:left w:val="single" w:color="000000" w:sz="4" w:space="0"/>
              <w:bottom w:val="single" w:color="000000" w:sz="4" w:space="0"/>
              <w:right w:val="nil"/>
            </w:tcBorders>
            <w:shd w:val="clear" w:color="auto" w:fill="auto"/>
            <w:noWrap/>
            <w:vAlign w:val="center"/>
          </w:tcPr>
          <w:p w14:paraId="3621C7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313A02">
            <w:pPr>
              <w:keepNext w:val="0"/>
              <w:keepLines w:val="0"/>
              <w:widowControl/>
              <w:suppressLineNumbers w:val="0"/>
              <w:jc w:val="left"/>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用人单位应当对劳动者进行上岗前的职业卫生培训和在岗期间的定期职业卫生培训，普及职业卫生知识，督促劳动者遵守职业病防治的法律、法规、规章、国家职业卫生标准和操作规程。用人单位应当对职业病危害严重的岗位的劳动者，进行专门的职业卫生培训，经培训合格后方可上岗作业。</w:t>
            </w:r>
          </w:p>
        </w:tc>
        <w:tc>
          <w:tcPr>
            <w:tcW w:w="2550" w:type="dxa"/>
            <w:vMerge w:val="restart"/>
            <w:tcBorders>
              <w:top w:val="single" w:color="000000" w:sz="4" w:space="0"/>
              <w:left w:val="nil"/>
              <w:bottom w:val="single" w:color="000000" w:sz="4" w:space="0"/>
              <w:right w:val="single" w:color="000000" w:sz="4" w:space="0"/>
            </w:tcBorders>
            <w:shd w:val="clear" w:color="auto" w:fill="auto"/>
            <w:vAlign w:val="center"/>
          </w:tcPr>
          <w:p w14:paraId="51E781D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首次发现对个别劳动者未进行上岗前的职业卫生培训和在岗期间的定期职业卫生培训，并在立案调查前已自行改正，未产生危害后果。</w:t>
            </w:r>
          </w:p>
        </w:tc>
        <w:tc>
          <w:tcPr>
            <w:tcW w:w="8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4525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《工作场所职业卫生管理规定》第四十八条第（七）项　用人单位有下列情形之一的，责令限期改正，给予警告；逾期未改正的，处十万元以下的罚款：（七）未按照规定组织劳动者进行职业卫生培训，或者未对劳动者个体防护采取有效的指导、督促措施的；</w:t>
            </w:r>
          </w:p>
        </w:tc>
      </w:tr>
      <w:tr w14:paraId="7655C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104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0A058340">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D97A3F">
            <w:pPr>
              <w:jc w:val="left"/>
              <w:rPr>
                <w:rFonts w:hint="eastAsia" w:ascii="宋体" w:hAnsi="宋体" w:eastAsia="宋体" w:cs="宋体"/>
                <w:i w:val="0"/>
                <w:iCs w:val="0"/>
                <w:color w:val="333333"/>
                <w:sz w:val="21"/>
                <w:szCs w:val="21"/>
                <w:u w:val="none"/>
              </w:rPr>
            </w:pPr>
          </w:p>
        </w:tc>
        <w:tc>
          <w:tcPr>
            <w:tcW w:w="2550" w:type="dxa"/>
            <w:vMerge w:val="continue"/>
            <w:tcBorders>
              <w:top w:val="single" w:color="000000" w:sz="4" w:space="0"/>
              <w:left w:val="nil"/>
              <w:bottom w:val="single" w:color="000000" w:sz="4" w:space="0"/>
              <w:right w:val="single" w:color="000000" w:sz="4" w:space="0"/>
            </w:tcBorders>
            <w:shd w:val="clear" w:color="auto" w:fill="auto"/>
            <w:vAlign w:val="center"/>
          </w:tcPr>
          <w:p w14:paraId="09C7B9D5">
            <w:pPr>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EDBB4">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r w14:paraId="21E20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041" w:type="dxa"/>
            <w:vMerge w:val="restart"/>
            <w:tcBorders>
              <w:top w:val="single" w:color="000000" w:sz="4" w:space="0"/>
              <w:left w:val="single" w:color="000000" w:sz="4" w:space="0"/>
              <w:bottom w:val="single" w:color="000000" w:sz="4" w:space="0"/>
              <w:right w:val="nil"/>
            </w:tcBorders>
            <w:shd w:val="clear" w:color="auto" w:fill="auto"/>
            <w:noWrap/>
            <w:vAlign w:val="center"/>
          </w:tcPr>
          <w:p w14:paraId="267598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0D3BB2">
            <w:pPr>
              <w:keepNext w:val="0"/>
              <w:keepLines w:val="0"/>
              <w:widowControl/>
              <w:suppressLineNumbers w:val="0"/>
              <w:jc w:val="left"/>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用未建立抗菌药物管理组织机构或者未指定专（兼）职技术人员负责具体管理工作的。</w:t>
            </w:r>
          </w:p>
        </w:tc>
        <w:tc>
          <w:tcPr>
            <w:tcW w:w="2550" w:type="dxa"/>
            <w:vMerge w:val="restart"/>
            <w:tcBorders>
              <w:top w:val="single" w:color="000000" w:sz="4" w:space="0"/>
              <w:left w:val="nil"/>
              <w:bottom w:val="single" w:color="000000" w:sz="4" w:space="0"/>
              <w:right w:val="single" w:color="000000" w:sz="4" w:space="0"/>
            </w:tcBorders>
            <w:shd w:val="clear" w:color="auto" w:fill="auto"/>
            <w:vAlign w:val="center"/>
          </w:tcPr>
          <w:p w14:paraId="6750839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首次发现，发现后立即改正，未造成危害后果的。</w:t>
            </w: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48179">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《抗菌药物临床应用管理办法》第四十九条第（一）项  医疗机构有下列情形之一的，由县级以上卫生行政部门责令限期改正；逾期不改的，进行通报批评，并给予警告；造成严重后果的，对负有责任的主管人员和其他直接责任人员，给予处分：（一）未建立抗菌药物管理组织机构或者未指定专（兼）职技术人员负责具体管理工作的；</w:t>
            </w:r>
          </w:p>
        </w:tc>
      </w:tr>
      <w:tr w14:paraId="0A5FF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04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0FFF6A87">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8F3FD6">
            <w:pPr>
              <w:jc w:val="left"/>
              <w:rPr>
                <w:rFonts w:hint="eastAsia" w:ascii="宋体" w:hAnsi="宋体" w:eastAsia="宋体" w:cs="宋体"/>
                <w:i w:val="0"/>
                <w:iCs w:val="0"/>
                <w:color w:val="333333"/>
                <w:sz w:val="21"/>
                <w:szCs w:val="21"/>
                <w:u w:val="none"/>
              </w:rPr>
            </w:pPr>
          </w:p>
        </w:tc>
        <w:tc>
          <w:tcPr>
            <w:tcW w:w="2550" w:type="dxa"/>
            <w:vMerge w:val="continue"/>
            <w:tcBorders>
              <w:top w:val="single" w:color="000000" w:sz="4" w:space="0"/>
              <w:left w:val="nil"/>
              <w:bottom w:val="single" w:color="000000" w:sz="4" w:space="0"/>
              <w:right w:val="single" w:color="000000" w:sz="4" w:space="0"/>
            </w:tcBorders>
            <w:shd w:val="clear" w:color="auto" w:fill="auto"/>
            <w:vAlign w:val="center"/>
          </w:tcPr>
          <w:p w14:paraId="3B63BD26">
            <w:pPr>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4AC0F">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r w14:paraId="52911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1041" w:type="dxa"/>
            <w:vMerge w:val="restart"/>
            <w:tcBorders>
              <w:top w:val="single" w:color="000000" w:sz="4" w:space="0"/>
              <w:left w:val="single" w:color="000000" w:sz="4" w:space="0"/>
              <w:bottom w:val="single" w:color="000000" w:sz="4" w:space="0"/>
              <w:right w:val="nil"/>
            </w:tcBorders>
            <w:shd w:val="clear" w:color="auto" w:fill="auto"/>
            <w:noWrap/>
            <w:vAlign w:val="center"/>
          </w:tcPr>
          <w:p w14:paraId="37FAD1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84FA4F">
            <w:pPr>
              <w:keepNext w:val="0"/>
              <w:keepLines w:val="0"/>
              <w:widowControl/>
              <w:suppressLineNumbers w:val="0"/>
              <w:jc w:val="left"/>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采血前未向献血者、特殊血液成分捐赠者履行规定的告知义务的。</w:t>
            </w:r>
          </w:p>
        </w:tc>
        <w:tc>
          <w:tcPr>
            <w:tcW w:w="2550" w:type="dxa"/>
            <w:vMerge w:val="restart"/>
            <w:tcBorders>
              <w:top w:val="single" w:color="000000" w:sz="4" w:space="0"/>
              <w:left w:val="nil"/>
              <w:bottom w:val="single" w:color="000000" w:sz="4" w:space="0"/>
              <w:right w:val="single" w:color="000000" w:sz="4" w:space="0"/>
            </w:tcBorders>
            <w:shd w:val="clear" w:color="auto" w:fill="auto"/>
            <w:vAlign w:val="center"/>
          </w:tcPr>
          <w:p w14:paraId="259FE25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首次发现，发现后立即改正，未造成危害后果的。</w:t>
            </w: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E2098">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《血站管理办法》第六十一条 第一款第（八）项：血站有下列行为之一的，由县级以上地方人民政府卫生计生行政部门予以警告、责令改正；逾期不改正，或者造成经血液传播疾病发生，或者其他严重后果的，对负有责任的主管人员和其他直接负责人员，依法给予行政处分；构成犯罪的，依法追究刑事责任：（八）采血前未向献血者、特殊血液成分捐赠者履行规定的告知义务的；</w:t>
            </w:r>
          </w:p>
        </w:tc>
      </w:tr>
      <w:tr w14:paraId="4009F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04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4E57D403">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E0062">
            <w:pPr>
              <w:jc w:val="left"/>
              <w:rPr>
                <w:rFonts w:hint="eastAsia" w:ascii="宋体" w:hAnsi="宋体" w:eastAsia="宋体" w:cs="宋体"/>
                <w:i w:val="0"/>
                <w:iCs w:val="0"/>
                <w:color w:val="333333"/>
                <w:sz w:val="21"/>
                <w:szCs w:val="21"/>
                <w:u w:val="none"/>
              </w:rPr>
            </w:pPr>
          </w:p>
        </w:tc>
        <w:tc>
          <w:tcPr>
            <w:tcW w:w="2550" w:type="dxa"/>
            <w:vMerge w:val="continue"/>
            <w:tcBorders>
              <w:top w:val="single" w:color="000000" w:sz="4" w:space="0"/>
              <w:left w:val="nil"/>
              <w:bottom w:val="single" w:color="000000" w:sz="4" w:space="0"/>
              <w:right w:val="single" w:color="000000" w:sz="4" w:space="0"/>
            </w:tcBorders>
            <w:shd w:val="clear" w:color="auto" w:fill="auto"/>
            <w:vAlign w:val="center"/>
          </w:tcPr>
          <w:p w14:paraId="489B1D8D">
            <w:pPr>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32E3F">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r w14:paraId="59974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041" w:type="dxa"/>
            <w:vMerge w:val="restart"/>
            <w:tcBorders>
              <w:top w:val="single" w:color="000000" w:sz="4" w:space="0"/>
              <w:left w:val="single" w:color="000000" w:sz="4" w:space="0"/>
              <w:bottom w:val="single" w:color="000000" w:sz="4" w:space="0"/>
              <w:right w:val="nil"/>
            </w:tcBorders>
            <w:shd w:val="clear" w:color="auto" w:fill="auto"/>
            <w:noWrap/>
            <w:vAlign w:val="center"/>
          </w:tcPr>
          <w:p w14:paraId="531876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D78C9B">
            <w:pPr>
              <w:keepNext w:val="0"/>
              <w:keepLines w:val="0"/>
              <w:widowControl/>
              <w:suppressLineNumbers w:val="0"/>
              <w:jc w:val="left"/>
              <w:textAlignment w:val="center"/>
              <w:rPr>
                <w:rFonts w:hint="eastAsia" w:ascii="宋体" w:hAnsi="宋体" w:eastAsia="宋体" w:cs="宋体"/>
                <w:i w:val="0"/>
                <w:iCs w:val="0"/>
                <w:color w:val="333333"/>
                <w:sz w:val="21"/>
                <w:szCs w:val="21"/>
                <w:u w:val="none"/>
              </w:rPr>
            </w:pPr>
            <w:r>
              <w:rPr>
                <w:rFonts w:hint="eastAsia" w:ascii="宋体" w:hAnsi="宋体" w:eastAsia="宋体" w:cs="宋体"/>
                <w:i w:val="0"/>
                <w:iCs w:val="0"/>
                <w:color w:val="333333"/>
                <w:kern w:val="0"/>
                <w:sz w:val="21"/>
                <w:szCs w:val="21"/>
                <w:u w:val="none"/>
                <w:lang w:val="en-US" w:eastAsia="zh-CN" w:bidi="ar"/>
              </w:rPr>
              <w:t>未按照规定进行《放射诊疗许可证》校验。</w:t>
            </w:r>
          </w:p>
        </w:tc>
        <w:tc>
          <w:tcPr>
            <w:tcW w:w="2550" w:type="dxa"/>
            <w:vMerge w:val="restart"/>
            <w:tcBorders>
              <w:top w:val="single" w:color="000000" w:sz="4" w:space="0"/>
              <w:left w:val="nil"/>
              <w:bottom w:val="single" w:color="000000" w:sz="4" w:space="0"/>
              <w:right w:val="single" w:color="000000" w:sz="4" w:space="0"/>
            </w:tcBorders>
            <w:shd w:val="clear" w:color="auto" w:fill="auto"/>
            <w:vAlign w:val="center"/>
          </w:tcPr>
          <w:p w14:paraId="76049C1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首次发现，发现后及时主动申请，未造成危害后果的。</w:t>
            </w: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E473A">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《放射诊疗管理规定》第三十八条第（二）项</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　医疗机构有下列情形之一的，由县级以上卫生行政部门给予警告、责令限期改正，并可以根据情节处以3000元以下的罚款；情节严重的，吊销其《医疗机构执业许可证》。（二）未办理诊疗科目登记或者未按照规定进行校验的；</w:t>
            </w:r>
          </w:p>
        </w:tc>
      </w:tr>
      <w:tr w14:paraId="3B68C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41" w:type="dxa"/>
            <w:vMerge w:val="continue"/>
            <w:tcBorders>
              <w:top w:val="single" w:color="000000" w:sz="4" w:space="0"/>
              <w:left w:val="single" w:color="000000" w:sz="4" w:space="0"/>
              <w:bottom w:val="single" w:color="000000" w:sz="4" w:space="0"/>
              <w:right w:val="nil"/>
            </w:tcBorders>
            <w:shd w:val="clear" w:color="auto" w:fill="auto"/>
            <w:noWrap/>
            <w:vAlign w:val="center"/>
          </w:tcPr>
          <w:p w14:paraId="77229DFF">
            <w:pPr>
              <w:jc w:val="center"/>
              <w:rPr>
                <w:rFonts w:hint="eastAsia" w:ascii="宋体" w:hAnsi="宋体" w:eastAsia="宋体" w:cs="宋体"/>
                <w:i w:val="0"/>
                <w:iCs w:val="0"/>
                <w:color w:val="000000"/>
                <w:sz w:val="21"/>
                <w:szCs w:val="21"/>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B5C46">
            <w:pPr>
              <w:jc w:val="left"/>
              <w:rPr>
                <w:rFonts w:hint="eastAsia" w:ascii="宋体" w:hAnsi="宋体" w:eastAsia="宋体" w:cs="宋体"/>
                <w:i w:val="0"/>
                <w:iCs w:val="0"/>
                <w:color w:val="333333"/>
                <w:sz w:val="21"/>
                <w:szCs w:val="21"/>
                <w:u w:val="none"/>
              </w:rPr>
            </w:pPr>
          </w:p>
        </w:tc>
        <w:tc>
          <w:tcPr>
            <w:tcW w:w="2550" w:type="dxa"/>
            <w:vMerge w:val="continue"/>
            <w:tcBorders>
              <w:top w:val="single" w:color="000000" w:sz="4" w:space="0"/>
              <w:left w:val="nil"/>
              <w:bottom w:val="single" w:color="000000" w:sz="4" w:space="0"/>
              <w:right w:val="single" w:color="000000" w:sz="4" w:space="0"/>
            </w:tcBorders>
            <w:shd w:val="clear" w:color="auto" w:fill="auto"/>
            <w:vAlign w:val="center"/>
          </w:tcPr>
          <w:p w14:paraId="2109F3CD">
            <w:pPr>
              <w:rPr>
                <w:rFonts w:hint="eastAsia" w:ascii="宋体" w:hAnsi="宋体" w:eastAsia="宋体" w:cs="宋体"/>
                <w:i w:val="0"/>
                <w:iCs w:val="0"/>
                <w:color w:val="000000"/>
                <w:sz w:val="21"/>
                <w:szCs w:val="21"/>
                <w:u w:val="none"/>
              </w:rPr>
            </w:pPr>
          </w:p>
        </w:tc>
        <w:tc>
          <w:tcPr>
            <w:tcW w:w="8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D3A3B">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《中华人民共和国行政处罚法》</w:t>
            </w:r>
            <w:r>
              <w:rPr>
                <w:rFonts w:hint="eastAsia" w:ascii="宋体" w:hAnsi="宋体" w:eastAsia="宋体" w:cs="宋体"/>
                <w:i w:val="0"/>
                <w:iCs w:val="0"/>
                <w:color w:val="000000"/>
                <w:kern w:val="0"/>
                <w:sz w:val="21"/>
                <w:szCs w:val="21"/>
                <w:u w:val="none"/>
                <w:lang w:val="en-US" w:eastAsia="zh-CN" w:bidi="ar"/>
              </w:rPr>
              <w:t>第三十三条第一款：违法行为轻微并及时改正，没有造成危害后果的，不予行政处罚。初次违法且危害后果轻微并及时改正的，可以不予行政处罚。</w:t>
            </w:r>
          </w:p>
        </w:tc>
      </w:tr>
    </w:tbl>
    <w:p w14:paraId="6C33F37B">
      <w:pPr>
        <w:widowControl/>
        <w:numPr>
          <w:ilvl w:val="0"/>
          <w:numId w:val="0"/>
        </w:numPr>
        <w:textAlignment w:val="center"/>
        <w:rPr>
          <w:rFonts w:hint="eastAsia" w:ascii="黑体" w:hAnsi="黑体" w:eastAsia="黑体" w:cs="黑体"/>
          <w:spacing w:val="-11"/>
          <w:kern w:val="0"/>
          <w:sz w:val="32"/>
          <w:szCs w:val="32"/>
          <w:highlight w:val="none"/>
          <w:lang w:bidi="ar"/>
        </w:rPr>
      </w:pPr>
    </w:p>
    <w:p w14:paraId="6DC3DD57">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新余市人防领域轻微违法行为不予处罚清单</w:t>
      </w:r>
    </w:p>
    <w:tbl>
      <w:tblPr>
        <w:tblStyle w:val="9"/>
        <w:tblW w:w="141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18"/>
        <w:gridCol w:w="1707"/>
        <w:gridCol w:w="1725"/>
        <w:gridCol w:w="9808"/>
      </w:tblGrid>
      <w:tr w14:paraId="78151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3B4C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B54F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违法行为</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64E1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不予处罚条件</w:t>
            </w:r>
          </w:p>
        </w:tc>
        <w:tc>
          <w:tcPr>
            <w:tcW w:w="9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22DF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法律依据</w:t>
            </w:r>
          </w:p>
        </w:tc>
      </w:tr>
      <w:tr w14:paraId="56821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5"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CE96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5FDDC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对不修建防空地下室的处罚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45DD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立案调查前已自行整改，并未产生危害后果</w:t>
            </w:r>
          </w:p>
        </w:tc>
        <w:tc>
          <w:tcPr>
            <w:tcW w:w="98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4717A2">
            <w:pPr>
              <w:keepNext w:val="0"/>
              <w:keepLines w:val="0"/>
              <w:widowControl/>
              <w:suppressLineNumbers w:val="0"/>
              <w:jc w:val="left"/>
              <w:textAlignment w:val="center"/>
              <w:rPr>
                <w:rStyle w:val="17"/>
                <w:rFonts w:hint="eastAsia" w:ascii="宋体" w:hAnsi="宋体" w:eastAsia="宋体" w:cs="宋体"/>
                <w:sz w:val="21"/>
                <w:szCs w:val="21"/>
                <w:lang w:val="en-US" w:eastAsia="zh-CN" w:bidi="ar"/>
              </w:rPr>
            </w:pPr>
            <w:r>
              <w:rPr>
                <w:rStyle w:val="13"/>
                <w:rFonts w:hint="eastAsia" w:ascii="宋体" w:hAnsi="宋体" w:eastAsia="宋体" w:cs="宋体"/>
                <w:sz w:val="21"/>
                <w:szCs w:val="21"/>
                <w:lang w:val="en-US" w:eastAsia="zh-CN" w:bidi="ar"/>
              </w:rPr>
              <w:t>1.</w:t>
            </w:r>
            <w:r>
              <w:rPr>
                <w:rStyle w:val="17"/>
                <w:rFonts w:hint="eastAsia" w:ascii="宋体" w:hAnsi="宋体" w:eastAsia="宋体" w:cs="宋体"/>
                <w:sz w:val="21"/>
                <w:szCs w:val="21"/>
                <w:lang w:val="en-US" w:eastAsia="zh-CN" w:bidi="ar"/>
              </w:rPr>
              <w:t>《中华人民共和国人民防空法》第四十八条：城市新建民用建筑，违反国家有关规定不修建战时可用于防空的地下室的，由县级以上人民政府人民防空主管部门对当事人给予警告，并责令限期修建，可以并处十万元以下的罚款。</w:t>
            </w:r>
          </w:p>
          <w:p w14:paraId="0DFD9A6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13"/>
                <w:rFonts w:hint="eastAsia" w:ascii="宋体" w:hAnsi="宋体" w:eastAsia="宋体" w:cs="宋体"/>
                <w:sz w:val="21"/>
                <w:szCs w:val="21"/>
                <w:lang w:val="en-US" w:eastAsia="zh-CN" w:bidi="ar"/>
              </w:rPr>
              <w:t>2.</w:t>
            </w:r>
            <w:r>
              <w:rPr>
                <w:rStyle w:val="17"/>
                <w:rFonts w:hint="eastAsia" w:ascii="宋体" w:hAnsi="宋体" w:eastAsia="宋体" w:cs="宋体"/>
                <w:sz w:val="21"/>
                <w:szCs w:val="21"/>
                <w:lang w:val="en-US" w:eastAsia="zh-CN" w:bidi="ar"/>
              </w:rPr>
              <w:t>《江西省实施〈中华人民共和国人民防空法〉办法》第三十七条：违反本办法规定，新建城市民用建筑时不修建防空地下室的，由县级以上人民政府人民防空主管部门对当事人给予警告，责令限期修建或者补建。限期内未修建或者未补建的，除按照应建面积和规定的收费标准全额补缴防空地下室易地建设费外，并可按照下列规定处以罚款：</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一</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应修建防空地下室总面积在</w:t>
            </w:r>
            <w:r>
              <w:rPr>
                <w:rStyle w:val="13"/>
                <w:rFonts w:hint="eastAsia" w:ascii="宋体" w:hAnsi="宋体" w:eastAsia="宋体" w:cs="宋体"/>
                <w:sz w:val="21"/>
                <w:szCs w:val="21"/>
                <w:lang w:val="en-US" w:eastAsia="zh-CN" w:bidi="ar"/>
              </w:rPr>
              <w:t>1000</w:t>
            </w:r>
            <w:r>
              <w:rPr>
                <w:rStyle w:val="17"/>
                <w:rFonts w:hint="eastAsia" w:ascii="宋体" w:hAnsi="宋体" w:eastAsia="宋体" w:cs="宋体"/>
                <w:sz w:val="21"/>
                <w:szCs w:val="21"/>
                <w:lang w:val="en-US" w:eastAsia="zh-CN" w:bidi="ar"/>
              </w:rPr>
              <w:t>平方米以上的，处以</w:t>
            </w:r>
            <w:r>
              <w:rPr>
                <w:rStyle w:val="13"/>
                <w:rFonts w:hint="eastAsia" w:ascii="宋体" w:hAnsi="宋体" w:eastAsia="宋体" w:cs="宋体"/>
                <w:sz w:val="21"/>
                <w:szCs w:val="21"/>
                <w:lang w:val="en-US" w:eastAsia="zh-CN" w:bidi="ar"/>
              </w:rPr>
              <w:t>10</w:t>
            </w:r>
            <w:r>
              <w:rPr>
                <w:rStyle w:val="17"/>
                <w:rFonts w:hint="eastAsia" w:ascii="宋体" w:hAnsi="宋体" w:eastAsia="宋体" w:cs="宋体"/>
                <w:sz w:val="21"/>
                <w:szCs w:val="21"/>
                <w:lang w:val="en-US" w:eastAsia="zh-CN" w:bidi="ar"/>
              </w:rPr>
              <w:t>万元罚款；</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二</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应修建防空地下室总面积在</w:t>
            </w:r>
            <w:r>
              <w:rPr>
                <w:rStyle w:val="13"/>
                <w:rFonts w:hint="eastAsia" w:ascii="宋体" w:hAnsi="宋体" w:eastAsia="宋体" w:cs="宋体"/>
                <w:sz w:val="21"/>
                <w:szCs w:val="21"/>
                <w:lang w:val="en-US" w:eastAsia="zh-CN" w:bidi="ar"/>
              </w:rPr>
              <w:t>500</w:t>
            </w:r>
            <w:r>
              <w:rPr>
                <w:rStyle w:val="17"/>
                <w:rFonts w:hint="eastAsia" w:ascii="宋体" w:hAnsi="宋体" w:eastAsia="宋体" w:cs="宋体"/>
                <w:sz w:val="21"/>
                <w:szCs w:val="21"/>
                <w:lang w:val="en-US" w:eastAsia="zh-CN" w:bidi="ar"/>
              </w:rPr>
              <w:t>平方米以上</w:t>
            </w:r>
            <w:r>
              <w:rPr>
                <w:rStyle w:val="13"/>
                <w:rFonts w:hint="eastAsia" w:ascii="宋体" w:hAnsi="宋体" w:eastAsia="宋体" w:cs="宋体"/>
                <w:sz w:val="21"/>
                <w:szCs w:val="21"/>
                <w:lang w:val="en-US" w:eastAsia="zh-CN" w:bidi="ar"/>
              </w:rPr>
              <w:t>1000</w:t>
            </w:r>
            <w:r>
              <w:rPr>
                <w:rStyle w:val="17"/>
                <w:rFonts w:hint="eastAsia" w:ascii="宋体" w:hAnsi="宋体" w:eastAsia="宋体" w:cs="宋体"/>
                <w:sz w:val="21"/>
                <w:szCs w:val="21"/>
                <w:lang w:val="en-US" w:eastAsia="zh-CN" w:bidi="ar"/>
              </w:rPr>
              <w:t>平方米以下的，处以</w:t>
            </w:r>
            <w:r>
              <w:rPr>
                <w:rStyle w:val="13"/>
                <w:rFonts w:hint="eastAsia" w:ascii="宋体" w:hAnsi="宋体" w:eastAsia="宋体" w:cs="宋体"/>
                <w:sz w:val="21"/>
                <w:szCs w:val="21"/>
                <w:lang w:val="en-US" w:eastAsia="zh-CN" w:bidi="ar"/>
              </w:rPr>
              <w:t>5</w:t>
            </w:r>
            <w:r>
              <w:rPr>
                <w:rStyle w:val="17"/>
                <w:rFonts w:hint="eastAsia" w:ascii="宋体" w:hAnsi="宋体" w:eastAsia="宋体" w:cs="宋体"/>
                <w:sz w:val="21"/>
                <w:szCs w:val="21"/>
                <w:lang w:val="en-US" w:eastAsia="zh-CN" w:bidi="ar"/>
              </w:rPr>
              <w:t>万元以上</w:t>
            </w:r>
            <w:r>
              <w:rPr>
                <w:rStyle w:val="13"/>
                <w:rFonts w:hint="eastAsia" w:ascii="宋体" w:hAnsi="宋体" w:eastAsia="宋体" w:cs="宋体"/>
                <w:sz w:val="21"/>
                <w:szCs w:val="21"/>
                <w:lang w:val="en-US" w:eastAsia="zh-CN" w:bidi="ar"/>
              </w:rPr>
              <w:t>10</w:t>
            </w:r>
            <w:r>
              <w:rPr>
                <w:rStyle w:val="17"/>
                <w:rFonts w:hint="eastAsia" w:ascii="宋体" w:hAnsi="宋体" w:eastAsia="宋体" w:cs="宋体"/>
                <w:sz w:val="21"/>
                <w:szCs w:val="21"/>
                <w:lang w:val="en-US" w:eastAsia="zh-CN" w:bidi="ar"/>
              </w:rPr>
              <w:t>万元以下罚款；</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三</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应修建防空地下室总面积在</w:t>
            </w:r>
            <w:r>
              <w:rPr>
                <w:rStyle w:val="13"/>
                <w:rFonts w:hint="eastAsia" w:ascii="宋体" w:hAnsi="宋体" w:eastAsia="宋体" w:cs="宋体"/>
                <w:sz w:val="21"/>
                <w:szCs w:val="21"/>
                <w:lang w:val="en-US" w:eastAsia="zh-CN" w:bidi="ar"/>
              </w:rPr>
              <w:t>500</w:t>
            </w:r>
            <w:r>
              <w:rPr>
                <w:rStyle w:val="17"/>
                <w:rFonts w:hint="eastAsia" w:ascii="宋体" w:hAnsi="宋体" w:eastAsia="宋体" w:cs="宋体"/>
                <w:sz w:val="21"/>
                <w:szCs w:val="21"/>
                <w:lang w:val="en-US" w:eastAsia="zh-CN" w:bidi="ar"/>
              </w:rPr>
              <w:t>平方米以下的，处以</w:t>
            </w:r>
            <w:r>
              <w:rPr>
                <w:rStyle w:val="13"/>
                <w:rFonts w:hint="eastAsia" w:ascii="宋体" w:hAnsi="宋体" w:eastAsia="宋体" w:cs="宋体"/>
                <w:sz w:val="21"/>
                <w:szCs w:val="21"/>
                <w:lang w:val="en-US" w:eastAsia="zh-CN" w:bidi="ar"/>
              </w:rPr>
              <w:t>1</w:t>
            </w:r>
            <w:r>
              <w:rPr>
                <w:rStyle w:val="17"/>
                <w:rFonts w:hint="eastAsia" w:ascii="宋体" w:hAnsi="宋体" w:eastAsia="宋体" w:cs="宋体"/>
                <w:sz w:val="21"/>
                <w:szCs w:val="21"/>
                <w:lang w:val="en-US" w:eastAsia="zh-CN" w:bidi="ar"/>
              </w:rPr>
              <w:t>万元以上</w:t>
            </w:r>
            <w:r>
              <w:rPr>
                <w:rStyle w:val="13"/>
                <w:rFonts w:hint="eastAsia" w:ascii="宋体" w:hAnsi="宋体" w:eastAsia="宋体" w:cs="宋体"/>
                <w:sz w:val="21"/>
                <w:szCs w:val="21"/>
                <w:lang w:val="en-US" w:eastAsia="zh-CN" w:bidi="ar"/>
              </w:rPr>
              <w:t>5</w:t>
            </w:r>
            <w:r>
              <w:rPr>
                <w:rStyle w:val="17"/>
                <w:rFonts w:hint="eastAsia" w:ascii="宋体" w:hAnsi="宋体" w:eastAsia="宋体" w:cs="宋体"/>
                <w:sz w:val="21"/>
                <w:szCs w:val="21"/>
                <w:lang w:val="en-US" w:eastAsia="zh-CN" w:bidi="ar"/>
              </w:rPr>
              <w:t>万元以下罚款。</w:t>
            </w:r>
            <w:r>
              <w:rPr>
                <w:rStyle w:val="13"/>
                <w:rFonts w:hint="eastAsia" w:ascii="宋体" w:hAnsi="宋体" w:eastAsia="宋体" w:cs="宋体"/>
                <w:sz w:val="21"/>
                <w:szCs w:val="21"/>
                <w:lang w:val="en-US" w:eastAsia="zh-CN" w:bidi="ar"/>
              </w:rPr>
              <w:t>3.</w:t>
            </w:r>
            <w:r>
              <w:rPr>
                <w:rStyle w:val="17"/>
                <w:rFonts w:hint="eastAsia" w:ascii="宋体" w:hAnsi="宋体" w:cs="宋体"/>
                <w:sz w:val="21"/>
                <w:szCs w:val="21"/>
                <w:lang w:val="en-US" w:eastAsia="zh-CN" w:bidi="ar"/>
              </w:rPr>
              <w:t>《中华人民共和国行政处罚法》</w:t>
            </w:r>
            <w:r>
              <w:rPr>
                <w:rStyle w:val="17"/>
                <w:rFonts w:hint="eastAsia" w:ascii="宋体" w:hAnsi="宋体" w:eastAsia="宋体" w:cs="宋体"/>
                <w:sz w:val="21"/>
                <w:szCs w:val="21"/>
                <w:lang w:val="en-US" w:eastAsia="zh-CN" w:bidi="ar"/>
              </w:rPr>
              <w:t>第三十三条第一款：违法行为轻微并及时改正，没有造成危害后果的，不予行政处罚。初次违法且危害后果轻微并及时改正的，可以不予行政处罚。</w:t>
            </w:r>
          </w:p>
        </w:tc>
      </w:tr>
      <w:tr w14:paraId="12FA4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0"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F08C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733D8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对侵占人民防空工程的处罚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1D4C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立案调查前已自行整改，并未产生危害后果</w:t>
            </w:r>
          </w:p>
        </w:tc>
        <w:tc>
          <w:tcPr>
            <w:tcW w:w="98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9E5D38">
            <w:pPr>
              <w:keepNext w:val="0"/>
              <w:keepLines w:val="0"/>
              <w:widowControl/>
              <w:suppressLineNumbers w:val="0"/>
              <w:jc w:val="left"/>
              <w:textAlignment w:val="center"/>
              <w:rPr>
                <w:rStyle w:val="17"/>
                <w:rFonts w:hint="eastAsia" w:ascii="宋体" w:hAnsi="宋体" w:eastAsia="宋体" w:cs="宋体"/>
                <w:sz w:val="21"/>
                <w:szCs w:val="21"/>
                <w:lang w:val="en-US" w:eastAsia="zh-CN" w:bidi="ar"/>
              </w:rPr>
            </w:pPr>
            <w:r>
              <w:rPr>
                <w:rStyle w:val="13"/>
                <w:rFonts w:hint="eastAsia" w:ascii="宋体" w:hAnsi="宋体" w:eastAsia="宋体" w:cs="宋体"/>
                <w:sz w:val="21"/>
                <w:szCs w:val="21"/>
                <w:lang w:val="en-US" w:eastAsia="zh-CN" w:bidi="ar"/>
              </w:rPr>
              <w:t>1.</w:t>
            </w:r>
            <w:r>
              <w:rPr>
                <w:rStyle w:val="17"/>
                <w:rFonts w:hint="eastAsia" w:ascii="宋体" w:hAnsi="宋体" w:eastAsia="宋体" w:cs="宋体"/>
                <w:sz w:val="21"/>
                <w:szCs w:val="21"/>
                <w:lang w:val="en-US" w:eastAsia="zh-CN" w:bidi="ar"/>
              </w:rPr>
              <w:t>《中华人民共和国人民防空法》第四十九条：有下列行为之一的，由县级以上人民政府人民防空主管部门对当事人给予警告，并责令限期改正违法行为，可以对个人并处五千元以下的罚款、对单位并处一万元至五万元的罚款；造成损失的，应当依法赔偿损失。</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一</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侵占人民防空工程的；</w:t>
            </w:r>
          </w:p>
          <w:p w14:paraId="35258AC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13"/>
                <w:rFonts w:hint="eastAsia" w:ascii="宋体" w:hAnsi="宋体" w:eastAsia="宋体" w:cs="宋体"/>
                <w:sz w:val="21"/>
                <w:szCs w:val="21"/>
                <w:lang w:val="en-US" w:eastAsia="zh-CN" w:bidi="ar"/>
              </w:rPr>
              <w:t>2.</w:t>
            </w:r>
            <w:r>
              <w:rPr>
                <w:rStyle w:val="17"/>
                <w:rFonts w:hint="eastAsia" w:ascii="宋体" w:hAnsi="宋体" w:eastAsia="宋体" w:cs="宋体"/>
                <w:sz w:val="21"/>
                <w:szCs w:val="21"/>
                <w:lang w:val="en-US" w:eastAsia="zh-CN" w:bidi="ar"/>
              </w:rPr>
              <w:t>《江西省实施〈中华人民共和国人民防空法〉办法》第三十九条：有下列行为之一的，由县级以上人民政府人民防空主管部门对当事人给予警告，责令限期改正，造成损失的，应当依法赔偿损失，并可按下列规定处以罚款：</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一</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侵占人民防空工程的，对个人处以</w:t>
            </w:r>
            <w:r>
              <w:rPr>
                <w:rStyle w:val="13"/>
                <w:rFonts w:hint="eastAsia" w:ascii="宋体" w:hAnsi="宋体" w:eastAsia="宋体" w:cs="宋体"/>
                <w:sz w:val="21"/>
                <w:szCs w:val="21"/>
                <w:lang w:val="en-US" w:eastAsia="zh-CN" w:bidi="ar"/>
              </w:rPr>
              <w:t>1000</w:t>
            </w:r>
            <w:r>
              <w:rPr>
                <w:rStyle w:val="17"/>
                <w:rFonts w:hint="eastAsia" w:ascii="宋体" w:hAnsi="宋体" w:eastAsia="宋体" w:cs="宋体"/>
                <w:sz w:val="21"/>
                <w:szCs w:val="21"/>
                <w:lang w:val="en-US" w:eastAsia="zh-CN" w:bidi="ar"/>
              </w:rPr>
              <w:t>元以上</w:t>
            </w:r>
            <w:r>
              <w:rPr>
                <w:rStyle w:val="13"/>
                <w:rFonts w:hint="eastAsia" w:ascii="宋体" w:hAnsi="宋体" w:eastAsia="宋体" w:cs="宋体"/>
                <w:sz w:val="21"/>
                <w:szCs w:val="21"/>
                <w:lang w:val="en-US" w:eastAsia="zh-CN" w:bidi="ar"/>
              </w:rPr>
              <w:t>3000</w:t>
            </w:r>
            <w:r>
              <w:rPr>
                <w:rStyle w:val="17"/>
                <w:rFonts w:hint="eastAsia" w:ascii="宋体" w:hAnsi="宋体" w:eastAsia="宋体" w:cs="宋体"/>
                <w:sz w:val="21"/>
                <w:szCs w:val="21"/>
                <w:lang w:val="en-US" w:eastAsia="zh-CN" w:bidi="ar"/>
              </w:rPr>
              <w:t>元以下罚款，对单位处以</w:t>
            </w:r>
            <w:r>
              <w:rPr>
                <w:rStyle w:val="13"/>
                <w:rFonts w:hint="eastAsia" w:ascii="宋体" w:hAnsi="宋体" w:eastAsia="宋体" w:cs="宋体"/>
                <w:sz w:val="21"/>
                <w:szCs w:val="21"/>
                <w:lang w:val="en-US" w:eastAsia="zh-CN" w:bidi="ar"/>
              </w:rPr>
              <w:t>1</w:t>
            </w:r>
            <w:r>
              <w:rPr>
                <w:rStyle w:val="17"/>
                <w:rFonts w:hint="eastAsia" w:ascii="宋体" w:hAnsi="宋体" w:eastAsia="宋体" w:cs="宋体"/>
                <w:sz w:val="21"/>
                <w:szCs w:val="21"/>
                <w:lang w:val="en-US" w:eastAsia="zh-CN" w:bidi="ar"/>
              </w:rPr>
              <w:t>万元以上</w:t>
            </w:r>
            <w:r>
              <w:rPr>
                <w:rStyle w:val="13"/>
                <w:rFonts w:hint="eastAsia" w:ascii="宋体" w:hAnsi="宋体" w:eastAsia="宋体" w:cs="宋体"/>
                <w:sz w:val="21"/>
                <w:szCs w:val="21"/>
                <w:lang w:val="en-US" w:eastAsia="zh-CN" w:bidi="ar"/>
              </w:rPr>
              <w:t>3</w:t>
            </w:r>
            <w:r>
              <w:rPr>
                <w:rStyle w:val="17"/>
                <w:rFonts w:hint="eastAsia" w:ascii="宋体" w:hAnsi="宋体" w:eastAsia="宋体" w:cs="宋体"/>
                <w:sz w:val="21"/>
                <w:szCs w:val="21"/>
                <w:lang w:val="en-US" w:eastAsia="zh-CN" w:bidi="ar"/>
              </w:rPr>
              <w:t>万元以下罚款；</w:t>
            </w:r>
            <w:r>
              <w:rPr>
                <w:rStyle w:val="13"/>
                <w:rFonts w:hint="eastAsia" w:ascii="宋体" w:hAnsi="宋体" w:eastAsia="宋体" w:cs="宋体"/>
                <w:sz w:val="21"/>
                <w:szCs w:val="21"/>
                <w:lang w:val="en-US" w:eastAsia="zh-CN" w:bidi="ar"/>
              </w:rPr>
              <w:t xml:space="preserve">                                                                                                                                                  3.</w:t>
            </w:r>
            <w:r>
              <w:rPr>
                <w:rStyle w:val="17"/>
                <w:rFonts w:hint="eastAsia" w:ascii="宋体" w:hAnsi="宋体" w:cs="宋体"/>
                <w:sz w:val="21"/>
                <w:szCs w:val="21"/>
                <w:lang w:val="en-US" w:eastAsia="zh-CN" w:bidi="ar"/>
              </w:rPr>
              <w:t>《中华人民共和国行政处罚法》</w:t>
            </w:r>
            <w:r>
              <w:rPr>
                <w:rStyle w:val="17"/>
                <w:rFonts w:hint="eastAsia" w:ascii="宋体" w:hAnsi="宋体" w:eastAsia="宋体" w:cs="宋体"/>
                <w:sz w:val="21"/>
                <w:szCs w:val="21"/>
                <w:lang w:val="en-US" w:eastAsia="zh-CN" w:bidi="ar"/>
              </w:rPr>
              <w:t>第三十三条第一款：违法行为轻微并及时改正，没有造成危害后果的，不予行政处罚。初次违法且危害后果轻微并及时改正的，可以不予行政处罚。</w:t>
            </w:r>
          </w:p>
        </w:tc>
      </w:tr>
      <w:tr w14:paraId="4F761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5"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531D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73C1F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对不按照国家规定的防护标准和质量标准修建人民防空工程的处罚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7E2E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立案调查前已自行整改，并未产生危害后果</w:t>
            </w:r>
          </w:p>
        </w:tc>
        <w:tc>
          <w:tcPr>
            <w:tcW w:w="98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0B7F4E">
            <w:pPr>
              <w:keepNext w:val="0"/>
              <w:keepLines w:val="0"/>
              <w:widowControl/>
              <w:suppressLineNumbers w:val="0"/>
              <w:jc w:val="left"/>
              <w:textAlignment w:val="center"/>
              <w:rPr>
                <w:rStyle w:val="17"/>
                <w:rFonts w:hint="eastAsia" w:ascii="宋体" w:hAnsi="宋体" w:eastAsia="宋体" w:cs="宋体"/>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1.</w:t>
            </w:r>
            <w:r>
              <w:rPr>
                <w:rStyle w:val="17"/>
                <w:rFonts w:hint="eastAsia" w:ascii="宋体" w:hAnsi="宋体" w:eastAsia="宋体" w:cs="宋体"/>
                <w:sz w:val="21"/>
                <w:szCs w:val="21"/>
                <w:lang w:val="en-US" w:eastAsia="zh-CN" w:bidi="ar"/>
              </w:rPr>
              <w:t>《中华人民共和国人民防空法》第四十九条：有下列行为之一的，由县级以上人民政府人民防空主管部门对当事人给予警告，并责令限期改正违法行为，可以对个人并处五千元以下的罚款、对单位并处一万元至五万元的罚款；造成损失的，应当依法赔偿损失。</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二</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不按照国家规定的防护标准和质量标准修建人民防空工程的；</w:t>
            </w:r>
          </w:p>
          <w:p w14:paraId="52CE3DE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13"/>
                <w:rFonts w:hint="eastAsia" w:ascii="宋体" w:hAnsi="宋体" w:eastAsia="宋体" w:cs="宋体"/>
                <w:sz w:val="21"/>
                <w:szCs w:val="21"/>
                <w:lang w:val="en-US" w:eastAsia="zh-CN" w:bidi="ar"/>
              </w:rPr>
              <w:t>2.</w:t>
            </w:r>
            <w:r>
              <w:rPr>
                <w:rStyle w:val="17"/>
                <w:rFonts w:hint="eastAsia" w:ascii="宋体" w:hAnsi="宋体" w:eastAsia="宋体" w:cs="宋体"/>
                <w:sz w:val="21"/>
                <w:szCs w:val="21"/>
                <w:lang w:val="en-US" w:eastAsia="zh-CN" w:bidi="ar"/>
              </w:rPr>
              <w:t>《江西省实施〈中华人民共和国人民防空法〉办法》第三十九条：有下列行为之一的，由县级以上人民政府人民防空主管部门对当事人给予警告，责令限期改正，造成损失的，应当依法赔偿损失，并可按下列规定处以罚款：</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二</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不按照国家规定的防护标准和质量标准修建人民防空工程，且在限期内未整改或者无法整改的，除按照人民防空工程应建面积和收费标准足额缴纳防空地下室易地建设费外，面积在</w:t>
            </w:r>
            <w:r>
              <w:rPr>
                <w:rStyle w:val="13"/>
                <w:rFonts w:hint="eastAsia" w:ascii="宋体" w:hAnsi="宋体" w:eastAsia="宋体" w:cs="宋体"/>
                <w:sz w:val="21"/>
                <w:szCs w:val="21"/>
                <w:lang w:val="en-US" w:eastAsia="zh-CN" w:bidi="ar"/>
              </w:rPr>
              <w:t>400</w:t>
            </w:r>
            <w:r>
              <w:rPr>
                <w:rStyle w:val="17"/>
                <w:rFonts w:hint="eastAsia" w:ascii="宋体" w:hAnsi="宋体" w:eastAsia="宋体" w:cs="宋体"/>
                <w:sz w:val="21"/>
                <w:szCs w:val="21"/>
                <w:lang w:val="en-US" w:eastAsia="zh-CN" w:bidi="ar"/>
              </w:rPr>
              <w:t>平方米以下的，对个人处以</w:t>
            </w:r>
            <w:r>
              <w:rPr>
                <w:rStyle w:val="13"/>
                <w:rFonts w:hint="eastAsia" w:ascii="宋体" w:hAnsi="宋体" w:eastAsia="宋体" w:cs="宋体"/>
                <w:sz w:val="21"/>
                <w:szCs w:val="21"/>
                <w:lang w:val="en-US" w:eastAsia="zh-CN" w:bidi="ar"/>
              </w:rPr>
              <w:t>1000</w:t>
            </w:r>
            <w:r>
              <w:rPr>
                <w:rStyle w:val="17"/>
                <w:rFonts w:hint="eastAsia" w:ascii="宋体" w:hAnsi="宋体" w:eastAsia="宋体" w:cs="宋体"/>
                <w:sz w:val="21"/>
                <w:szCs w:val="21"/>
                <w:lang w:val="en-US" w:eastAsia="zh-CN" w:bidi="ar"/>
              </w:rPr>
              <w:t>元以上</w:t>
            </w:r>
            <w:r>
              <w:rPr>
                <w:rStyle w:val="13"/>
                <w:rFonts w:hint="eastAsia" w:ascii="宋体" w:hAnsi="宋体" w:eastAsia="宋体" w:cs="宋体"/>
                <w:sz w:val="21"/>
                <w:szCs w:val="21"/>
                <w:lang w:val="en-US" w:eastAsia="zh-CN" w:bidi="ar"/>
              </w:rPr>
              <w:t>3000</w:t>
            </w:r>
            <w:r>
              <w:rPr>
                <w:rStyle w:val="17"/>
                <w:rFonts w:hint="eastAsia" w:ascii="宋体" w:hAnsi="宋体" w:eastAsia="宋体" w:cs="宋体"/>
                <w:sz w:val="21"/>
                <w:szCs w:val="21"/>
                <w:lang w:val="en-US" w:eastAsia="zh-CN" w:bidi="ar"/>
              </w:rPr>
              <w:t>元以下罚款，对单位处以</w:t>
            </w:r>
            <w:r>
              <w:rPr>
                <w:rStyle w:val="13"/>
                <w:rFonts w:hint="eastAsia" w:ascii="宋体" w:hAnsi="宋体" w:eastAsia="宋体" w:cs="宋体"/>
                <w:sz w:val="21"/>
                <w:szCs w:val="21"/>
                <w:lang w:val="en-US" w:eastAsia="zh-CN" w:bidi="ar"/>
              </w:rPr>
              <w:t>1</w:t>
            </w:r>
            <w:r>
              <w:rPr>
                <w:rStyle w:val="17"/>
                <w:rFonts w:hint="eastAsia" w:ascii="宋体" w:hAnsi="宋体" w:eastAsia="宋体" w:cs="宋体"/>
                <w:sz w:val="21"/>
                <w:szCs w:val="21"/>
                <w:lang w:val="en-US" w:eastAsia="zh-CN" w:bidi="ar"/>
              </w:rPr>
              <w:t>万元以上</w:t>
            </w:r>
            <w:r>
              <w:rPr>
                <w:rStyle w:val="13"/>
                <w:rFonts w:hint="eastAsia" w:ascii="宋体" w:hAnsi="宋体" w:eastAsia="宋体" w:cs="宋体"/>
                <w:sz w:val="21"/>
                <w:szCs w:val="21"/>
                <w:lang w:val="en-US" w:eastAsia="zh-CN" w:bidi="ar"/>
              </w:rPr>
              <w:t>3</w:t>
            </w:r>
            <w:r>
              <w:rPr>
                <w:rStyle w:val="17"/>
                <w:rFonts w:hint="eastAsia" w:ascii="宋体" w:hAnsi="宋体" w:eastAsia="宋体" w:cs="宋体"/>
                <w:sz w:val="21"/>
                <w:szCs w:val="21"/>
                <w:lang w:val="en-US" w:eastAsia="zh-CN" w:bidi="ar"/>
              </w:rPr>
              <w:t>万元以下罚款；面积超过</w:t>
            </w:r>
            <w:r>
              <w:rPr>
                <w:rStyle w:val="13"/>
                <w:rFonts w:hint="eastAsia" w:ascii="宋体" w:hAnsi="宋体" w:eastAsia="宋体" w:cs="宋体"/>
                <w:sz w:val="21"/>
                <w:szCs w:val="21"/>
                <w:lang w:val="en-US" w:eastAsia="zh-CN" w:bidi="ar"/>
              </w:rPr>
              <w:t>400</w:t>
            </w:r>
            <w:r>
              <w:rPr>
                <w:rStyle w:val="17"/>
                <w:rFonts w:hint="eastAsia" w:ascii="宋体" w:hAnsi="宋体" w:eastAsia="宋体" w:cs="宋体"/>
                <w:sz w:val="21"/>
                <w:szCs w:val="21"/>
                <w:lang w:val="en-US" w:eastAsia="zh-CN" w:bidi="ar"/>
              </w:rPr>
              <w:t>平方米的，对个人处以</w:t>
            </w:r>
            <w:r>
              <w:rPr>
                <w:rStyle w:val="13"/>
                <w:rFonts w:hint="eastAsia" w:ascii="宋体" w:hAnsi="宋体" w:eastAsia="宋体" w:cs="宋体"/>
                <w:sz w:val="21"/>
                <w:szCs w:val="21"/>
                <w:lang w:val="en-US" w:eastAsia="zh-CN" w:bidi="ar"/>
              </w:rPr>
              <w:t>3000</w:t>
            </w:r>
            <w:r>
              <w:rPr>
                <w:rStyle w:val="17"/>
                <w:rFonts w:hint="eastAsia" w:ascii="宋体" w:hAnsi="宋体" w:eastAsia="宋体" w:cs="宋体"/>
                <w:sz w:val="21"/>
                <w:szCs w:val="21"/>
                <w:lang w:val="en-US" w:eastAsia="zh-CN" w:bidi="ar"/>
              </w:rPr>
              <w:t>元以上</w:t>
            </w:r>
            <w:r>
              <w:rPr>
                <w:rStyle w:val="13"/>
                <w:rFonts w:hint="eastAsia" w:ascii="宋体" w:hAnsi="宋体" w:eastAsia="宋体" w:cs="宋体"/>
                <w:sz w:val="21"/>
                <w:szCs w:val="21"/>
                <w:lang w:val="en-US" w:eastAsia="zh-CN" w:bidi="ar"/>
              </w:rPr>
              <w:t>5000</w:t>
            </w:r>
            <w:r>
              <w:rPr>
                <w:rStyle w:val="17"/>
                <w:rFonts w:hint="eastAsia" w:ascii="宋体" w:hAnsi="宋体" w:eastAsia="宋体" w:cs="宋体"/>
                <w:sz w:val="21"/>
                <w:szCs w:val="21"/>
                <w:lang w:val="en-US" w:eastAsia="zh-CN" w:bidi="ar"/>
              </w:rPr>
              <w:t>元以下罚款，对单位处以</w:t>
            </w:r>
            <w:r>
              <w:rPr>
                <w:rStyle w:val="13"/>
                <w:rFonts w:hint="eastAsia" w:ascii="宋体" w:hAnsi="宋体" w:eastAsia="宋体" w:cs="宋体"/>
                <w:sz w:val="21"/>
                <w:szCs w:val="21"/>
                <w:lang w:val="en-US" w:eastAsia="zh-CN" w:bidi="ar"/>
              </w:rPr>
              <w:t>3</w:t>
            </w:r>
            <w:r>
              <w:rPr>
                <w:rStyle w:val="17"/>
                <w:rFonts w:hint="eastAsia" w:ascii="宋体" w:hAnsi="宋体" w:eastAsia="宋体" w:cs="宋体"/>
                <w:sz w:val="21"/>
                <w:szCs w:val="21"/>
                <w:lang w:val="en-US" w:eastAsia="zh-CN" w:bidi="ar"/>
              </w:rPr>
              <w:t>万元以上</w:t>
            </w:r>
            <w:r>
              <w:rPr>
                <w:rStyle w:val="13"/>
                <w:rFonts w:hint="eastAsia" w:ascii="宋体" w:hAnsi="宋体" w:eastAsia="宋体" w:cs="宋体"/>
                <w:sz w:val="21"/>
                <w:szCs w:val="21"/>
                <w:lang w:val="en-US" w:eastAsia="zh-CN" w:bidi="ar"/>
              </w:rPr>
              <w:t>5</w:t>
            </w:r>
            <w:r>
              <w:rPr>
                <w:rStyle w:val="17"/>
                <w:rFonts w:hint="eastAsia" w:ascii="宋体" w:hAnsi="宋体" w:eastAsia="宋体" w:cs="宋体"/>
                <w:sz w:val="21"/>
                <w:szCs w:val="21"/>
                <w:lang w:val="en-US" w:eastAsia="zh-CN" w:bidi="ar"/>
              </w:rPr>
              <w:t>万元以下罚款；</w:t>
            </w:r>
            <w:r>
              <w:rPr>
                <w:rStyle w:val="13"/>
                <w:rFonts w:hint="eastAsia" w:ascii="宋体" w:hAnsi="宋体" w:eastAsia="宋体" w:cs="宋体"/>
                <w:sz w:val="21"/>
                <w:szCs w:val="21"/>
                <w:lang w:val="en-US" w:eastAsia="zh-CN" w:bidi="ar"/>
              </w:rPr>
              <w:t xml:space="preserve">                                                                                                               3.</w:t>
            </w:r>
            <w:r>
              <w:rPr>
                <w:rStyle w:val="17"/>
                <w:rFonts w:hint="eastAsia" w:ascii="宋体" w:hAnsi="宋体" w:cs="宋体"/>
                <w:sz w:val="21"/>
                <w:szCs w:val="21"/>
                <w:lang w:val="en-US" w:eastAsia="zh-CN" w:bidi="ar"/>
              </w:rPr>
              <w:t>《中华人民共和国行政处罚法》</w:t>
            </w:r>
            <w:r>
              <w:rPr>
                <w:rStyle w:val="17"/>
                <w:rFonts w:hint="eastAsia" w:ascii="宋体" w:hAnsi="宋体" w:eastAsia="宋体" w:cs="宋体"/>
                <w:sz w:val="21"/>
                <w:szCs w:val="21"/>
                <w:lang w:val="en-US" w:eastAsia="zh-CN" w:bidi="ar"/>
              </w:rPr>
              <w:t>第三十三条第一款：违法行为轻微并及时改正，没有造成危害后果的，不予行政处罚。初次违法且危害后果轻微并及时改正的，可以不予行政处罚。</w:t>
            </w:r>
          </w:p>
        </w:tc>
      </w:tr>
      <w:tr w14:paraId="4EE45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5"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D4E7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C90DB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对向人民防空工程内排入废水、废气或者倾倒废弃物的处罚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A17A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立案调查前已自行整改，并未产生危害后果</w:t>
            </w:r>
          </w:p>
        </w:tc>
        <w:tc>
          <w:tcPr>
            <w:tcW w:w="98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D94BDB">
            <w:pPr>
              <w:keepNext w:val="0"/>
              <w:keepLines w:val="0"/>
              <w:widowControl/>
              <w:suppressLineNumbers w:val="0"/>
              <w:jc w:val="left"/>
              <w:textAlignment w:val="center"/>
              <w:rPr>
                <w:rStyle w:val="17"/>
                <w:rFonts w:hint="eastAsia" w:ascii="宋体" w:hAnsi="宋体" w:eastAsia="宋体" w:cs="宋体"/>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1.</w:t>
            </w:r>
            <w:r>
              <w:rPr>
                <w:rStyle w:val="17"/>
                <w:rFonts w:hint="eastAsia" w:ascii="宋体" w:hAnsi="宋体" w:eastAsia="宋体" w:cs="宋体"/>
                <w:sz w:val="21"/>
                <w:szCs w:val="21"/>
                <w:lang w:val="en-US" w:eastAsia="zh-CN" w:bidi="ar"/>
              </w:rPr>
              <w:t>《中华人民共和国人民防空法》第四十九条：有下列行为之一的，由县级以上人民政府人民防空主管部门对当事人给予警告，并责令限期改正违法行为，可以对个人并处五千元以下的罚款、对单位并处一万元至五万元的罚款；造成损失的，应当依法赔偿损失。</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七</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向人民防空工程内排入废水、废气或者倾倒废弃物的。</w:t>
            </w:r>
          </w:p>
          <w:p w14:paraId="70194C5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13"/>
                <w:rFonts w:hint="eastAsia" w:ascii="宋体" w:hAnsi="宋体" w:eastAsia="宋体" w:cs="宋体"/>
                <w:sz w:val="21"/>
                <w:szCs w:val="21"/>
                <w:lang w:val="en-US" w:eastAsia="zh-CN" w:bidi="ar"/>
              </w:rPr>
              <w:t>2</w:t>
            </w:r>
            <w:r>
              <w:rPr>
                <w:rStyle w:val="13"/>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江西省实施〈中华人民共和国人民防空法〉办法》第三十九条：有下列行为之一的，由县级以上人民政府人民防空主管部门对当事人给予警告，责令限期改正，造成损失的，应当依法赔偿损失，并可按下列规定处以罚款：</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七</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向人民防空工程内排入废水、废气或者倾倒废弃物的，对个人处以</w:t>
            </w:r>
            <w:r>
              <w:rPr>
                <w:rStyle w:val="13"/>
                <w:rFonts w:hint="eastAsia" w:ascii="宋体" w:hAnsi="宋体" w:eastAsia="宋体" w:cs="宋体"/>
                <w:sz w:val="21"/>
                <w:szCs w:val="21"/>
                <w:lang w:val="en-US" w:eastAsia="zh-CN" w:bidi="ar"/>
              </w:rPr>
              <w:t>1000</w:t>
            </w:r>
            <w:r>
              <w:rPr>
                <w:rStyle w:val="17"/>
                <w:rFonts w:hint="eastAsia" w:ascii="宋体" w:hAnsi="宋体" w:eastAsia="宋体" w:cs="宋体"/>
                <w:sz w:val="21"/>
                <w:szCs w:val="21"/>
                <w:lang w:val="en-US" w:eastAsia="zh-CN" w:bidi="ar"/>
              </w:rPr>
              <w:t>元以上</w:t>
            </w:r>
            <w:r>
              <w:rPr>
                <w:rStyle w:val="13"/>
                <w:rFonts w:hint="eastAsia" w:ascii="宋体" w:hAnsi="宋体" w:eastAsia="宋体" w:cs="宋体"/>
                <w:sz w:val="21"/>
                <w:szCs w:val="21"/>
                <w:lang w:val="en-US" w:eastAsia="zh-CN" w:bidi="ar"/>
              </w:rPr>
              <w:t>5000</w:t>
            </w:r>
            <w:r>
              <w:rPr>
                <w:rStyle w:val="17"/>
                <w:rFonts w:hint="eastAsia" w:ascii="宋体" w:hAnsi="宋体" w:eastAsia="宋体" w:cs="宋体"/>
                <w:sz w:val="21"/>
                <w:szCs w:val="21"/>
                <w:lang w:val="en-US" w:eastAsia="zh-CN" w:bidi="ar"/>
              </w:rPr>
              <w:t>元以下罚款，对单位处以</w:t>
            </w:r>
            <w:r>
              <w:rPr>
                <w:rStyle w:val="13"/>
                <w:rFonts w:hint="eastAsia" w:ascii="宋体" w:hAnsi="宋体" w:eastAsia="宋体" w:cs="宋体"/>
                <w:sz w:val="21"/>
                <w:szCs w:val="21"/>
                <w:lang w:val="en-US" w:eastAsia="zh-CN" w:bidi="ar"/>
              </w:rPr>
              <w:t>3</w:t>
            </w:r>
            <w:r>
              <w:rPr>
                <w:rStyle w:val="17"/>
                <w:rFonts w:hint="eastAsia" w:ascii="宋体" w:hAnsi="宋体" w:eastAsia="宋体" w:cs="宋体"/>
                <w:sz w:val="21"/>
                <w:szCs w:val="21"/>
                <w:lang w:val="en-US" w:eastAsia="zh-CN" w:bidi="ar"/>
              </w:rPr>
              <w:t>万元以上</w:t>
            </w:r>
            <w:r>
              <w:rPr>
                <w:rStyle w:val="13"/>
                <w:rFonts w:hint="eastAsia" w:ascii="宋体" w:hAnsi="宋体" w:eastAsia="宋体" w:cs="宋体"/>
                <w:sz w:val="21"/>
                <w:szCs w:val="21"/>
                <w:lang w:val="en-US" w:eastAsia="zh-CN" w:bidi="ar"/>
              </w:rPr>
              <w:t>5</w:t>
            </w:r>
            <w:r>
              <w:rPr>
                <w:rStyle w:val="17"/>
                <w:rFonts w:hint="eastAsia" w:ascii="宋体" w:hAnsi="宋体" w:eastAsia="宋体" w:cs="宋体"/>
                <w:sz w:val="21"/>
                <w:szCs w:val="21"/>
                <w:lang w:val="en-US" w:eastAsia="zh-CN" w:bidi="ar"/>
              </w:rPr>
              <w:t>万元以下罚款。</w:t>
            </w:r>
            <w:r>
              <w:rPr>
                <w:rStyle w:val="13"/>
                <w:rFonts w:hint="eastAsia" w:ascii="宋体" w:hAnsi="宋体" w:eastAsia="宋体" w:cs="宋体"/>
                <w:sz w:val="21"/>
                <w:szCs w:val="21"/>
                <w:lang w:val="en-US" w:eastAsia="zh-CN" w:bidi="ar"/>
              </w:rPr>
              <w:t xml:space="preserve">                                                                                                                  3.</w:t>
            </w:r>
            <w:r>
              <w:rPr>
                <w:rStyle w:val="17"/>
                <w:rFonts w:hint="eastAsia" w:ascii="宋体" w:hAnsi="宋体" w:cs="宋体"/>
                <w:sz w:val="21"/>
                <w:szCs w:val="21"/>
                <w:lang w:val="en-US" w:eastAsia="zh-CN" w:bidi="ar"/>
              </w:rPr>
              <w:t>《中华人民共和国行政处罚法》</w:t>
            </w:r>
            <w:r>
              <w:rPr>
                <w:rStyle w:val="17"/>
                <w:rFonts w:hint="eastAsia" w:ascii="宋体" w:hAnsi="宋体" w:eastAsia="宋体" w:cs="宋体"/>
                <w:sz w:val="21"/>
                <w:szCs w:val="21"/>
                <w:lang w:val="en-US" w:eastAsia="zh-CN" w:bidi="ar"/>
              </w:rPr>
              <w:t>第三十三条第一款：违法行为轻微并及时改正，没有造成危害后果的，不予行政处罚。初次违法且危害后果轻微并及时改正的，可以不予行政处罚。</w:t>
            </w:r>
          </w:p>
        </w:tc>
      </w:tr>
      <w:tr w14:paraId="64452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5" w:hRule="atLeast"/>
        </w:trPr>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8F3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50912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对不缴纳或者未足额缴纳防空地下室易地建设费的处罚</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3DC5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立案调查前已自行整改，并未产生危害后果</w:t>
            </w:r>
          </w:p>
        </w:tc>
        <w:tc>
          <w:tcPr>
            <w:tcW w:w="98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4A6E7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江西省实施〈中华人民共和国人民防空法〉办法》第三十八条：违反本办法第十一条规定，不缴纳或者未足额缴纳防空地下室易地建设费的，由县级以上人民政府人民防空主管部门对当事人给予警告，责令限期补缴。                                                                                              2</w:t>
            </w:r>
            <w:r>
              <w:rPr>
                <w:rStyle w:val="13"/>
                <w:rFonts w:hint="eastAsia" w:ascii="宋体" w:hAnsi="宋体" w:eastAsia="宋体" w:cs="宋体"/>
                <w:sz w:val="21"/>
                <w:szCs w:val="21"/>
                <w:lang w:val="en-US" w:eastAsia="zh-CN" w:bidi="ar"/>
              </w:rPr>
              <w:t>.</w:t>
            </w:r>
            <w:r>
              <w:rPr>
                <w:rStyle w:val="17"/>
                <w:rFonts w:hint="eastAsia" w:ascii="宋体" w:hAnsi="宋体" w:cs="宋体"/>
                <w:sz w:val="21"/>
                <w:szCs w:val="21"/>
                <w:lang w:val="en-US" w:eastAsia="zh-CN" w:bidi="ar"/>
              </w:rPr>
              <w:t>《中华人民共和国行政处罚法》</w:t>
            </w:r>
            <w:r>
              <w:rPr>
                <w:rStyle w:val="17"/>
                <w:rFonts w:hint="eastAsia" w:ascii="宋体" w:hAnsi="宋体" w:eastAsia="宋体" w:cs="宋体"/>
                <w:sz w:val="21"/>
                <w:szCs w:val="21"/>
                <w:lang w:val="en-US" w:eastAsia="zh-CN" w:bidi="ar"/>
              </w:rPr>
              <w:t>第三十三条第一款：违法行为轻微并及时改正，没有造成危害后果的，不予行政处罚。初次违法且危害后果轻微并及时改正的，可以不予行政处罚。</w:t>
            </w:r>
          </w:p>
        </w:tc>
      </w:tr>
    </w:tbl>
    <w:p w14:paraId="74CE1C18">
      <w:pPr>
        <w:widowControl/>
        <w:numPr>
          <w:ilvl w:val="0"/>
          <w:numId w:val="0"/>
        </w:numPr>
        <w:textAlignment w:val="center"/>
        <w:rPr>
          <w:rFonts w:hint="eastAsia" w:ascii="黑体" w:hAnsi="黑体" w:eastAsia="黑体" w:cs="黑体"/>
          <w:spacing w:val="-11"/>
          <w:kern w:val="0"/>
          <w:sz w:val="32"/>
          <w:szCs w:val="32"/>
          <w:highlight w:val="none"/>
          <w:lang w:bidi="ar"/>
        </w:rPr>
      </w:pPr>
    </w:p>
    <w:p w14:paraId="57076920">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体育</w:t>
      </w:r>
      <w:r>
        <w:rPr>
          <w:rFonts w:hint="eastAsia" w:ascii="黑体" w:hAnsi="黑体" w:eastAsia="黑体" w:cs="黑体"/>
          <w:spacing w:val="-11"/>
          <w:kern w:val="0"/>
          <w:sz w:val="32"/>
          <w:szCs w:val="32"/>
          <w:highlight w:val="none"/>
          <w:lang w:bidi="ar"/>
        </w:rPr>
        <w:t>领域轻微违法行为不予处罚清单</w:t>
      </w:r>
    </w:p>
    <w:tbl>
      <w:tblPr>
        <w:tblStyle w:val="10"/>
        <w:tblW w:w="14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1"/>
        <w:gridCol w:w="2044"/>
        <w:gridCol w:w="2681"/>
        <w:gridCol w:w="8540"/>
      </w:tblGrid>
      <w:tr w14:paraId="6D163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1" w:type="dxa"/>
            <w:noWrap w:val="0"/>
            <w:vAlign w:val="top"/>
          </w:tcPr>
          <w:p w14:paraId="17B3B68D">
            <w:pPr>
              <w:jc w:val="center"/>
              <w:rPr>
                <w:rFonts w:hint="eastAsia" w:ascii="宋体" w:hAnsi="宋体" w:eastAsia="宋体" w:cs="宋体"/>
                <w:b/>
                <w:bCs/>
                <w:sz w:val="21"/>
                <w:szCs w:val="21"/>
                <w:vertAlign w:val="baseline"/>
                <w:lang w:eastAsia="zh-CN"/>
              </w:rPr>
            </w:pPr>
            <w:r>
              <w:rPr>
                <w:rFonts w:hint="eastAsia" w:ascii="宋体" w:hAnsi="宋体" w:eastAsia="宋体" w:cs="宋体"/>
                <w:b/>
                <w:bCs/>
                <w:sz w:val="21"/>
                <w:szCs w:val="21"/>
                <w:vertAlign w:val="baseline"/>
                <w:lang w:eastAsia="zh-CN"/>
              </w:rPr>
              <w:t>序号</w:t>
            </w:r>
          </w:p>
        </w:tc>
        <w:tc>
          <w:tcPr>
            <w:tcW w:w="2044" w:type="dxa"/>
            <w:noWrap w:val="0"/>
            <w:vAlign w:val="top"/>
          </w:tcPr>
          <w:p w14:paraId="0F33C0D4">
            <w:pPr>
              <w:jc w:val="center"/>
              <w:rPr>
                <w:rFonts w:hint="eastAsia" w:ascii="宋体" w:hAnsi="宋体" w:eastAsia="宋体" w:cs="宋体"/>
                <w:b/>
                <w:bCs/>
                <w:sz w:val="21"/>
                <w:szCs w:val="21"/>
                <w:vertAlign w:val="baseline"/>
                <w:lang w:eastAsia="zh-CN"/>
              </w:rPr>
            </w:pPr>
            <w:r>
              <w:rPr>
                <w:rFonts w:hint="eastAsia" w:ascii="宋体" w:hAnsi="宋体" w:eastAsia="宋体" w:cs="宋体"/>
                <w:b/>
                <w:bCs/>
                <w:sz w:val="21"/>
                <w:szCs w:val="21"/>
                <w:vertAlign w:val="baseline"/>
                <w:lang w:eastAsia="zh-CN"/>
              </w:rPr>
              <w:t>违法行为</w:t>
            </w:r>
          </w:p>
        </w:tc>
        <w:tc>
          <w:tcPr>
            <w:tcW w:w="2681" w:type="dxa"/>
            <w:noWrap w:val="0"/>
            <w:vAlign w:val="top"/>
          </w:tcPr>
          <w:p w14:paraId="6427A06D">
            <w:pPr>
              <w:jc w:val="center"/>
              <w:rPr>
                <w:rFonts w:hint="eastAsia" w:ascii="宋体" w:hAnsi="宋体" w:eastAsia="宋体" w:cs="宋体"/>
                <w:b/>
                <w:bCs/>
                <w:sz w:val="21"/>
                <w:szCs w:val="21"/>
                <w:vertAlign w:val="baseline"/>
                <w:lang w:eastAsia="zh-CN"/>
              </w:rPr>
            </w:pPr>
            <w:r>
              <w:rPr>
                <w:rFonts w:hint="eastAsia" w:ascii="宋体" w:hAnsi="宋体" w:eastAsia="宋体" w:cs="宋体"/>
                <w:b/>
                <w:bCs/>
                <w:sz w:val="21"/>
                <w:szCs w:val="21"/>
                <w:vertAlign w:val="baseline"/>
                <w:lang w:eastAsia="zh-CN"/>
              </w:rPr>
              <w:t>不予处罚条件</w:t>
            </w:r>
          </w:p>
        </w:tc>
        <w:tc>
          <w:tcPr>
            <w:tcW w:w="8540" w:type="dxa"/>
            <w:noWrap w:val="0"/>
            <w:vAlign w:val="top"/>
          </w:tcPr>
          <w:p w14:paraId="572DC70F">
            <w:pPr>
              <w:jc w:val="center"/>
              <w:rPr>
                <w:rFonts w:hint="eastAsia" w:ascii="宋体" w:hAnsi="宋体" w:eastAsia="宋体" w:cs="宋体"/>
                <w:b/>
                <w:bCs/>
                <w:sz w:val="21"/>
                <w:szCs w:val="21"/>
                <w:vertAlign w:val="baseline"/>
                <w:lang w:eastAsia="zh-CN"/>
              </w:rPr>
            </w:pPr>
            <w:r>
              <w:rPr>
                <w:rFonts w:hint="eastAsia" w:ascii="宋体" w:hAnsi="宋体" w:eastAsia="宋体" w:cs="宋体"/>
                <w:b/>
                <w:bCs/>
                <w:sz w:val="21"/>
                <w:szCs w:val="21"/>
                <w:vertAlign w:val="baseline"/>
                <w:lang w:eastAsia="zh-CN"/>
              </w:rPr>
              <w:t>法律依据</w:t>
            </w:r>
          </w:p>
        </w:tc>
      </w:tr>
      <w:tr w14:paraId="7DFB7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06" w:type="dxa"/>
            <w:gridSpan w:val="4"/>
            <w:noWrap w:val="0"/>
            <w:vAlign w:val="top"/>
          </w:tcPr>
          <w:p w14:paraId="35936F2F">
            <w:pPr>
              <w:jc w:val="both"/>
              <w:rPr>
                <w:rFonts w:hint="eastAsia" w:ascii="宋体" w:hAnsi="宋体" w:eastAsia="宋体" w:cs="宋体"/>
                <w:b/>
                <w:bCs/>
                <w:sz w:val="21"/>
                <w:szCs w:val="21"/>
                <w:vertAlign w:val="baseline"/>
                <w:lang w:eastAsia="zh-CN"/>
              </w:rPr>
            </w:pPr>
            <w:r>
              <w:rPr>
                <w:rFonts w:hint="eastAsia" w:ascii="宋体" w:hAnsi="宋体" w:eastAsia="宋体" w:cs="宋体"/>
                <w:b/>
                <w:bCs/>
                <w:sz w:val="21"/>
                <w:szCs w:val="21"/>
                <w:vertAlign w:val="baseline"/>
                <w:lang w:eastAsia="zh-CN"/>
              </w:rPr>
              <w:t>一、违法使用、出租公共体育设施的行为</w:t>
            </w:r>
          </w:p>
        </w:tc>
      </w:tr>
      <w:tr w14:paraId="218E9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6" w:hRule="atLeast"/>
        </w:trPr>
        <w:tc>
          <w:tcPr>
            <w:tcW w:w="1041" w:type="dxa"/>
            <w:vMerge w:val="restart"/>
            <w:noWrap w:val="0"/>
            <w:vAlign w:val="center"/>
          </w:tcPr>
          <w:p w14:paraId="0A2AB4AD">
            <w:pPr>
              <w:jc w:val="both"/>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1</w:t>
            </w:r>
          </w:p>
        </w:tc>
        <w:tc>
          <w:tcPr>
            <w:tcW w:w="2044" w:type="dxa"/>
            <w:vMerge w:val="restart"/>
            <w:noWrap w:val="0"/>
            <w:vAlign w:val="center"/>
          </w:tcPr>
          <w:p w14:paraId="38D3FCA8">
            <w:pPr>
              <w:keepNext w:val="0"/>
              <w:keepLines w:val="0"/>
              <w:widowControl/>
              <w:suppressLineNumbers w:val="0"/>
              <w:jc w:val="both"/>
              <w:rPr>
                <w:rFonts w:hint="eastAsia" w:ascii="宋体" w:hAnsi="宋体" w:eastAsia="宋体" w:cs="宋体"/>
                <w:sz w:val="21"/>
                <w:szCs w:val="21"/>
              </w:rPr>
            </w:pPr>
            <w:r>
              <w:rPr>
                <w:rFonts w:hint="eastAsia" w:ascii="宋体" w:hAnsi="宋体" w:eastAsia="宋体" w:cs="宋体"/>
                <w:kern w:val="0"/>
                <w:sz w:val="21"/>
                <w:szCs w:val="21"/>
                <w:lang w:val="en-US" w:eastAsia="zh-CN" w:bidi="ar"/>
              </w:rPr>
              <w:t>对公共体育设施管理单位违规的处罚</w:t>
            </w:r>
          </w:p>
          <w:p w14:paraId="5B2C3732">
            <w:pPr>
              <w:jc w:val="both"/>
              <w:rPr>
                <w:rFonts w:hint="eastAsia" w:ascii="宋体" w:hAnsi="宋体" w:eastAsia="宋体" w:cs="宋体"/>
                <w:b/>
                <w:bCs/>
                <w:sz w:val="21"/>
                <w:szCs w:val="21"/>
                <w:vertAlign w:val="baseline"/>
              </w:rPr>
            </w:pPr>
          </w:p>
        </w:tc>
        <w:tc>
          <w:tcPr>
            <w:tcW w:w="2681" w:type="dxa"/>
            <w:vMerge w:val="restart"/>
            <w:noWrap w:val="0"/>
            <w:vAlign w:val="center"/>
          </w:tcPr>
          <w:p w14:paraId="10ADC3B6">
            <w:pPr>
              <w:keepNext w:val="0"/>
              <w:keepLines w:val="0"/>
              <w:widowControl/>
              <w:suppressLineNumbers w:val="0"/>
              <w:jc w:val="both"/>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违法情节轻微并及时纠正，没有违法所得，没有造成危害后果</w:t>
            </w:r>
          </w:p>
          <w:p w14:paraId="1D207FB8">
            <w:pPr>
              <w:jc w:val="both"/>
              <w:rPr>
                <w:rFonts w:hint="eastAsia" w:ascii="宋体" w:hAnsi="宋体" w:eastAsia="宋体" w:cs="宋体"/>
                <w:b/>
                <w:bCs/>
                <w:sz w:val="21"/>
                <w:szCs w:val="21"/>
                <w:vertAlign w:val="baseline"/>
              </w:rPr>
            </w:pPr>
          </w:p>
        </w:tc>
        <w:tc>
          <w:tcPr>
            <w:tcW w:w="8540" w:type="dxa"/>
            <w:noWrap w:val="0"/>
            <w:vAlign w:val="top"/>
          </w:tcPr>
          <w:p w14:paraId="101F8FC5">
            <w:pPr>
              <w:pStyle w:val="8"/>
              <w:keepNext w:val="0"/>
              <w:keepLines w:val="0"/>
              <w:widowControl/>
              <w:suppressLineNumbers w:val="0"/>
              <w:spacing w:before="0" w:beforeAutospacing="0" w:after="0" w:afterAutospacing="0"/>
              <w:ind w:left="0" w:right="0"/>
              <w:jc w:val="both"/>
              <w:rPr>
                <w:rFonts w:hint="eastAsia" w:ascii="宋体" w:hAnsi="宋体" w:eastAsia="宋体" w:cs="宋体"/>
                <w:sz w:val="21"/>
                <w:szCs w:val="21"/>
              </w:rPr>
            </w:pPr>
            <w:r>
              <w:rPr>
                <w:rFonts w:hint="eastAsia" w:ascii="宋体" w:hAnsi="宋体" w:eastAsia="宋体" w:cs="宋体"/>
                <w:b/>
                <w:sz w:val="21"/>
                <w:szCs w:val="21"/>
              </w:rPr>
              <w:t>《中华人民共和国公共文化服务保障法》</w:t>
            </w:r>
          </w:p>
          <w:p w14:paraId="1CE6B664">
            <w:pPr>
              <w:pStyle w:val="8"/>
              <w:keepNext w:val="0"/>
              <w:keepLines w:val="0"/>
              <w:widowControl/>
              <w:suppressLineNumbers w:val="0"/>
              <w:spacing w:before="0" w:beforeAutospacing="0" w:after="0" w:afterAutospacing="0"/>
              <w:ind w:left="0" w:right="0"/>
              <w:jc w:val="both"/>
              <w:rPr>
                <w:rFonts w:hint="eastAsia" w:ascii="宋体" w:hAnsi="宋体" w:eastAsia="宋体" w:cs="宋体"/>
                <w:sz w:val="21"/>
                <w:szCs w:val="21"/>
              </w:rPr>
            </w:pPr>
            <w:r>
              <w:rPr>
                <w:rFonts w:hint="eastAsia" w:ascii="宋体" w:hAnsi="宋体" w:eastAsia="宋体" w:cs="宋体"/>
                <w:sz w:val="21"/>
                <w:szCs w:val="21"/>
              </w:rPr>
              <w:t>第六十二条 违反本法规定，公共文化设施管理单位有下列行为之一的，由其主管部门或者价格主管部门责令限期改正，没收违法所得，违法所得五千元以上的，并处违法所得两倍以上五倍以下罚款</w:t>
            </w:r>
            <w:r>
              <w:rPr>
                <w:rFonts w:hint="eastAsia" w:cs="宋体"/>
                <w:sz w:val="21"/>
                <w:szCs w:val="21"/>
                <w:lang w:eastAsia="zh-CN"/>
              </w:rPr>
              <w:t>；</w:t>
            </w:r>
            <w:r>
              <w:rPr>
                <w:rFonts w:hint="eastAsia" w:ascii="宋体" w:hAnsi="宋体" w:eastAsia="宋体" w:cs="宋体"/>
                <w:sz w:val="21"/>
                <w:szCs w:val="21"/>
              </w:rPr>
              <w:t>没有违法所得或者违法所得五千元以下的，可以处一万元以下的罚款</w:t>
            </w:r>
            <w:r>
              <w:rPr>
                <w:rFonts w:hint="eastAsia" w:cs="宋体"/>
                <w:sz w:val="21"/>
                <w:szCs w:val="21"/>
                <w:lang w:eastAsia="zh-CN"/>
              </w:rPr>
              <w:t>；</w:t>
            </w:r>
            <w:r>
              <w:rPr>
                <w:rFonts w:hint="eastAsia" w:ascii="宋体" w:hAnsi="宋体" w:eastAsia="宋体" w:cs="宋体"/>
                <w:sz w:val="21"/>
                <w:szCs w:val="21"/>
              </w:rPr>
              <w:t>对直接负责的主管人员和其他直接责任人员，依法给予处分</w:t>
            </w:r>
            <w:r>
              <w:rPr>
                <w:rFonts w:hint="eastAsia" w:cs="宋体"/>
                <w:sz w:val="21"/>
                <w:szCs w:val="21"/>
                <w:lang w:eastAsia="zh-CN"/>
              </w:rPr>
              <w:t>：</w:t>
            </w:r>
          </w:p>
          <w:p w14:paraId="5ED7E8AC">
            <w:pPr>
              <w:pStyle w:val="8"/>
              <w:keepNext w:val="0"/>
              <w:keepLines w:val="0"/>
              <w:widowControl/>
              <w:suppressLineNumbers w:val="0"/>
              <w:spacing w:before="0" w:beforeAutospacing="0" w:after="0" w:afterAutospacing="0"/>
              <w:ind w:left="0" w:right="0" w:firstLine="420"/>
              <w:jc w:val="both"/>
              <w:rPr>
                <w:rFonts w:hint="eastAsia" w:ascii="宋体" w:hAnsi="宋体" w:eastAsia="宋体" w:cs="宋体"/>
                <w:sz w:val="21"/>
                <w:szCs w:val="21"/>
              </w:rPr>
            </w:pPr>
            <w:r>
              <w:rPr>
                <w:rFonts w:hint="eastAsia" w:cs="宋体"/>
                <w:sz w:val="21"/>
                <w:szCs w:val="21"/>
                <w:lang w:eastAsia="zh-CN"/>
              </w:rPr>
              <w:t>（</w:t>
            </w:r>
            <w:r>
              <w:rPr>
                <w:rFonts w:hint="eastAsia" w:ascii="宋体" w:hAnsi="宋体" w:eastAsia="宋体" w:cs="宋体"/>
                <w:sz w:val="21"/>
                <w:szCs w:val="21"/>
              </w:rPr>
              <w:t>一</w:t>
            </w:r>
            <w:r>
              <w:rPr>
                <w:rFonts w:hint="eastAsia" w:cs="宋体"/>
                <w:sz w:val="21"/>
                <w:szCs w:val="21"/>
                <w:lang w:eastAsia="zh-CN"/>
              </w:rPr>
              <w:t>）</w:t>
            </w:r>
            <w:r>
              <w:rPr>
                <w:rFonts w:hint="eastAsia" w:ascii="宋体" w:hAnsi="宋体" w:eastAsia="宋体" w:cs="宋体"/>
                <w:sz w:val="21"/>
                <w:szCs w:val="21"/>
              </w:rPr>
              <w:t>开展与公共文化设施功能、用途不符的服务活动的</w:t>
            </w:r>
            <w:r>
              <w:rPr>
                <w:rFonts w:hint="eastAsia" w:cs="宋体"/>
                <w:sz w:val="21"/>
                <w:szCs w:val="21"/>
                <w:lang w:eastAsia="zh-CN"/>
              </w:rPr>
              <w:t>；</w:t>
            </w:r>
          </w:p>
          <w:p w14:paraId="5A7994D3">
            <w:pPr>
              <w:pStyle w:val="8"/>
              <w:keepNext w:val="0"/>
              <w:keepLines w:val="0"/>
              <w:widowControl/>
              <w:suppressLineNumbers w:val="0"/>
              <w:spacing w:before="0" w:beforeAutospacing="0" w:after="0" w:afterAutospacing="0"/>
              <w:ind w:left="0" w:right="0"/>
              <w:jc w:val="both"/>
              <w:rPr>
                <w:rFonts w:hint="eastAsia" w:ascii="宋体" w:hAnsi="宋体" w:eastAsia="宋体" w:cs="宋体"/>
                <w:sz w:val="21"/>
                <w:szCs w:val="21"/>
              </w:rPr>
            </w:pPr>
            <w:r>
              <w:rPr>
                <w:rFonts w:hint="eastAsia" w:ascii="宋体" w:hAnsi="宋体" w:eastAsia="宋体" w:cs="宋体"/>
                <w:sz w:val="21"/>
                <w:szCs w:val="21"/>
              </w:rPr>
              <w:t>  </w:t>
            </w:r>
            <w:r>
              <w:rPr>
                <w:rFonts w:hint="eastAsia" w:cs="宋体"/>
                <w:sz w:val="21"/>
                <w:szCs w:val="21"/>
                <w:lang w:eastAsia="zh-CN"/>
              </w:rPr>
              <w:t>（</w:t>
            </w:r>
            <w:r>
              <w:rPr>
                <w:rFonts w:hint="eastAsia" w:ascii="宋体" w:hAnsi="宋体" w:eastAsia="宋体" w:cs="宋体"/>
                <w:sz w:val="21"/>
                <w:szCs w:val="21"/>
              </w:rPr>
              <w:t>二</w:t>
            </w:r>
            <w:r>
              <w:rPr>
                <w:rFonts w:hint="eastAsia" w:cs="宋体"/>
                <w:sz w:val="21"/>
                <w:szCs w:val="21"/>
                <w:lang w:eastAsia="zh-CN"/>
              </w:rPr>
              <w:t>）</w:t>
            </w:r>
            <w:r>
              <w:rPr>
                <w:rFonts w:hint="eastAsia" w:ascii="宋体" w:hAnsi="宋体" w:eastAsia="宋体" w:cs="宋体"/>
                <w:sz w:val="21"/>
                <w:szCs w:val="21"/>
              </w:rPr>
              <w:t>对应当免费开放的公共文化设施收费或者变相收费的</w:t>
            </w:r>
            <w:r>
              <w:rPr>
                <w:rFonts w:hint="eastAsia" w:cs="宋体"/>
                <w:sz w:val="21"/>
                <w:szCs w:val="21"/>
                <w:lang w:eastAsia="zh-CN"/>
              </w:rPr>
              <w:t>；</w:t>
            </w:r>
          </w:p>
          <w:p w14:paraId="1E2EF4D2">
            <w:pPr>
              <w:pStyle w:val="8"/>
              <w:keepNext w:val="0"/>
              <w:keepLines w:val="0"/>
              <w:widowControl/>
              <w:suppressLineNumbers w:val="0"/>
              <w:spacing w:before="0" w:beforeAutospacing="0" w:after="0" w:afterAutospacing="0"/>
              <w:ind w:left="0" w:right="0" w:firstLine="420"/>
              <w:jc w:val="both"/>
              <w:rPr>
                <w:rFonts w:hint="eastAsia" w:ascii="宋体" w:hAnsi="宋体" w:eastAsia="宋体" w:cs="宋体"/>
                <w:b/>
                <w:bCs/>
                <w:sz w:val="21"/>
                <w:szCs w:val="21"/>
                <w:vertAlign w:val="baseline"/>
              </w:rPr>
            </w:pPr>
            <w:r>
              <w:rPr>
                <w:rFonts w:hint="eastAsia" w:cs="宋体"/>
                <w:sz w:val="21"/>
                <w:szCs w:val="21"/>
                <w:lang w:eastAsia="zh-CN"/>
              </w:rPr>
              <w:t>（</w:t>
            </w:r>
            <w:r>
              <w:rPr>
                <w:rFonts w:hint="eastAsia" w:ascii="宋体" w:hAnsi="宋体" w:eastAsia="宋体" w:cs="宋体"/>
                <w:sz w:val="21"/>
                <w:szCs w:val="21"/>
              </w:rPr>
              <w:t>三</w:t>
            </w:r>
            <w:r>
              <w:rPr>
                <w:rFonts w:hint="eastAsia" w:cs="宋体"/>
                <w:sz w:val="21"/>
                <w:szCs w:val="21"/>
                <w:lang w:eastAsia="zh-CN"/>
              </w:rPr>
              <w:t>）</w:t>
            </w:r>
            <w:r>
              <w:rPr>
                <w:rFonts w:hint="eastAsia" w:ascii="宋体" w:hAnsi="宋体" w:eastAsia="宋体" w:cs="宋体"/>
                <w:sz w:val="21"/>
                <w:szCs w:val="21"/>
              </w:rPr>
              <w:t>收取费用未用于公共文化设施的维护、管理和事业发展，挪作他用的。</w:t>
            </w:r>
          </w:p>
        </w:tc>
      </w:tr>
      <w:tr w14:paraId="0524C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1" w:type="dxa"/>
            <w:vMerge w:val="continue"/>
            <w:noWrap w:val="0"/>
            <w:vAlign w:val="center"/>
          </w:tcPr>
          <w:p w14:paraId="3DEC0694">
            <w:pPr>
              <w:jc w:val="both"/>
              <w:rPr>
                <w:rFonts w:hint="eastAsia" w:ascii="宋体" w:hAnsi="宋体" w:eastAsia="宋体" w:cs="宋体"/>
                <w:b/>
                <w:bCs/>
                <w:sz w:val="21"/>
                <w:szCs w:val="21"/>
                <w:vertAlign w:val="baseline"/>
              </w:rPr>
            </w:pPr>
          </w:p>
        </w:tc>
        <w:tc>
          <w:tcPr>
            <w:tcW w:w="2044" w:type="dxa"/>
            <w:vMerge w:val="continue"/>
            <w:noWrap w:val="0"/>
            <w:vAlign w:val="center"/>
          </w:tcPr>
          <w:p w14:paraId="09B64B79">
            <w:pPr>
              <w:jc w:val="both"/>
              <w:rPr>
                <w:rFonts w:hint="eastAsia" w:ascii="宋体" w:hAnsi="宋体" w:eastAsia="宋体" w:cs="宋体"/>
                <w:b/>
                <w:bCs/>
                <w:sz w:val="21"/>
                <w:szCs w:val="21"/>
                <w:vertAlign w:val="baseline"/>
              </w:rPr>
            </w:pPr>
          </w:p>
        </w:tc>
        <w:tc>
          <w:tcPr>
            <w:tcW w:w="2681" w:type="dxa"/>
            <w:vMerge w:val="continue"/>
            <w:noWrap w:val="0"/>
            <w:vAlign w:val="center"/>
          </w:tcPr>
          <w:p w14:paraId="677E6044">
            <w:pPr>
              <w:jc w:val="both"/>
              <w:rPr>
                <w:rFonts w:hint="eastAsia" w:ascii="宋体" w:hAnsi="宋体" w:eastAsia="宋体" w:cs="宋体"/>
                <w:b/>
                <w:bCs/>
                <w:sz w:val="21"/>
                <w:szCs w:val="21"/>
                <w:vertAlign w:val="baseline"/>
              </w:rPr>
            </w:pPr>
          </w:p>
        </w:tc>
        <w:tc>
          <w:tcPr>
            <w:tcW w:w="8540" w:type="dxa"/>
            <w:noWrap w:val="0"/>
            <w:vAlign w:val="top"/>
          </w:tcPr>
          <w:p w14:paraId="75541F90">
            <w:pPr>
              <w:pStyle w:val="8"/>
              <w:keepNext w:val="0"/>
              <w:keepLines w:val="0"/>
              <w:widowControl/>
              <w:suppressLineNumbers w:val="0"/>
              <w:spacing w:before="0" w:beforeAutospacing="0" w:after="0" w:afterAutospacing="0"/>
              <w:ind w:left="0" w:right="0"/>
              <w:jc w:val="both"/>
              <w:rPr>
                <w:rFonts w:hint="eastAsia" w:ascii="宋体" w:hAnsi="宋体" w:eastAsia="宋体" w:cs="宋体"/>
                <w:sz w:val="21"/>
                <w:szCs w:val="21"/>
              </w:rPr>
            </w:pPr>
            <w:r>
              <w:rPr>
                <w:rFonts w:hint="eastAsia" w:ascii="宋体" w:hAnsi="宋体" w:eastAsia="宋体" w:cs="宋体"/>
                <w:b/>
                <w:sz w:val="21"/>
                <w:szCs w:val="21"/>
              </w:rPr>
              <w:t>《公共文化体育设施条例》</w:t>
            </w:r>
          </w:p>
          <w:p w14:paraId="43A32002">
            <w:pPr>
              <w:pStyle w:val="8"/>
              <w:keepNext w:val="0"/>
              <w:keepLines w:val="0"/>
              <w:widowControl/>
              <w:suppressLineNumbers w:val="0"/>
              <w:spacing w:before="0" w:beforeAutospacing="0" w:after="0" w:afterAutospacing="0"/>
              <w:ind w:left="0" w:right="0"/>
              <w:jc w:val="both"/>
              <w:rPr>
                <w:rFonts w:hint="eastAsia" w:ascii="宋体" w:hAnsi="宋体" w:eastAsia="宋体" w:cs="宋体"/>
                <w:sz w:val="21"/>
                <w:szCs w:val="21"/>
              </w:rPr>
            </w:pPr>
            <w:r>
              <w:rPr>
                <w:rFonts w:hint="eastAsia" w:ascii="宋体" w:hAnsi="宋体" w:eastAsia="宋体" w:cs="宋体"/>
                <w:color w:val="000000"/>
                <w:sz w:val="21"/>
                <w:szCs w:val="21"/>
              </w:rPr>
              <w:t>第三十一条　公共文化体育设施管理单位，有下列行为之一的，由文化行政主管部门、体育行政主管部门依据各自职责责令限期改正，没收违法所得，违法所得5000元以上的，并处违法所得2倍以上5倍以下的罚款；没有违法所得或者违法所得5000元以下的，可以处１万元以下的罚款；对负有责任的主管人员和其他直接责任人员，依法给予行政处分：　　</w:t>
            </w:r>
          </w:p>
          <w:p w14:paraId="061AA8D1">
            <w:pPr>
              <w:pStyle w:val="8"/>
              <w:keepNext w:val="0"/>
              <w:keepLines w:val="0"/>
              <w:widowControl/>
              <w:suppressLineNumbers w:val="0"/>
              <w:spacing w:before="0" w:beforeAutospacing="0" w:after="0" w:afterAutospacing="0"/>
              <w:ind w:left="0" w:right="0"/>
              <w:jc w:val="both"/>
              <w:rPr>
                <w:rFonts w:hint="eastAsia" w:ascii="宋体" w:hAnsi="宋体" w:eastAsia="宋体" w:cs="宋体"/>
                <w:sz w:val="21"/>
                <w:szCs w:val="21"/>
              </w:rPr>
            </w:pPr>
            <w:r>
              <w:rPr>
                <w:rFonts w:hint="eastAsia" w:ascii="宋体" w:hAnsi="宋体" w:eastAsia="宋体" w:cs="宋体"/>
                <w:color w:val="000000"/>
                <w:sz w:val="21"/>
                <w:szCs w:val="21"/>
              </w:rPr>
              <w:t>　（一）开展与公共文化体育设施功能、用途不相适应的服务活动的； 　　</w:t>
            </w:r>
          </w:p>
          <w:p w14:paraId="2BC5A3E9">
            <w:pPr>
              <w:pStyle w:val="8"/>
              <w:keepNext w:val="0"/>
              <w:keepLines w:val="0"/>
              <w:widowControl/>
              <w:suppressLineNumbers w:val="0"/>
              <w:spacing w:before="0" w:beforeAutospacing="0" w:after="0" w:afterAutospacing="0"/>
              <w:ind w:left="0" w:right="0"/>
              <w:jc w:val="both"/>
              <w:rPr>
                <w:rFonts w:hint="eastAsia" w:ascii="宋体" w:hAnsi="宋体" w:eastAsia="宋体" w:cs="宋体"/>
                <w:b/>
                <w:bCs/>
                <w:sz w:val="21"/>
                <w:szCs w:val="21"/>
                <w:vertAlign w:val="baseline"/>
              </w:rPr>
            </w:pPr>
            <w:r>
              <w:rPr>
                <w:rFonts w:hint="eastAsia" w:ascii="宋体" w:hAnsi="宋体" w:eastAsia="宋体" w:cs="宋体"/>
                <w:color w:val="000000"/>
                <w:sz w:val="21"/>
                <w:szCs w:val="21"/>
              </w:rPr>
              <w:t>　（二）违反本条例规定出租公共文化体育设施的。</w:t>
            </w:r>
          </w:p>
        </w:tc>
      </w:tr>
      <w:tr w14:paraId="1E121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1" w:type="dxa"/>
            <w:vMerge w:val="continue"/>
            <w:noWrap w:val="0"/>
            <w:vAlign w:val="center"/>
          </w:tcPr>
          <w:p w14:paraId="757E370A">
            <w:pPr>
              <w:jc w:val="both"/>
              <w:rPr>
                <w:rFonts w:hint="eastAsia" w:ascii="宋体" w:hAnsi="宋体" w:eastAsia="宋体" w:cs="宋体"/>
                <w:b/>
                <w:bCs/>
                <w:sz w:val="21"/>
                <w:szCs w:val="21"/>
                <w:vertAlign w:val="baseline"/>
              </w:rPr>
            </w:pPr>
          </w:p>
        </w:tc>
        <w:tc>
          <w:tcPr>
            <w:tcW w:w="2044" w:type="dxa"/>
            <w:vMerge w:val="continue"/>
            <w:noWrap w:val="0"/>
            <w:vAlign w:val="center"/>
          </w:tcPr>
          <w:p w14:paraId="60DCA306">
            <w:pPr>
              <w:jc w:val="both"/>
              <w:rPr>
                <w:rFonts w:hint="eastAsia" w:ascii="宋体" w:hAnsi="宋体" w:eastAsia="宋体" w:cs="宋体"/>
                <w:b/>
                <w:bCs/>
                <w:sz w:val="21"/>
                <w:szCs w:val="21"/>
                <w:vertAlign w:val="baseline"/>
              </w:rPr>
            </w:pPr>
          </w:p>
        </w:tc>
        <w:tc>
          <w:tcPr>
            <w:tcW w:w="2681" w:type="dxa"/>
            <w:vMerge w:val="continue"/>
            <w:noWrap w:val="0"/>
            <w:vAlign w:val="center"/>
          </w:tcPr>
          <w:p w14:paraId="09AFD938">
            <w:pPr>
              <w:jc w:val="both"/>
              <w:rPr>
                <w:rFonts w:hint="eastAsia" w:ascii="宋体" w:hAnsi="宋体" w:eastAsia="宋体" w:cs="宋体"/>
                <w:b/>
                <w:bCs/>
                <w:sz w:val="21"/>
                <w:szCs w:val="21"/>
                <w:vertAlign w:val="baseline"/>
              </w:rPr>
            </w:pPr>
          </w:p>
        </w:tc>
        <w:tc>
          <w:tcPr>
            <w:tcW w:w="8540" w:type="dxa"/>
            <w:noWrap w:val="0"/>
            <w:vAlign w:val="top"/>
          </w:tcPr>
          <w:p w14:paraId="2B5A0499">
            <w:pPr>
              <w:pStyle w:val="8"/>
              <w:keepNext w:val="0"/>
              <w:keepLines w:val="0"/>
              <w:widowControl/>
              <w:suppressLineNumbers w:val="0"/>
              <w:spacing w:before="0" w:beforeAutospacing="0" w:after="0" w:afterAutospacing="0"/>
              <w:ind w:left="0" w:right="0"/>
              <w:jc w:val="both"/>
              <w:rPr>
                <w:rFonts w:hint="eastAsia" w:ascii="宋体" w:hAnsi="宋体" w:eastAsia="宋体" w:cs="宋体"/>
                <w:sz w:val="21"/>
                <w:szCs w:val="21"/>
                <w:lang w:eastAsia="zh-CN"/>
              </w:rPr>
            </w:pPr>
            <w:r>
              <w:rPr>
                <w:rFonts w:hint="eastAsia" w:cs="宋体"/>
                <w:b/>
                <w:sz w:val="21"/>
                <w:szCs w:val="21"/>
                <w:lang w:eastAsia="zh-CN"/>
              </w:rPr>
              <w:t>《中华人民共和国行政处罚法》</w:t>
            </w:r>
          </w:p>
          <w:p w14:paraId="6C6C1905">
            <w:pPr>
              <w:pStyle w:val="8"/>
              <w:keepNext w:val="0"/>
              <w:keepLines w:val="0"/>
              <w:widowControl/>
              <w:suppressLineNumbers w:val="0"/>
              <w:spacing w:before="0" w:beforeAutospacing="0" w:after="0" w:afterAutospacing="0"/>
              <w:ind w:left="0" w:right="0"/>
              <w:jc w:val="both"/>
              <w:rPr>
                <w:rFonts w:hint="eastAsia" w:ascii="宋体" w:hAnsi="宋体" w:eastAsia="宋体" w:cs="宋体"/>
                <w:sz w:val="21"/>
                <w:szCs w:val="21"/>
              </w:rPr>
            </w:pPr>
            <w:r>
              <w:rPr>
                <w:rFonts w:hint="eastAsia" w:ascii="宋体" w:hAnsi="宋体" w:eastAsia="宋体" w:cs="宋体"/>
                <w:sz w:val="21"/>
                <w:szCs w:val="21"/>
              </w:rPr>
              <w:t>第二十七条第二款　违法行为轻微并及时纠正，没有造成危害后果的，不予行政处罚。</w:t>
            </w:r>
          </w:p>
          <w:p w14:paraId="50E92D40">
            <w:pPr>
              <w:pStyle w:val="8"/>
              <w:keepNext w:val="0"/>
              <w:keepLines w:val="0"/>
              <w:widowControl/>
              <w:suppressLineNumbers w:val="0"/>
              <w:spacing w:before="0" w:beforeAutospacing="0" w:after="0" w:afterAutospacing="0"/>
              <w:ind w:left="0" w:right="0"/>
              <w:jc w:val="both"/>
              <w:rPr>
                <w:rFonts w:hint="eastAsia" w:ascii="宋体" w:hAnsi="宋体" w:eastAsia="宋体" w:cs="宋体"/>
                <w:b/>
                <w:bCs/>
                <w:sz w:val="21"/>
                <w:szCs w:val="21"/>
                <w:vertAlign w:val="baseline"/>
              </w:rPr>
            </w:pPr>
            <w:r>
              <w:rPr>
                <w:rFonts w:hint="eastAsia" w:ascii="宋体" w:hAnsi="宋体" w:eastAsia="宋体" w:cs="宋体"/>
                <w:sz w:val="21"/>
                <w:szCs w:val="21"/>
              </w:rPr>
              <w:t>第三十八条第一款　调查终结，行政机关负责人应当对调查结果进行审查，根据不同情况，分别作出如下决定：（二）违法行为轻微，依法可以不予行政处罚的，不予行政处罚；</w:t>
            </w:r>
          </w:p>
        </w:tc>
      </w:tr>
    </w:tbl>
    <w:p w14:paraId="440ACDA7">
      <w:pPr>
        <w:widowControl/>
        <w:numPr>
          <w:ilvl w:val="0"/>
          <w:numId w:val="0"/>
        </w:numPr>
        <w:textAlignment w:val="center"/>
        <w:rPr>
          <w:rFonts w:hint="eastAsia" w:ascii="黑体" w:hAnsi="黑体" w:eastAsia="黑体" w:cs="黑体"/>
          <w:spacing w:val="-11"/>
          <w:kern w:val="0"/>
          <w:sz w:val="32"/>
          <w:szCs w:val="32"/>
          <w:highlight w:val="none"/>
          <w:lang w:bidi="ar"/>
        </w:rPr>
      </w:pPr>
    </w:p>
    <w:p w14:paraId="41918F7A">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公安</w:t>
      </w:r>
      <w:r>
        <w:rPr>
          <w:rFonts w:hint="eastAsia" w:ascii="黑体" w:hAnsi="黑体" w:eastAsia="黑体" w:cs="黑体"/>
          <w:spacing w:val="-11"/>
          <w:kern w:val="0"/>
          <w:sz w:val="32"/>
          <w:szCs w:val="32"/>
          <w:highlight w:val="none"/>
          <w:lang w:bidi="ar"/>
        </w:rPr>
        <w:t>领域轻微违法行为不予处罚清单</w:t>
      </w:r>
    </w:p>
    <w:tbl>
      <w:tblPr>
        <w:tblStyle w:val="10"/>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59"/>
        <w:gridCol w:w="1417"/>
        <w:gridCol w:w="1985"/>
        <w:gridCol w:w="9639"/>
      </w:tblGrid>
      <w:tr w14:paraId="0C9E308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56EC028E">
            <w:pPr>
              <w:spacing w:after="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1417" w:type="dxa"/>
          </w:tcPr>
          <w:p w14:paraId="4E1BD7B8">
            <w:pPr>
              <w:spacing w:after="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违法行为</w:t>
            </w:r>
          </w:p>
        </w:tc>
        <w:tc>
          <w:tcPr>
            <w:tcW w:w="1985" w:type="dxa"/>
          </w:tcPr>
          <w:p w14:paraId="365C3CFA">
            <w:pPr>
              <w:spacing w:after="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不予处罚条件</w:t>
            </w:r>
          </w:p>
        </w:tc>
        <w:tc>
          <w:tcPr>
            <w:tcW w:w="9639" w:type="dxa"/>
          </w:tcPr>
          <w:p w14:paraId="30385A79">
            <w:pPr>
              <w:spacing w:after="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法律依据</w:t>
            </w:r>
          </w:p>
        </w:tc>
      </w:tr>
      <w:tr w14:paraId="231A844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restart"/>
          </w:tcPr>
          <w:p w14:paraId="4FA82314">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417" w:type="dxa"/>
            <w:vMerge w:val="restart"/>
          </w:tcPr>
          <w:p w14:paraId="6F6A1FDA">
            <w:pPr>
              <w:spacing w:after="0"/>
              <w:jc w:val="left"/>
              <w:rPr>
                <w:rFonts w:hint="eastAsia" w:ascii="宋体" w:hAnsi="宋体" w:eastAsia="宋体" w:cs="宋体"/>
                <w:color w:val="auto"/>
                <w:sz w:val="21"/>
                <w:szCs w:val="21"/>
              </w:rPr>
            </w:pPr>
            <w:r>
              <w:rPr>
                <w:rFonts w:hint="eastAsia" w:ascii="宋体" w:hAnsi="宋体" w:eastAsia="宋体" w:cs="宋体"/>
                <w:color w:val="auto"/>
                <w:kern w:val="36"/>
                <w:sz w:val="21"/>
                <w:szCs w:val="21"/>
              </w:rPr>
              <w:t>未按照规定喷涂放大的牌号或者放大的牌号不清晰</w:t>
            </w:r>
          </w:p>
        </w:tc>
        <w:tc>
          <w:tcPr>
            <w:tcW w:w="1985" w:type="dxa"/>
            <w:vMerge w:val="restart"/>
          </w:tcPr>
          <w:p w14:paraId="7D00F320">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初次违法且危害后果轻微并及时改正的</w:t>
            </w:r>
          </w:p>
        </w:tc>
        <w:tc>
          <w:tcPr>
            <w:tcW w:w="9639" w:type="dxa"/>
          </w:tcPr>
          <w:p w14:paraId="1FB84315">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《中华人民共和国道路交通安全法实施条例》第十三条 第一款： 机动车号牌应当悬挂在车前、车后指定位置，保持清晰、完整。重型、中型载货汽车及其挂车、拖拉机及其挂车的车身或者车厢后部应当喷涂放大的牌号，字样应当端正并保持清晰。</w:t>
            </w:r>
          </w:p>
        </w:tc>
      </w:tr>
      <w:tr w14:paraId="3E81079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Pr>
          <w:p w14:paraId="2F4C7D80">
            <w:pPr>
              <w:spacing w:after="0"/>
              <w:jc w:val="left"/>
              <w:rPr>
                <w:rFonts w:hint="eastAsia" w:ascii="宋体" w:hAnsi="宋体" w:eastAsia="宋体" w:cs="宋体"/>
                <w:color w:val="auto"/>
                <w:sz w:val="21"/>
                <w:szCs w:val="21"/>
              </w:rPr>
            </w:pPr>
          </w:p>
        </w:tc>
        <w:tc>
          <w:tcPr>
            <w:tcW w:w="1417" w:type="dxa"/>
            <w:vMerge w:val="continue"/>
          </w:tcPr>
          <w:p w14:paraId="741A8705">
            <w:pPr>
              <w:spacing w:after="0"/>
              <w:jc w:val="left"/>
              <w:rPr>
                <w:rFonts w:hint="eastAsia" w:ascii="宋体" w:hAnsi="宋体" w:eastAsia="宋体" w:cs="宋体"/>
                <w:color w:val="auto"/>
                <w:sz w:val="21"/>
                <w:szCs w:val="21"/>
              </w:rPr>
            </w:pPr>
          </w:p>
        </w:tc>
        <w:tc>
          <w:tcPr>
            <w:tcW w:w="1985" w:type="dxa"/>
            <w:vMerge w:val="continue"/>
          </w:tcPr>
          <w:p w14:paraId="24C8154D">
            <w:pPr>
              <w:spacing w:after="0"/>
              <w:jc w:val="left"/>
              <w:rPr>
                <w:rFonts w:hint="eastAsia" w:ascii="宋体" w:hAnsi="宋体" w:eastAsia="宋体" w:cs="宋体"/>
                <w:color w:val="auto"/>
                <w:sz w:val="21"/>
                <w:szCs w:val="21"/>
              </w:rPr>
            </w:pPr>
          </w:p>
        </w:tc>
        <w:tc>
          <w:tcPr>
            <w:tcW w:w="9639" w:type="dxa"/>
          </w:tcPr>
          <w:p w14:paraId="03A845E1">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《中华人民共和国道路交通安全法》第九十条： 机动车驾驶人违反道路交通安全法律、法规关于道路通行规定的，处警告或者二十元以上二百元以下罚款。本法另有规定的，依照规定处罚。</w:t>
            </w:r>
          </w:p>
        </w:tc>
      </w:tr>
      <w:tr w14:paraId="6FB3E70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tcPr>
          <w:p w14:paraId="3B349372">
            <w:pPr>
              <w:spacing w:after="0"/>
              <w:jc w:val="left"/>
              <w:rPr>
                <w:rFonts w:hint="eastAsia" w:ascii="宋体" w:hAnsi="宋体" w:eastAsia="宋体" w:cs="宋体"/>
                <w:color w:val="auto"/>
                <w:sz w:val="21"/>
                <w:szCs w:val="21"/>
              </w:rPr>
            </w:pPr>
          </w:p>
        </w:tc>
        <w:tc>
          <w:tcPr>
            <w:tcW w:w="1417" w:type="dxa"/>
            <w:vMerge w:val="continue"/>
          </w:tcPr>
          <w:p w14:paraId="5C2861B3">
            <w:pPr>
              <w:spacing w:after="0"/>
              <w:jc w:val="left"/>
              <w:rPr>
                <w:rFonts w:hint="eastAsia" w:ascii="宋体" w:hAnsi="宋体" w:eastAsia="宋体" w:cs="宋体"/>
                <w:color w:val="auto"/>
                <w:sz w:val="21"/>
                <w:szCs w:val="21"/>
              </w:rPr>
            </w:pPr>
          </w:p>
        </w:tc>
        <w:tc>
          <w:tcPr>
            <w:tcW w:w="1985" w:type="dxa"/>
            <w:vMerge w:val="continue"/>
          </w:tcPr>
          <w:p w14:paraId="18E1E88A">
            <w:pPr>
              <w:spacing w:after="0"/>
              <w:jc w:val="left"/>
              <w:rPr>
                <w:rFonts w:hint="eastAsia" w:ascii="宋体" w:hAnsi="宋体" w:eastAsia="宋体" w:cs="宋体"/>
                <w:color w:val="auto"/>
                <w:sz w:val="21"/>
                <w:szCs w:val="21"/>
              </w:rPr>
            </w:pPr>
          </w:p>
        </w:tc>
        <w:tc>
          <w:tcPr>
            <w:tcW w:w="9639" w:type="dxa"/>
          </w:tcPr>
          <w:p w14:paraId="676330F5">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r w14:paraId="31977E9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restart"/>
          </w:tcPr>
          <w:p w14:paraId="53DF80ED">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417" w:type="dxa"/>
            <w:vMerge w:val="restart"/>
          </w:tcPr>
          <w:p w14:paraId="008B7185">
            <w:pPr>
              <w:spacing w:after="0"/>
              <w:jc w:val="left"/>
              <w:rPr>
                <w:rFonts w:hint="eastAsia" w:ascii="宋体" w:hAnsi="宋体" w:eastAsia="宋体" w:cs="宋体"/>
                <w:color w:val="auto"/>
                <w:sz w:val="21"/>
                <w:szCs w:val="21"/>
              </w:rPr>
            </w:pPr>
            <w:r>
              <w:rPr>
                <w:rFonts w:hint="eastAsia" w:ascii="宋体" w:hAnsi="宋体" w:eastAsia="宋体" w:cs="宋体"/>
                <w:b w:val="0"/>
                <w:bCs/>
                <w:color w:val="auto"/>
                <w:sz w:val="21"/>
                <w:szCs w:val="21"/>
              </w:rPr>
              <w:t>机动车喷涂、粘贴标识或者车身广告影响安全驾驶</w:t>
            </w:r>
          </w:p>
        </w:tc>
        <w:tc>
          <w:tcPr>
            <w:tcW w:w="1985" w:type="dxa"/>
            <w:vMerge w:val="restart"/>
          </w:tcPr>
          <w:p w14:paraId="10D8B6E2">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初次违法且危害后果轻微并及时改正的</w:t>
            </w:r>
          </w:p>
          <w:p w14:paraId="4319B5AF">
            <w:pPr>
              <w:spacing w:after="0"/>
              <w:jc w:val="left"/>
              <w:rPr>
                <w:rFonts w:hint="eastAsia" w:ascii="宋体" w:hAnsi="宋体" w:eastAsia="宋体" w:cs="宋体"/>
                <w:color w:val="auto"/>
                <w:sz w:val="21"/>
                <w:szCs w:val="21"/>
              </w:rPr>
            </w:pPr>
          </w:p>
          <w:p w14:paraId="344D30B1">
            <w:pPr>
              <w:spacing w:after="0"/>
              <w:jc w:val="left"/>
              <w:rPr>
                <w:rFonts w:hint="eastAsia" w:ascii="宋体" w:hAnsi="宋体" w:eastAsia="宋体" w:cs="宋体"/>
                <w:color w:val="auto"/>
                <w:sz w:val="21"/>
                <w:szCs w:val="21"/>
              </w:rPr>
            </w:pPr>
          </w:p>
          <w:p w14:paraId="034DD726">
            <w:pPr>
              <w:spacing w:after="0"/>
              <w:jc w:val="left"/>
              <w:rPr>
                <w:rFonts w:hint="eastAsia" w:ascii="宋体" w:hAnsi="宋体" w:eastAsia="宋体" w:cs="宋体"/>
                <w:color w:val="auto"/>
                <w:sz w:val="21"/>
                <w:szCs w:val="21"/>
              </w:rPr>
            </w:pPr>
          </w:p>
          <w:p w14:paraId="57DA1305">
            <w:pPr>
              <w:spacing w:after="0"/>
              <w:jc w:val="left"/>
              <w:rPr>
                <w:rFonts w:hint="eastAsia" w:ascii="宋体" w:hAnsi="宋体" w:eastAsia="宋体" w:cs="宋体"/>
                <w:color w:val="auto"/>
                <w:sz w:val="21"/>
                <w:szCs w:val="21"/>
              </w:rPr>
            </w:pPr>
          </w:p>
          <w:p w14:paraId="2B356F24">
            <w:pPr>
              <w:spacing w:after="0"/>
              <w:jc w:val="left"/>
              <w:rPr>
                <w:rFonts w:hint="eastAsia" w:ascii="宋体" w:hAnsi="宋体" w:eastAsia="宋体" w:cs="宋体"/>
                <w:color w:val="auto"/>
                <w:sz w:val="21"/>
                <w:szCs w:val="21"/>
              </w:rPr>
            </w:pPr>
          </w:p>
        </w:tc>
        <w:tc>
          <w:tcPr>
            <w:tcW w:w="9639" w:type="dxa"/>
          </w:tcPr>
          <w:p w14:paraId="79BC3FA2">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shd w:val="clear" w:color="auto" w:fill="FFFFFF"/>
              </w:rPr>
              <w:t>《机动车登记规定》第五十六条第二项： 有下列情形之一的，由公安机关交通管理部门处警告或者二百元以下罚款：（二）机动车喷涂、粘贴标识或者车身广告，影响安全驾驶的</w:t>
            </w:r>
          </w:p>
        </w:tc>
      </w:tr>
      <w:tr w14:paraId="7CCA58F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00D31403">
            <w:pPr>
              <w:spacing w:after="0"/>
              <w:jc w:val="left"/>
              <w:rPr>
                <w:rFonts w:hint="eastAsia" w:ascii="宋体" w:hAnsi="宋体" w:eastAsia="宋体" w:cs="宋体"/>
                <w:color w:val="auto"/>
                <w:sz w:val="21"/>
                <w:szCs w:val="21"/>
              </w:rPr>
            </w:pPr>
          </w:p>
        </w:tc>
        <w:tc>
          <w:tcPr>
            <w:tcW w:w="1417" w:type="dxa"/>
            <w:vMerge w:val="continue"/>
          </w:tcPr>
          <w:p w14:paraId="1A940F4A">
            <w:pPr>
              <w:spacing w:after="0"/>
              <w:jc w:val="left"/>
              <w:rPr>
                <w:rFonts w:hint="eastAsia" w:ascii="宋体" w:hAnsi="宋体" w:eastAsia="宋体" w:cs="宋体"/>
                <w:color w:val="auto"/>
                <w:sz w:val="21"/>
                <w:szCs w:val="21"/>
              </w:rPr>
            </w:pPr>
          </w:p>
        </w:tc>
        <w:tc>
          <w:tcPr>
            <w:tcW w:w="1985" w:type="dxa"/>
            <w:vMerge w:val="continue"/>
          </w:tcPr>
          <w:p w14:paraId="58F920EA">
            <w:pPr>
              <w:spacing w:after="0"/>
              <w:jc w:val="left"/>
              <w:rPr>
                <w:rFonts w:hint="eastAsia" w:ascii="宋体" w:hAnsi="宋体" w:eastAsia="宋体" w:cs="宋体"/>
                <w:color w:val="auto"/>
                <w:sz w:val="21"/>
                <w:szCs w:val="21"/>
              </w:rPr>
            </w:pPr>
          </w:p>
        </w:tc>
        <w:tc>
          <w:tcPr>
            <w:tcW w:w="9639" w:type="dxa"/>
          </w:tcPr>
          <w:p w14:paraId="323E0477">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《中华人民共和国道路交通安全法》第九十条： 机动车驾驶人违反道路交通安全法律、法规关于道路通行规定的，处警告或者二十元以上二百元以下罚款。本法另有规定的，依照规定处罚。</w:t>
            </w:r>
          </w:p>
        </w:tc>
      </w:tr>
      <w:tr w14:paraId="402083D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762C2B1B">
            <w:pPr>
              <w:spacing w:after="0"/>
              <w:jc w:val="left"/>
              <w:rPr>
                <w:rFonts w:hint="eastAsia" w:ascii="宋体" w:hAnsi="宋体" w:eastAsia="宋体" w:cs="宋体"/>
                <w:color w:val="auto"/>
                <w:sz w:val="21"/>
                <w:szCs w:val="21"/>
              </w:rPr>
            </w:pPr>
          </w:p>
        </w:tc>
        <w:tc>
          <w:tcPr>
            <w:tcW w:w="1417" w:type="dxa"/>
            <w:vMerge w:val="continue"/>
          </w:tcPr>
          <w:p w14:paraId="630524E0">
            <w:pPr>
              <w:spacing w:after="0"/>
              <w:jc w:val="left"/>
              <w:rPr>
                <w:rFonts w:hint="eastAsia" w:ascii="宋体" w:hAnsi="宋体" w:eastAsia="宋体" w:cs="宋体"/>
                <w:color w:val="auto"/>
                <w:sz w:val="21"/>
                <w:szCs w:val="21"/>
              </w:rPr>
            </w:pPr>
          </w:p>
        </w:tc>
        <w:tc>
          <w:tcPr>
            <w:tcW w:w="1985" w:type="dxa"/>
            <w:vMerge w:val="continue"/>
          </w:tcPr>
          <w:p w14:paraId="042C05BA">
            <w:pPr>
              <w:spacing w:after="0"/>
              <w:jc w:val="left"/>
              <w:rPr>
                <w:rFonts w:hint="eastAsia" w:ascii="宋体" w:hAnsi="宋体" w:eastAsia="宋体" w:cs="宋体"/>
                <w:color w:val="auto"/>
                <w:sz w:val="21"/>
                <w:szCs w:val="21"/>
              </w:rPr>
            </w:pPr>
          </w:p>
        </w:tc>
        <w:tc>
          <w:tcPr>
            <w:tcW w:w="9639" w:type="dxa"/>
          </w:tcPr>
          <w:p w14:paraId="716ED915">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r w14:paraId="5FB319F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restart"/>
          </w:tcPr>
          <w:p w14:paraId="07FFA2B0">
            <w:pPr>
              <w:spacing w:after="0"/>
              <w:jc w:val="left"/>
              <w:rPr>
                <w:rFonts w:hint="eastAsia" w:ascii="宋体" w:hAnsi="宋体" w:eastAsia="宋体" w:cs="宋体"/>
                <w:color w:val="auto"/>
                <w:sz w:val="21"/>
                <w:szCs w:val="21"/>
              </w:rPr>
            </w:pPr>
          </w:p>
          <w:p w14:paraId="100A702D">
            <w:pPr>
              <w:spacing w:after="0"/>
              <w:jc w:val="left"/>
              <w:rPr>
                <w:rFonts w:hint="eastAsia" w:ascii="宋体" w:hAnsi="宋体" w:eastAsia="宋体" w:cs="宋体"/>
                <w:color w:val="auto"/>
                <w:sz w:val="21"/>
                <w:szCs w:val="21"/>
              </w:rPr>
            </w:pPr>
          </w:p>
          <w:p w14:paraId="5F717BF8">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417" w:type="dxa"/>
            <w:vMerge w:val="restart"/>
          </w:tcPr>
          <w:p w14:paraId="32780DFE">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驾驶室放置物品妨碍安全驾驶</w:t>
            </w:r>
          </w:p>
        </w:tc>
        <w:tc>
          <w:tcPr>
            <w:tcW w:w="1985" w:type="dxa"/>
            <w:vMerge w:val="restart"/>
          </w:tcPr>
          <w:p w14:paraId="13BD4D90">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w:t>
            </w:r>
          </w:p>
          <w:p w14:paraId="09E420A1">
            <w:pPr>
              <w:spacing w:after="0"/>
              <w:jc w:val="left"/>
              <w:rPr>
                <w:rFonts w:hint="eastAsia" w:ascii="宋体" w:hAnsi="宋体" w:eastAsia="宋体" w:cs="宋体"/>
                <w:color w:val="auto"/>
                <w:sz w:val="21"/>
                <w:szCs w:val="21"/>
              </w:rPr>
            </w:pPr>
          </w:p>
        </w:tc>
        <w:tc>
          <w:tcPr>
            <w:tcW w:w="9639" w:type="dxa"/>
          </w:tcPr>
          <w:p w14:paraId="7FE91A75">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《中华人民共和国道路交通安全法实施条例》第六十二条： 驾驶机动车不得有下列行为：（二）在机动车驾驶室的前后窗范围内悬挂、放置妨碍驾驶人视线的物品。</w:t>
            </w:r>
          </w:p>
        </w:tc>
      </w:tr>
      <w:tr w14:paraId="3E71C01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67CC4D43">
            <w:pPr>
              <w:spacing w:after="0"/>
              <w:jc w:val="left"/>
              <w:rPr>
                <w:rFonts w:hint="eastAsia" w:ascii="宋体" w:hAnsi="宋体" w:eastAsia="宋体" w:cs="宋体"/>
                <w:color w:val="auto"/>
                <w:sz w:val="21"/>
                <w:szCs w:val="21"/>
              </w:rPr>
            </w:pPr>
          </w:p>
        </w:tc>
        <w:tc>
          <w:tcPr>
            <w:tcW w:w="1417" w:type="dxa"/>
            <w:vMerge w:val="continue"/>
          </w:tcPr>
          <w:p w14:paraId="7D8C2347">
            <w:pPr>
              <w:spacing w:after="0"/>
              <w:jc w:val="left"/>
              <w:rPr>
                <w:rFonts w:hint="eastAsia" w:ascii="宋体" w:hAnsi="宋体" w:eastAsia="宋体" w:cs="宋体"/>
                <w:color w:val="auto"/>
                <w:sz w:val="21"/>
                <w:szCs w:val="21"/>
              </w:rPr>
            </w:pPr>
          </w:p>
        </w:tc>
        <w:tc>
          <w:tcPr>
            <w:tcW w:w="1985" w:type="dxa"/>
            <w:vMerge w:val="continue"/>
          </w:tcPr>
          <w:p w14:paraId="7090C729">
            <w:pPr>
              <w:spacing w:after="0"/>
              <w:jc w:val="left"/>
              <w:rPr>
                <w:rFonts w:hint="eastAsia" w:ascii="宋体" w:hAnsi="宋体" w:eastAsia="宋体" w:cs="宋体"/>
                <w:color w:val="auto"/>
                <w:sz w:val="21"/>
                <w:szCs w:val="21"/>
              </w:rPr>
            </w:pPr>
          </w:p>
        </w:tc>
        <w:tc>
          <w:tcPr>
            <w:tcW w:w="9639" w:type="dxa"/>
          </w:tcPr>
          <w:p w14:paraId="387B9652">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《中华人民共和国道路交通安全法》第九十条： 机动车驾驶人违反道路交通安全法律、法规关于道路通行规定的，处警告或者二十元以上二百元以下罚款。本法另有规定的，依照规定处罚。</w:t>
            </w:r>
          </w:p>
        </w:tc>
      </w:tr>
      <w:tr w14:paraId="76F4502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3EFEB52B">
            <w:pPr>
              <w:spacing w:after="0"/>
              <w:jc w:val="left"/>
              <w:rPr>
                <w:rFonts w:hint="eastAsia" w:ascii="宋体" w:hAnsi="宋体" w:eastAsia="宋体" w:cs="宋体"/>
                <w:color w:val="auto"/>
                <w:sz w:val="21"/>
                <w:szCs w:val="21"/>
              </w:rPr>
            </w:pPr>
          </w:p>
        </w:tc>
        <w:tc>
          <w:tcPr>
            <w:tcW w:w="1417" w:type="dxa"/>
            <w:vMerge w:val="continue"/>
          </w:tcPr>
          <w:p w14:paraId="0E508315">
            <w:pPr>
              <w:spacing w:after="0"/>
              <w:jc w:val="left"/>
              <w:rPr>
                <w:rFonts w:hint="eastAsia" w:ascii="宋体" w:hAnsi="宋体" w:eastAsia="宋体" w:cs="宋体"/>
                <w:color w:val="auto"/>
                <w:sz w:val="21"/>
                <w:szCs w:val="21"/>
              </w:rPr>
            </w:pPr>
          </w:p>
        </w:tc>
        <w:tc>
          <w:tcPr>
            <w:tcW w:w="1985" w:type="dxa"/>
            <w:vMerge w:val="continue"/>
          </w:tcPr>
          <w:p w14:paraId="16804D3D">
            <w:pPr>
              <w:spacing w:after="0"/>
              <w:jc w:val="left"/>
              <w:rPr>
                <w:rFonts w:hint="eastAsia" w:ascii="宋体" w:hAnsi="宋体" w:eastAsia="宋体" w:cs="宋体"/>
                <w:color w:val="auto"/>
                <w:sz w:val="21"/>
                <w:szCs w:val="21"/>
              </w:rPr>
            </w:pPr>
          </w:p>
        </w:tc>
        <w:tc>
          <w:tcPr>
            <w:tcW w:w="9639" w:type="dxa"/>
          </w:tcPr>
          <w:p w14:paraId="77247283">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r w14:paraId="5C3ECD7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restart"/>
          </w:tcPr>
          <w:p w14:paraId="72C0809F">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417" w:type="dxa"/>
            <w:vMerge w:val="restart"/>
          </w:tcPr>
          <w:p w14:paraId="3FD15FA0">
            <w:pPr>
              <w:spacing w:after="0"/>
              <w:jc w:val="left"/>
              <w:rPr>
                <w:rFonts w:hint="eastAsia" w:ascii="宋体" w:hAnsi="宋体" w:eastAsia="宋体" w:cs="宋体"/>
                <w:color w:val="auto"/>
                <w:sz w:val="21"/>
                <w:szCs w:val="21"/>
              </w:rPr>
            </w:pPr>
            <w:r>
              <w:rPr>
                <w:rFonts w:hint="eastAsia" w:ascii="宋体" w:hAnsi="宋体" w:eastAsia="宋体" w:cs="宋体"/>
                <w:b w:val="0"/>
                <w:bCs/>
                <w:color w:val="auto"/>
                <w:sz w:val="21"/>
                <w:szCs w:val="21"/>
              </w:rPr>
              <w:t>未随车携带驾驶证的</w:t>
            </w:r>
          </w:p>
        </w:tc>
        <w:tc>
          <w:tcPr>
            <w:tcW w:w="1985" w:type="dxa"/>
            <w:vMerge w:val="restart"/>
          </w:tcPr>
          <w:p w14:paraId="4DAC091D">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w:t>
            </w:r>
          </w:p>
        </w:tc>
        <w:tc>
          <w:tcPr>
            <w:tcW w:w="9639" w:type="dxa"/>
          </w:tcPr>
          <w:p w14:paraId="1A2675E1">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《中华人民共和国道路交通安全法》第九十五条：上道路行驶的机动车未悬挂机动车号牌，未放置检验合格标志、保险标志，或者未随车携带</w:t>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HYPERLINK "https://www.lawtime.cn/zs_29680/" \t "_blank" </w:instrText>
            </w:r>
            <w:r>
              <w:rPr>
                <w:rFonts w:hint="eastAsia" w:ascii="宋体" w:hAnsi="宋体" w:eastAsia="宋体" w:cs="宋体"/>
                <w:color w:val="auto"/>
                <w:sz w:val="21"/>
                <w:szCs w:val="21"/>
              </w:rPr>
              <w:fldChar w:fldCharType="separate"/>
            </w:r>
            <w:r>
              <w:rPr>
                <w:rStyle w:val="12"/>
                <w:rFonts w:hint="eastAsia" w:ascii="宋体" w:hAnsi="宋体" w:eastAsia="宋体" w:cs="宋体"/>
                <w:color w:val="auto"/>
                <w:sz w:val="21"/>
                <w:szCs w:val="21"/>
              </w:rPr>
              <w:t>行驶证</w:t>
            </w:r>
            <w:r>
              <w:rPr>
                <w:rStyle w:val="12"/>
                <w:rFonts w:hint="eastAsia" w:ascii="宋体" w:hAnsi="宋体" w:eastAsia="宋体" w:cs="宋体"/>
                <w:color w:val="auto"/>
                <w:sz w:val="21"/>
                <w:szCs w:val="21"/>
              </w:rPr>
              <w:fldChar w:fldCharType="end"/>
            </w:r>
            <w:r>
              <w:rPr>
                <w:rFonts w:hint="eastAsia" w:ascii="宋体" w:hAnsi="宋体" w:eastAsia="宋体" w:cs="宋体"/>
                <w:color w:val="auto"/>
                <w:sz w:val="21"/>
                <w:szCs w:val="21"/>
              </w:rPr>
              <w:t>、驾驶证的，公安机关交通管理部门应当扣留机动车，通知当事人提供相应的牌证、标志或者补办相应手续，并可以依照本法第九十条的规定予以处罚。</w:t>
            </w:r>
          </w:p>
        </w:tc>
      </w:tr>
      <w:tr w14:paraId="5CFA126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5676F108">
            <w:pPr>
              <w:spacing w:after="0"/>
              <w:jc w:val="left"/>
              <w:rPr>
                <w:rFonts w:hint="eastAsia" w:ascii="宋体" w:hAnsi="宋体" w:eastAsia="宋体" w:cs="宋体"/>
                <w:color w:val="auto"/>
                <w:sz w:val="21"/>
                <w:szCs w:val="21"/>
              </w:rPr>
            </w:pPr>
          </w:p>
        </w:tc>
        <w:tc>
          <w:tcPr>
            <w:tcW w:w="1417" w:type="dxa"/>
            <w:vMerge w:val="continue"/>
          </w:tcPr>
          <w:p w14:paraId="469B2FDD">
            <w:pPr>
              <w:spacing w:after="0"/>
              <w:jc w:val="left"/>
              <w:rPr>
                <w:rFonts w:hint="eastAsia" w:ascii="宋体" w:hAnsi="宋体" w:eastAsia="宋体" w:cs="宋体"/>
                <w:color w:val="auto"/>
                <w:sz w:val="21"/>
                <w:szCs w:val="21"/>
              </w:rPr>
            </w:pPr>
          </w:p>
        </w:tc>
        <w:tc>
          <w:tcPr>
            <w:tcW w:w="1985" w:type="dxa"/>
            <w:vMerge w:val="continue"/>
          </w:tcPr>
          <w:p w14:paraId="7849A28D">
            <w:pPr>
              <w:spacing w:after="0"/>
              <w:jc w:val="left"/>
              <w:rPr>
                <w:rFonts w:hint="eastAsia" w:ascii="宋体" w:hAnsi="宋体" w:eastAsia="宋体" w:cs="宋体"/>
                <w:color w:val="auto"/>
                <w:sz w:val="21"/>
                <w:szCs w:val="21"/>
              </w:rPr>
            </w:pPr>
          </w:p>
        </w:tc>
        <w:tc>
          <w:tcPr>
            <w:tcW w:w="9639" w:type="dxa"/>
          </w:tcPr>
          <w:p w14:paraId="6412755F">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《中华人民共和国道路交通安全法》第九十条： 机动车驾驶人违反道路交通安全法律、法规关于道路通行规定的，处警告或者二十元以上二百元以下罚款。本法另有规定的，依照规定处罚。</w:t>
            </w:r>
          </w:p>
        </w:tc>
      </w:tr>
      <w:tr w14:paraId="2FA7C7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62A60EF6">
            <w:pPr>
              <w:spacing w:after="0"/>
              <w:jc w:val="left"/>
              <w:rPr>
                <w:rFonts w:hint="eastAsia" w:ascii="宋体" w:hAnsi="宋体" w:eastAsia="宋体" w:cs="宋体"/>
                <w:color w:val="auto"/>
                <w:sz w:val="21"/>
                <w:szCs w:val="21"/>
              </w:rPr>
            </w:pPr>
          </w:p>
        </w:tc>
        <w:tc>
          <w:tcPr>
            <w:tcW w:w="1417" w:type="dxa"/>
            <w:vMerge w:val="continue"/>
          </w:tcPr>
          <w:p w14:paraId="10329B20">
            <w:pPr>
              <w:spacing w:after="0"/>
              <w:jc w:val="left"/>
              <w:rPr>
                <w:rFonts w:hint="eastAsia" w:ascii="宋体" w:hAnsi="宋体" w:eastAsia="宋体" w:cs="宋体"/>
                <w:color w:val="auto"/>
                <w:sz w:val="21"/>
                <w:szCs w:val="21"/>
              </w:rPr>
            </w:pPr>
          </w:p>
        </w:tc>
        <w:tc>
          <w:tcPr>
            <w:tcW w:w="1985" w:type="dxa"/>
            <w:vMerge w:val="continue"/>
          </w:tcPr>
          <w:p w14:paraId="1B8BE552">
            <w:pPr>
              <w:spacing w:after="0"/>
              <w:jc w:val="left"/>
              <w:rPr>
                <w:rFonts w:hint="eastAsia" w:ascii="宋体" w:hAnsi="宋体" w:eastAsia="宋体" w:cs="宋体"/>
                <w:color w:val="auto"/>
                <w:sz w:val="21"/>
                <w:szCs w:val="21"/>
              </w:rPr>
            </w:pPr>
          </w:p>
        </w:tc>
        <w:tc>
          <w:tcPr>
            <w:tcW w:w="9639" w:type="dxa"/>
          </w:tcPr>
          <w:p w14:paraId="5BF84579">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r w14:paraId="12291A6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restart"/>
          </w:tcPr>
          <w:p w14:paraId="76A4A42E">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1417" w:type="dxa"/>
            <w:vMerge w:val="restart"/>
          </w:tcPr>
          <w:p w14:paraId="33E1A1F0">
            <w:pPr>
              <w:spacing w:after="0"/>
              <w:jc w:val="left"/>
              <w:rPr>
                <w:rFonts w:hint="eastAsia" w:ascii="宋体" w:hAnsi="宋体" w:eastAsia="宋体" w:cs="宋体"/>
                <w:color w:val="auto"/>
                <w:sz w:val="21"/>
                <w:szCs w:val="21"/>
              </w:rPr>
            </w:pPr>
            <w:r>
              <w:rPr>
                <w:rFonts w:hint="eastAsia" w:ascii="宋体" w:hAnsi="宋体" w:eastAsia="宋体" w:cs="宋体"/>
                <w:b w:val="0"/>
                <w:bCs/>
                <w:color w:val="auto"/>
                <w:sz w:val="21"/>
                <w:szCs w:val="21"/>
              </w:rPr>
              <w:t>未随车携带行驶证的</w:t>
            </w:r>
          </w:p>
        </w:tc>
        <w:tc>
          <w:tcPr>
            <w:tcW w:w="1985" w:type="dxa"/>
            <w:vMerge w:val="restart"/>
          </w:tcPr>
          <w:p w14:paraId="4E0EB67B">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w:t>
            </w:r>
          </w:p>
          <w:p w14:paraId="5B61AE9F">
            <w:pPr>
              <w:spacing w:after="0"/>
              <w:jc w:val="left"/>
              <w:rPr>
                <w:rFonts w:hint="eastAsia" w:ascii="宋体" w:hAnsi="宋体" w:eastAsia="宋体" w:cs="宋体"/>
                <w:color w:val="auto"/>
                <w:sz w:val="21"/>
                <w:szCs w:val="21"/>
              </w:rPr>
            </w:pPr>
          </w:p>
          <w:p w14:paraId="4F1C2A86">
            <w:pPr>
              <w:spacing w:after="0"/>
              <w:jc w:val="left"/>
              <w:rPr>
                <w:rFonts w:hint="eastAsia" w:ascii="宋体" w:hAnsi="宋体" w:eastAsia="宋体" w:cs="宋体"/>
                <w:color w:val="auto"/>
                <w:sz w:val="21"/>
                <w:szCs w:val="21"/>
              </w:rPr>
            </w:pPr>
          </w:p>
          <w:p w14:paraId="52A8D595">
            <w:pPr>
              <w:spacing w:after="0"/>
              <w:jc w:val="left"/>
              <w:rPr>
                <w:rFonts w:hint="eastAsia" w:ascii="宋体" w:hAnsi="宋体" w:eastAsia="宋体" w:cs="宋体"/>
                <w:color w:val="auto"/>
                <w:sz w:val="21"/>
                <w:szCs w:val="21"/>
              </w:rPr>
            </w:pPr>
          </w:p>
          <w:p w14:paraId="6536787A">
            <w:pPr>
              <w:spacing w:after="0"/>
              <w:jc w:val="left"/>
              <w:rPr>
                <w:rFonts w:hint="eastAsia" w:ascii="宋体" w:hAnsi="宋体" w:eastAsia="宋体" w:cs="宋体"/>
                <w:color w:val="auto"/>
                <w:sz w:val="21"/>
                <w:szCs w:val="21"/>
              </w:rPr>
            </w:pPr>
          </w:p>
          <w:p w14:paraId="22115533">
            <w:pPr>
              <w:spacing w:after="0"/>
              <w:jc w:val="left"/>
              <w:rPr>
                <w:rFonts w:hint="eastAsia" w:ascii="宋体" w:hAnsi="宋体" w:eastAsia="宋体" w:cs="宋体"/>
                <w:color w:val="auto"/>
                <w:sz w:val="21"/>
                <w:szCs w:val="21"/>
              </w:rPr>
            </w:pPr>
          </w:p>
          <w:p w14:paraId="75737A26">
            <w:pPr>
              <w:spacing w:after="0"/>
              <w:jc w:val="left"/>
              <w:rPr>
                <w:rFonts w:hint="eastAsia" w:ascii="宋体" w:hAnsi="宋体" w:eastAsia="宋体" w:cs="宋体"/>
                <w:color w:val="auto"/>
                <w:sz w:val="21"/>
                <w:szCs w:val="21"/>
              </w:rPr>
            </w:pPr>
          </w:p>
        </w:tc>
        <w:tc>
          <w:tcPr>
            <w:tcW w:w="9639" w:type="dxa"/>
          </w:tcPr>
          <w:p w14:paraId="4659F365">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《中华人民共和国道路交通安全法》第九十五条：上道路行驶的机动车未悬挂机动车号牌，未放置检验合格标志、保险标志，或者未随车携带</w:t>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HYPERLINK "https://www.lawtime.cn/zs_29680/" \t "_blank" </w:instrText>
            </w:r>
            <w:r>
              <w:rPr>
                <w:rFonts w:hint="eastAsia" w:ascii="宋体" w:hAnsi="宋体" w:eastAsia="宋体" w:cs="宋体"/>
                <w:color w:val="auto"/>
                <w:sz w:val="21"/>
                <w:szCs w:val="21"/>
              </w:rPr>
              <w:fldChar w:fldCharType="separate"/>
            </w:r>
            <w:r>
              <w:rPr>
                <w:rStyle w:val="12"/>
                <w:rFonts w:hint="eastAsia" w:ascii="宋体" w:hAnsi="宋体" w:eastAsia="宋体" w:cs="宋体"/>
                <w:color w:val="auto"/>
                <w:sz w:val="21"/>
                <w:szCs w:val="21"/>
              </w:rPr>
              <w:t>行驶证</w:t>
            </w:r>
            <w:r>
              <w:rPr>
                <w:rStyle w:val="12"/>
                <w:rFonts w:hint="eastAsia" w:ascii="宋体" w:hAnsi="宋体" w:eastAsia="宋体" w:cs="宋体"/>
                <w:color w:val="auto"/>
                <w:sz w:val="21"/>
                <w:szCs w:val="21"/>
              </w:rPr>
              <w:fldChar w:fldCharType="end"/>
            </w:r>
            <w:r>
              <w:rPr>
                <w:rFonts w:hint="eastAsia" w:ascii="宋体" w:hAnsi="宋体" w:eastAsia="宋体" w:cs="宋体"/>
                <w:color w:val="auto"/>
                <w:sz w:val="21"/>
                <w:szCs w:val="21"/>
              </w:rPr>
              <w:t>、驾驶证的，公安机关交通管理部门应当扣留机动车，通知当事人提供相应的牌证、标志或者补办相应手续，并可以依照本法第九十条的规定予以处罚。</w:t>
            </w:r>
          </w:p>
        </w:tc>
      </w:tr>
      <w:tr w14:paraId="48FEC22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264A2F43">
            <w:pPr>
              <w:spacing w:after="0"/>
              <w:jc w:val="left"/>
              <w:rPr>
                <w:rFonts w:hint="eastAsia" w:ascii="宋体" w:hAnsi="宋体" w:eastAsia="宋体" w:cs="宋体"/>
                <w:color w:val="auto"/>
                <w:sz w:val="21"/>
                <w:szCs w:val="21"/>
              </w:rPr>
            </w:pPr>
          </w:p>
        </w:tc>
        <w:tc>
          <w:tcPr>
            <w:tcW w:w="1417" w:type="dxa"/>
            <w:vMerge w:val="continue"/>
          </w:tcPr>
          <w:p w14:paraId="77D9C60E">
            <w:pPr>
              <w:spacing w:after="0"/>
              <w:jc w:val="left"/>
              <w:rPr>
                <w:rFonts w:hint="eastAsia" w:ascii="宋体" w:hAnsi="宋体" w:eastAsia="宋体" w:cs="宋体"/>
                <w:color w:val="auto"/>
                <w:sz w:val="21"/>
                <w:szCs w:val="21"/>
              </w:rPr>
            </w:pPr>
          </w:p>
        </w:tc>
        <w:tc>
          <w:tcPr>
            <w:tcW w:w="1985" w:type="dxa"/>
            <w:vMerge w:val="continue"/>
          </w:tcPr>
          <w:p w14:paraId="26769FBB">
            <w:pPr>
              <w:spacing w:after="0"/>
              <w:jc w:val="left"/>
              <w:rPr>
                <w:rFonts w:hint="eastAsia" w:ascii="宋体" w:hAnsi="宋体" w:eastAsia="宋体" w:cs="宋体"/>
                <w:color w:val="auto"/>
                <w:sz w:val="21"/>
                <w:szCs w:val="21"/>
              </w:rPr>
            </w:pPr>
          </w:p>
        </w:tc>
        <w:tc>
          <w:tcPr>
            <w:tcW w:w="9639" w:type="dxa"/>
          </w:tcPr>
          <w:p w14:paraId="40EB9F91">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《中华人民共和国道路交通安全法》第九十条： 机动车驾驶人违反道路交通安全法律、法规关于道路通行规定的，处警告或者二十元以上二百元以下罚款。本法另有规定的，依照规定处罚。</w:t>
            </w:r>
          </w:p>
        </w:tc>
      </w:tr>
      <w:tr w14:paraId="3923DF4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959" w:type="dxa"/>
            <w:vMerge w:val="continue"/>
          </w:tcPr>
          <w:p w14:paraId="5E89455A">
            <w:pPr>
              <w:spacing w:after="0"/>
              <w:jc w:val="left"/>
              <w:rPr>
                <w:rFonts w:hint="eastAsia" w:ascii="宋体" w:hAnsi="宋体" w:eastAsia="宋体" w:cs="宋体"/>
                <w:color w:val="auto"/>
                <w:sz w:val="21"/>
                <w:szCs w:val="21"/>
              </w:rPr>
            </w:pPr>
          </w:p>
        </w:tc>
        <w:tc>
          <w:tcPr>
            <w:tcW w:w="1417" w:type="dxa"/>
            <w:vMerge w:val="continue"/>
          </w:tcPr>
          <w:p w14:paraId="20BB44F1">
            <w:pPr>
              <w:spacing w:after="0"/>
              <w:jc w:val="left"/>
              <w:rPr>
                <w:rFonts w:hint="eastAsia" w:ascii="宋体" w:hAnsi="宋体" w:eastAsia="宋体" w:cs="宋体"/>
                <w:color w:val="auto"/>
                <w:sz w:val="21"/>
                <w:szCs w:val="21"/>
              </w:rPr>
            </w:pPr>
          </w:p>
        </w:tc>
        <w:tc>
          <w:tcPr>
            <w:tcW w:w="1985" w:type="dxa"/>
            <w:vMerge w:val="continue"/>
          </w:tcPr>
          <w:p w14:paraId="03BE81CC">
            <w:pPr>
              <w:spacing w:after="0"/>
              <w:jc w:val="left"/>
              <w:rPr>
                <w:rFonts w:hint="eastAsia" w:ascii="宋体" w:hAnsi="宋体" w:eastAsia="宋体" w:cs="宋体"/>
                <w:color w:val="auto"/>
                <w:sz w:val="21"/>
                <w:szCs w:val="21"/>
              </w:rPr>
            </w:pPr>
          </w:p>
        </w:tc>
        <w:tc>
          <w:tcPr>
            <w:tcW w:w="9639" w:type="dxa"/>
          </w:tcPr>
          <w:p w14:paraId="7B4BA2F0">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r w14:paraId="24AB033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restart"/>
          </w:tcPr>
          <w:p w14:paraId="2419E57B">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1417" w:type="dxa"/>
            <w:vMerge w:val="restart"/>
          </w:tcPr>
          <w:p w14:paraId="698232AE">
            <w:pPr>
              <w:spacing w:after="0"/>
              <w:jc w:val="left"/>
              <w:rPr>
                <w:rFonts w:hint="eastAsia" w:ascii="宋体" w:hAnsi="宋体" w:eastAsia="宋体" w:cs="宋体"/>
                <w:color w:val="auto"/>
                <w:sz w:val="21"/>
                <w:szCs w:val="21"/>
              </w:rPr>
            </w:pPr>
            <w:r>
              <w:rPr>
                <w:rFonts w:hint="eastAsia" w:ascii="宋体" w:hAnsi="宋体" w:eastAsia="宋体" w:cs="宋体"/>
                <w:b w:val="0"/>
                <w:bCs/>
                <w:color w:val="auto"/>
                <w:sz w:val="21"/>
                <w:szCs w:val="21"/>
              </w:rPr>
              <w:t>上道路行驶的机动车未放置检验合格标志的</w:t>
            </w:r>
          </w:p>
        </w:tc>
        <w:tc>
          <w:tcPr>
            <w:tcW w:w="1985" w:type="dxa"/>
            <w:vMerge w:val="restart"/>
          </w:tcPr>
          <w:p w14:paraId="2FF6D12F">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w:t>
            </w:r>
          </w:p>
          <w:p w14:paraId="2478CF1D">
            <w:pPr>
              <w:spacing w:after="0"/>
              <w:jc w:val="left"/>
              <w:rPr>
                <w:rFonts w:hint="eastAsia" w:ascii="宋体" w:hAnsi="宋体" w:eastAsia="宋体" w:cs="宋体"/>
                <w:color w:val="auto"/>
                <w:sz w:val="21"/>
                <w:szCs w:val="21"/>
              </w:rPr>
            </w:pPr>
          </w:p>
        </w:tc>
        <w:tc>
          <w:tcPr>
            <w:tcW w:w="9639" w:type="dxa"/>
          </w:tcPr>
          <w:p w14:paraId="359DB065">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《中华人民共和国道路交通安全法》第九十五条：上道路行驶的机动车未悬挂机动车号牌，未放置检验合格标志、保险标志，或者未随车携带</w:t>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HYPERLINK "https://www.lawtime.cn/zs_29680/" \t "_blank" </w:instrText>
            </w:r>
            <w:r>
              <w:rPr>
                <w:rFonts w:hint="eastAsia" w:ascii="宋体" w:hAnsi="宋体" w:eastAsia="宋体" w:cs="宋体"/>
                <w:color w:val="auto"/>
                <w:sz w:val="21"/>
                <w:szCs w:val="21"/>
              </w:rPr>
              <w:fldChar w:fldCharType="separate"/>
            </w:r>
            <w:r>
              <w:rPr>
                <w:rStyle w:val="12"/>
                <w:rFonts w:hint="eastAsia" w:ascii="宋体" w:hAnsi="宋体" w:eastAsia="宋体" w:cs="宋体"/>
                <w:color w:val="auto"/>
                <w:sz w:val="21"/>
                <w:szCs w:val="21"/>
              </w:rPr>
              <w:t>行驶证</w:t>
            </w:r>
            <w:r>
              <w:rPr>
                <w:rStyle w:val="12"/>
                <w:rFonts w:hint="eastAsia" w:ascii="宋体" w:hAnsi="宋体" w:eastAsia="宋体" w:cs="宋体"/>
                <w:color w:val="auto"/>
                <w:sz w:val="21"/>
                <w:szCs w:val="21"/>
              </w:rPr>
              <w:fldChar w:fldCharType="end"/>
            </w:r>
            <w:r>
              <w:rPr>
                <w:rFonts w:hint="eastAsia" w:ascii="宋体" w:hAnsi="宋体" w:eastAsia="宋体" w:cs="宋体"/>
                <w:color w:val="auto"/>
                <w:sz w:val="21"/>
                <w:szCs w:val="21"/>
              </w:rPr>
              <w:t>、驾驶证的，公安机关交通管理部门应当扣留机动车，通知当事人提供相应的牌证、标志或者补办相应手续，并可以依照本法第九十条的规定予以处罚。</w:t>
            </w:r>
          </w:p>
        </w:tc>
      </w:tr>
      <w:tr w14:paraId="06A7517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6DF9CE46">
            <w:pPr>
              <w:spacing w:after="0"/>
              <w:jc w:val="left"/>
              <w:rPr>
                <w:rFonts w:hint="eastAsia" w:ascii="宋体" w:hAnsi="宋体" w:eastAsia="宋体" w:cs="宋体"/>
                <w:color w:val="auto"/>
                <w:sz w:val="21"/>
                <w:szCs w:val="21"/>
              </w:rPr>
            </w:pPr>
          </w:p>
        </w:tc>
        <w:tc>
          <w:tcPr>
            <w:tcW w:w="1417" w:type="dxa"/>
            <w:vMerge w:val="continue"/>
          </w:tcPr>
          <w:p w14:paraId="1F37AD82">
            <w:pPr>
              <w:spacing w:after="0"/>
              <w:jc w:val="left"/>
              <w:rPr>
                <w:rFonts w:hint="eastAsia" w:ascii="宋体" w:hAnsi="宋体" w:eastAsia="宋体" w:cs="宋体"/>
                <w:color w:val="auto"/>
                <w:sz w:val="21"/>
                <w:szCs w:val="21"/>
              </w:rPr>
            </w:pPr>
          </w:p>
        </w:tc>
        <w:tc>
          <w:tcPr>
            <w:tcW w:w="1985" w:type="dxa"/>
            <w:vMerge w:val="continue"/>
          </w:tcPr>
          <w:p w14:paraId="7DAB2526">
            <w:pPr>
              <w:spacing w:after="0"/>
              <w:jc w:val="left"/>
              <w:rPr>
                <w:rFonts w:hint="eastAsia" w:ascii="宋体" w:hAnsi="宋体" w:eastAsia="宋体" w:cs="宋体"/>
                <w:color w:val="auto"/>
                <w:sz w:val="21"/>
                <w:szCs w:val="21"/>
              </w:rPr>
            </w:pPr>
          </w:p>
        </w:tc>
        <w:tc>
          <w:tcPr>
            <w:tcW w:w="9639" w:type="dxa"/>
          </w:tcPr>
          <w:p w14:paraId="52CA0A9A">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《中华人民共和国道路交通安全法》第九十条： 机动车驾驶人违反道路交通安全法律、法规关于道路通行规定的，处警告或者二十元以上二百元以下罚款。本法另有规定的，依照规定处罚。</w:t>
            </w:r>
          </w:p>
        </w:tc>
      </w:tr>
      <w:tr w14:paraId="343E089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3A6DA554">
            <w:pPr>
              <w:spacing w:after="0"/>
              <w:jc w:val="left"/>
              <w:rPr>
                <w:rFonts w:hint="eastAsia" w:ascii="宋体" w:hAnsi="宋体" w:eastAsia="宋体" w:cs="宋体"/>
                <w:color w:val="auto"/>
                <w:sz w:val="21"/>
                <w:szCs w:val="21"/>
              </w:rPr>
            </w:pPr>
          </w:p>
        </w:tc>
        <w:tc>
          <w:tcPr>
            <w:tcW w:w="1417" w:type="dxa"/>
            <w:vMerge w:val="continue"/>
          </w:tcPr>
          <w:p w14:paraId="362E61CD">
            <w:pPr>
              <w:spacing w:after="0"/>
              <w:jc w:val="left"/>
              <w:rPr>
                <w:rFonts w:hint="eastAsia" w:ascii="宋体" w:hAnsi="宋体" w:eastAsia="宋体" w:cs="宋体"/>
                <w:color w:val="auto"/>
                <w:sz w:val="21"/>
                <w:szCs w:val="21"/>
              </w:rPr>
            </w:pPr>
          </w:p>
        </w:tc>
        <w:tc>
          <w:tcPr>
            <w:tcW w:w="1985" w:type="dxa"/>
            <w:vMerge w:val="continue"/>
          </w:tcPr>
          <w:p w14:paraId="7422E30B">
            <w:pPr>
              <w:spacing w:after="0"/>
              <w:jc w:val="left"/>
              <w:rPr>
                <w:rFonts w:hint="eastAsia" w:ascii="宋体" w:hAnsi="宋体" w:eastAsia="宋体" w:cs="宋体"/>
                <w:color w:val="auto"/>
                <w:sz w:val="21"/>
                <w:szCs w:val="21"/>
              </w:rPr>
            </w:pPr>
          </w:p>
        </w:tc>
        <w:tc>
          <w:tcPr>
            <w:tcW w:w="9639" w:type="dxa"/>
          </w:tcPr>
          <w:p w14:paraId="2DEDC411">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r w14:paraId="2714BC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restart"/>
          </w:tcPr>
          <w:p w14:paraId="78373597">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1417" w:type="dxa"/>
            <w:vMerge w:val="restart"/>
          </w:tcPr>
          <w:p w14:paraId="1476106F">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未制定内部网络安全管理制度和操作规程</w:t>
            </w:r>
          </w:p>
        </w:tc>
        <w:tc>
          <w:tcPr>
            <w:tcW w:w="1985" w:type="dxa"/>
            <w:vMerge w:val="restart"/>
          </w:tcPr>
          <w:p w14:paraId="3E6098C5">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初次违法且危害后果轻微并及时改正的</w:t>
            </w:r>
          </w:p>
        </w:tc>
        <w:tc>
          <w:tcPr>
            <w:tcW w:w="9639" w:type="dxa"/>
          </w:tcPr>
          <w:p w14:paraId="4479CAF8">
            <w:pPr>
              <w:keepNext w:val="0"/>
              <w:keepLines w:val="0"/>
              <w:pageBreakBefore w:val="0"/>
              <w:widowControl/>
              <w:kinsoku/>
              <w:wordWrap/>
              <w:overflowPunct/>
              <w:topLinePunct w:val="0"/>
              <w:autoSpaceDE/>
              <w:autoSpaceDN/>
              <w:bidi w:val="0"/>
              <w:adjustRightInd w:val="0"/>
              <w:snapToGrid w:val="0"/>
              <w:spacing w:after="0" w:line="280" w:lineRule="exact"/>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中华人民共和国网络安全法》第二十一条：国家实行网络安全等级保护制度。网络运营者应当按照网络安全等级保护制度的要求，履行下列安全保护义务，保障网络免受干扰、破坏或者未经授权的访问，防止网络数据泄露或者被窃取、篡改：（一）制定内部安全管理制度和操作规程，确定网络安全负责人，落实网络安全保护责任</w:t>
            </w:r>
            <w:r>
              <w:rPr>
                <w:rFonts w:hint="eastAsia" w:ascii="宋体" w:hAnsi="宋体" w:eastAsia="宋体" w:cs="宋体"/>
                <w:color w:val="auto"/>
                <w:sz w:val="21"/>
                <w:szCs w:val="21"/>
                <w:lang w:val="en-US" w:eastAsia="zh-CN"/>
              </w:rPr>
              <w:t>.</w:t>
            </w:r>
          </w:p>
        </w:tc>
      </w:tr>
      <w:tr w14:paraId="55ED685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08BB3054">
            <w:pPr>
              <w:spacing w:after="0"/>
              <w:jc w:val="left"/>
              <w:rPr>
                <w:rFonts w:hint="eastAsia" w:ascii="宋体" w:hAnsi="宋体" w:eastAsia="宋体" w:cs="宋体"/>
                <w:color w:val="auto"/>
                <w:sz w:val="21"/>
                <w:szCs w:val="21"/>
              </w:rPr>
            </w:pPr>
          </w:p>
        </w:tc>
        <w:tc>
          <w:tcPr>
            <w:tcW w:w="1417" w:type="dxa"/>
            <w:vMerge w:val="continue"/>
          </w:tcPr>
          <w:p w14:paraId="2779A5B0">
            <w:pPr>
              <w:spacing w:after="0"/>
              <w:jc w:val="left"/>
              <w:rPr>
                <w:rFonts w:hint="eastAsia" w:ascii="宋体" w:hAnsi="宋体" w:eastAsia="宋体" w:cs="宋体"/>
                <w:color w:val="auto"/>
                <w:sz w:val="21"/>
                <w:szCs w:val="21"/>
              </w:rPr>
            </w:pPr>
          </w:p>
        </w:tc>
        <w:tc>
          <w:tcPr>
            <w:tcW w:w="1985" w:type="dxa"/>
            <w:vMerge w:val="continue"/>
          </w:tcPr>
          <w:p w14:paraId="6F05BC13">
            <w:pPr>
              <w:spacing w:after="0"/>
              <w:jc w:val="left"/>
              <w:rPr>
                <w:rFonts w:hint="eastAsia" w:ascii="宋体" w:hAnsi="宋体" w:eastAsia="宋体" w:cs="宋体"/>
                <w:color w:val="auto"/>
                <w:sz w:val="21"/>
                <w:szCs w:val="21"/>
              </w:rPr>
            </w:pPr>
          </w:p>
        </w:tc>
        <w:tc>
          <w:tcPr>
            <w:tcW w:w="9639" w:type="dxa"/>
          </w:tcPr>
          <w:p w14:paraId="1BB3F590">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《中华人民共和国网络安全法》第五十九条：</w:t>
            </w:r>
            <w:r>
              <w:rPr>
                <w:rFonts w:hint="eastAsia" w:ascii="宋体" w:hAnsi="宋体" w:eastAsia="宋体" w:cs="宋体"/>
                <w:color w:val="auto"/>
                <w:sz w:val="21"/>
                <w:szCs w:val="21"/>
                <w:shd w:val="clear" w:color="auto" w:fill="FFFFFF"/>
              </w:rPr>
              <w:t>网络运营者不履行本法第二十一条、第二十五条规定的</w:t>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HYPERLINK "https://www.66law.cn/laws/632680.aspx" \t "_blank" \o "网络安全" </w:instrText>
            </w:r>
            <w:r>
              <w:rPr>
                <w:rFonts w:hint="eastAsia" w:ascii="宋体" w:hAnsi="宋体" w:eastAsia="宋体" w:cs="宋体"/>
                <w:color w:val="auto"/>
                <w:sz w:val="21"/>
                <w:szCs w:val="21"/>
              </w:rPr>
              <w:fldChar w:fldCharType="separate"/>
            </w:r>
            <w:r>
              <w:rPr>
                <w:rStyle w:val="12"/>
                <w:rFonts w:hint="eastAsia" w:ascii="宋体" w:hAnsi="宋体" w:eastAsia="宋体" w:cs="宋体"/>
                <w:color w:val="auto"/>
                <w:sz w:val="21"/>
                <w:szCs w:val="21"/>
                <w:shd w:val="clear" w:color="auto" w:fill="FFFFFF"/>
              </w:rPr>
              <w:t>网络安全</w:t>
            </w:r>
            <w:r>
              <w:rPr>
                <w:rStyle w:val="12"/>
                <w:rFonts w:hint="eastAsia" w:ascii="宋体" w:hAnsi="宋体" w:eastAsia="宋体" w:cs="宋体"/>
                <w:color w:val="auto"/>
                <w:sz w:val="21"/>
                <w:szCs w:val="21"/>
                <w:shd w:val="clear" w:color="auto" w:fill="FFFFFF"/>
              </w:rPr>
              <w:fldChar w:fldCharType="end"/>
            </w:r>
            <w:r>
              <w:rPr>
                <w:rFonts w:hint="eastAsia" w:ascii="宋体" w:hAnsi="宋体" w:eastAsia="宋体" w:cs="宋体"/>
                <w:color w:val="auto"/>
                <w:sz w:val="21"/>
                <w:szCs w:val="21"/>
                <w:shd w:val="clear" w:color="auto" w:fill="FFFFFF"/>
              </w:rPr>
              <w:t>保护义务的，由有关主管部门责令改正，给予警告</w:t>
            </w:r>
            <w:r>
              <w:rPr>
                <w:rFonts w:hint="eastAsia" w:ascii="宋体" w:hAnsi="宋体" w:cs="宋体"/>
                <w:color w:val="auto"/>
                <w:sz w:val="21"/>
                <w:szCs w:val="21"/>
                <w:shd w:val="clear" w:color="auto" w:fill="FFFFFF"/>
                <w:lang w:eastAsia="zh-CN"/>
              </w:rPr>
              <w:t>；</w:t>
            </w:r>
            <w:r>
              <w:rPr>
                <w:rFonts w:hint="eastAsia" w:ascii="宋体" w:hAnsi="宋体" w:eastAsia="宋体" w:cs="宋体"/>
                <w:color w:val="auto"/>
                <w:sz w:val="21"/>
                <w:szCs w:val="21"/>
                <w:shd w:val="clear" w:color="auto" w:fill="FFFFFF"/>
              </w:rPr>
              <w:t>拒不改正或者导致危害网络安全等后果的，处一万元以上十万元以下罚款，对直接负责的主管人员处五千元以上五万元以下罚款。</w:t>
            </w:r>
          </w:p>
        </w:tc>
      </w:tr>
      <w:tr w14:paraId="17DE749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45BD6832">
            <w:pPr>
              <w:spacing w:after="0"/>
              <w:jc w:val="left"/>
              <w:rPr>
                <w:rFonts w:hint="eastAsia" w:ascii="宋体" w:hAnsi="宋体" w:eastAsia="宋体" w:cs="宋体"/>
                <w:color w:val="auto"/>
                <w:sz w:val="21"/>
                <w:szCs w:val="21"/>
              </w:rPr>
            </w:pPr>
          </w:p>
        </w:tc>
        <w:tc>
          <w:tcPr>
            <w:tcW w:w="1417" w:type="dxa"/>
            <w:vMerge w:val="continue"/>
          </w:tcPr>
          <w:p w14:paraId="6B67AC19">
            <w:pPr>
              <w:spacing w:after="0"/>
              <w:jc w:val="left"/>
              <w:rPr>
                <w:rFonts w:hint="eastAsia" w:ascii="宋体" w:hAnsi="宋体" w:eastAsia="宋体" w:cs="宋体"/>
                <w:color w:val="auto"/>
                <w:sz w:val="21"/>
                <w:szCs w:val="21"/>
              </w:rPr>
            </w:pPr>
          </w:p>
        </w:tc>
        <w:tc>
          <w:tcPr>
            <w:tcW w:w="1985" w:type="dxa"/>
            <w:vMerge w:val="continue"/>
          </w:tcPr>
          <w:p w14:paraId="0C3FDE44">
            <w:pPr>
              <w:spacing w:after="0"/>
              <w:jc w:val="left"/>
              <w:rPr>
                <w:rFonts w:hint="eastAsia" w:ascii="宋体" w:hAnsi="宋体" w:eastAsia="宋体" w:cs="宋体"/>
                <w:color w:val="auto"/>
                <w:sz w:val="21"/>
                <w:szCs w:val="21"/>
              </w:rPr>
            </w:pPr>
          </w:p>
        </w:tc>
        <w:tc>
          <w:tcPr>
            <w:tcW w:w="9639" w:type="dxa"/>
          </w:tcPr>
          <w:p w14:paraId="1D645E35">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r w14:paraId="388DA74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1" w:hRule="atLeast"/>
        </w:trPr>
        <w:tc>
          <w:tcPr>
            <w:tcW w:w="959" w:type="dxa"/>
            <w:vMerge w:val="restart"/>
          </w:tcPr>
          <w:p w14:paraId="3979D5D0">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1417" w:type="dxa"/>
            <w:vMerge w:val="restart"/>
          </w:tcPr>
          <w:p w14:paraId="4D862007">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未采取防范计算机病毒和网络攻击、网络侵入等危害网络安全行为的技术措施</w:t>
            </w:r>
          </w:p>
        </w:tc>
        <w:tc>
          <w:tcPr>
            <w:tcW w:w="1985" w:type="dxa"/>
            <w:vMerge w:val="restart"/>
          </w:tcPr>
          <w:p w14:paraId="758EB915">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初次违法且危害后果轻微并及时改正的</w:t>
            </w:r>
          </w:p>
        </w:tc>
        <w:tc>
          <w:tcPr>
            <w:tcW w:w="9639" w:type="dxa"/>
          </w:tcPr>
          <w:p w14:paraId="73C99B4B">
            <w:pPr>
              <w:keepNext w:val="0"/>
              <w:keepLines w:val="0"/>
              <w:pageBreakBefore w:val="0"/>
              <w:widowControl/>
              <w:kinsoku/>
              <w:wordWrap/>
              <w:overflowPunct/>
              <w:topLinePunct w:val="0"/>
              <w:autoSpaceDE/>
              <w:autoSpaceDN/>
              <w:bidi w:val="0"/>
              <w:adjustRightInd w:val="0"/>
              <w:snapToGrid w:val="0"/>
              <w:spacing w:after="0" w:line="28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网络安全法》第二十一条：国家实行网络安全等级保护制度。网络运营者应当按照网络安全等级保护制度的要求，履行下列安全保护义务，保障网络免受干扰、破坏或者未经授权的访问，防止网络数据泄露或者被窃取、篡改：（一）制定内部安全管理制度和操作规程，确定网络安全负责人，落实网络安全保护责任；</w:t>
            </w:r>
          </w:p>
        </w:tc>
      </w:tr>
      <w:tr w14:paraId="3B3098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3032B353">
            <w:pPr>
              <w:spacing w:after="0"/>
              <w:jc w:val="left"/>
              <w:rPr>
                <w:rFonts w:hint="eastAsia" w:ascii="宋体" w:hAnsi="宋体" w:eastAsia="宋体" w:cs="宋体"/>
                <w:color w:val="auto"/>
                <w:sz w:val="21"/>
                <w:szCs w:val="21"/>
              </w:rPr>
            </w:pPr>
          </w:p>
        </w:tc>
        <w:tc>
          <w:tcPr>
            <w:tcW w:w="1417" w:type="dxa"/>
            <w:vMerge w:val="continue"/>
          </w:tcPr>
          <w:p w14:paraId="311E1F85">
            <w:pPr>
              <w:spacing w:after="0"/>
              <w:jc w:val="left"/>
              <w:rPr>
                <w:rFonts w:hint="eastAsia" w:ascii="宋体" w:hAnsi="宋体" w:eastAsia="宋体" w:cs="宋体"/>
                <w:color w:val="auto"/>
                <w:sz w:val="21"/>
                <w:szCs w:val="21"/>
              </w:rPr>
            </w:pPr>
          </w:p>
        </w:tc>
        <w:tc>
          <w:tcPr>
            <w:tcW w:w="1985" w:type="dxa"/>
            <w:vMerge w:val="continue"/>
          </w:tcPr>
          <w:p w14:paraId="7882BCF9">
            <w:pPr>
              <w:spacing w:after="0"/>
              <w:jc w:val="left"/>
              <w:rPr>
                <w:rFonts w:hint="eastAsia" w:ascii="宋体" w:hAnsi="宋体" w:eastAsia="宋体" w:cs="宋体"/>
                <w:color w:val="auto"/>
                <w:sz w:val="21"/>
                <w:szCs w:val="21"/>
              </w:rPr>
            </w:pPr>
          </w:p>
        </w:tc>
        <w:tc>
          <w:tcPr>
            <w:tcW w:w="9639" w:type="dxa"/>
          </w:tcPr>
          <w:p w14:paraId="2292144D">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《中华人民共和国网络安全法》第五十九条：</w:t>
            </w:r>
            <w:r>
              <w:rPr>
                <w:rFonts w:hint="eastAsia" w:ascii="宋体" w:hAnsi="宋体" w:eastAsia="宋体" w:cs="宋体"/>
                <w:color w:val="auto"/>
                <w:sz w:val="21"/>
                <w:szCs w:val="21"/>
                <w:shd w:val="clear" w:color="auto" w:fill="FFFFFF"/>
              </w:rPr>
              <w:t>网络运营者不履行本法第二十一条、第二十五条规定的</w:t>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HYPERLINK "https://www.66law.cn/laws/632680.aspx" \t "_blank" \o "网络安全" </w:instrText>
            </w:r>
            <w:r>
              <w:rPr>
                <w:rFonts w:hint="eastAsia" w:ascii="宋体" w:hAnsi="宋体" w:eastAsia="宋体" w:cs="宋体"/>
                <w:color w:val="auto"/>
                <w:sz w:val="21"/>
                <w:szCs w:val="21"/>
              </w:rPr>
              <w:fldChar w:fldCharType="separate"/>
            </w:r>
            <w:r>
              <w:rPr>
                <w:rStyle w:val="12"/>
                <w:rFonts w:hint="eastAsia" w:ascii="宋体" w:hAnsi="宋体" w:eastAsia="宋体" w:cs="宋体"/>
                <w:color w:val="auto"/>
                <w:sz w:val="21"/>
                <w:szCs w:val="21"/>
                <w:shd w:val="clear" w:color="auto" w:fill="FFFFFF"/>
              </w:rPr>
              <w:t>网络安全</w:t>
            </w:r>
            <w:r>
              <w:rPr>
                <w:rStyle w:val="12"/>
                <w:rFonts w:hint="eastAsia" w:ascii="宋体" w:hAnsi="宋体" w:eastAsia="宋体" w:cs="宋体"/>
                <w:color w:val="auto"/>
                <w:sz w:val="21"/>
                <w:szCs w:val="21"/>
                <w:shd w:val="clear" w:color="auto" w:fill="FFFFFF"/>
              </w:rPr>
              <w:fldChar w:fldCharType="end"/>
            </w:r>
            <w:r>
              <w:rPr>
                <w:rFonts w:hint="eastAsia" w:ascii="宋体" w:hAnsi="宋体" w:eastAsia="宋体" w:cs="宋体"/>
                <w:color w:val="auto"/>
                <w:sz w:val="21"/>
                <w:szCs w:val="21"/>
                <w:shd w:val="clear" w:color="auto" w:fill="FFFFFF"/>
              </w:rPr>
              <w:t>保护义务的，由有关主管部门责令改正，给予警告</w:t>
            </w:r>
            <w:r>
              <w:rPr>
                <w:rFonts w:hint="eastAsia" w:ascii="宋体" w:hAnsi="宋体" w:cs="宋体"/>
                <w:color w:val="auto"/>
                <w:sz w:val="21"/>
                <w:szCs w:val="21"/>
                <w:shd w:val="clear" w:color="auto" w:fill="FFFFFF"/>
                <w:lang w:eastAsia="zh-CN"/>
              </w:rPr>
              <w:t>；</w:t>
            </w:r>
            <w:r>
              <w:rPr>
                <w:rFonts w:hint="eastAsia" w:ascii="宋体" w:hAnsi="宋体" w:eastAsia="宋体" w:cs="宋体"/>
                <w:color w:val="auto"/>
                <w:sz w:val="21"/>
                <w:szCs w:val="21"/>
                <w:shd w:val="clear" w:color="auto" w:fill="FFFFFF"/>
              </w:rPr>
              <w:t>拒不改正或者导致危害网络安全等后果的，处一万元以上十万元以下罚款，对直接负责的主管人员处五千元以上五万元以下罚款。</w:t>
            </w:r>
          </w:p>
        </w:tc>
      </w:tr>
      <w:tr w14:paraId="14E6F6F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1828D6DA">
            <w:pPr>
              <w:spacing w:after="0"/>
              <w:jc w:val="left"/>
              <w:rPr>
                <w:rFonts w:hint="eastAsia" w:ascii="宋体" w:hAnsi="宋体" w:eastAsia="宋体" w:cs="宋体"/>
                <w:color w:val="auto"/>
                <w:sz w:val="21"/>
                <w:szCs w:val="21"/>
              </w:rPr>
            </w:pPr>
          </w:p>
        </w:tc>
        <w:tc>
          <w:tcPr>
            <w:tcW w:w="1417" w:type="dxa"/>
            <w:vMerge w:val="continue"/>
          </w:tcPr>
          <w:p w14:paraId="54A1F0EF">
            <w:pPr>
              <w:spacing w:after="0"/>
              <w:jc w:val="left"/>
              <w:rPr>
                <w:rFonts w:hint="eastAsia" w:ascii="宋体" w:hAnsi="宋体" w:eastAsia="宋体" w:cs="宋体"/>
                <w:color w:val="auto"/>
                <w:sz w:val="21"/>
                <w:szCs w:val="21"/>
              </w:rPr>
            </w:pPr>
          </w:p>
        </w:tc>
        <w:tc>
          <w:tcPr>
            <w:tcW w:w="1985" w:type="dxa"/>
            <w:vMerge w:val="continue"/>
          </w:tcPr>
          <w:p w14:paraId="55CF0388">
            <w:pPr>
              <w:spacing w:after="0"/>
              <w:jc w:val="left"/>
              <w:rPr>
                <w:rFonts w:hint="eastAsia" w:ascii="宋体" w:hAnsi="宋体" w:eastAsia="宋体" w:cs="宋体"/>
                <w:color w:val="auto"/>
                <w:sz w:val="21"/>
                <w:szCs w:val="21"/>
              </w:rPr>
            </w:pPr>
          </w:p>
        </w:tc>
        <w:tc>
          <w:tcPr>
            <w:tcW w:w="9639" w:type="dxa"/>
          </w:tcPr>
          <w:p w14:paraId="338A4CDA">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r w14:paraId="3075F72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restart"/>
          </w:tcPr>
          <w:p w14:paraId="7830A2D0">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1417" w:type="dxa"/>
            <w:vMerge w:val="restart"/>
          </w:tcPr>
          <w:p w14:paraId="5DB8CEFE">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未采取数据分类、重要数据备份和加密等措施</w:t>
            </w:r>
          </w:p>
        </w:tc>
        <w:tc>
          <w:tcPr>
            <w:tcW w:w="1985" w:type="dxa"/>
            <w:vMerge w:val="restart"/>
          </w:tcPr>
          <w:p w14:paraId="1C4074EE">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初次违法且危害后果轻微并及时改正的</w:t>
            </w:r>
          </w:p>
        </w:tc>
        <w:tc>
          <w:tcPr>
            <w:tcW w:w="9639" w:type="dxa"/>
          </w:tcPr>
          <w:p w14:paraId="637275A5">
            <w:pPr>
              <w:keepNext w:val="0"/>
              <w:keepLines w:val="0"/>
              <w:pageBreakBefore w:val="0"/>
              <w:widowControl/>
              <w:kinsoku/>
              <w:wordWrap/>
              <w:overflowPunct/>
              <w:topLinePunct w:val="0"/>
              <w:autoSpaceDE/>
              <w:autoSpaceDN/>
              <w:bidi w:val="0"/>
              <w:adjustRightInd w:val="0"/>
              <w:snapToGrid w:val="0"/>
              <w:spacing w:after="0" w:line="28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网络安全法》第二十一条：国家实行网络安全等级保护制度。网络运营者应当按照网络安全等级保护制度的要求，履行下列安全保护义务，保障网络免受干扰、破坏或者未经授权的访问，防止网络数据泄露或者被窃取、篡改：（一）制定内部安全管理制度和操作规程，确定网络安全负责人，落实网络安全保护责任；</w:t>
            </w:r>
          </w:p>
        </w:tc>
      </w:tr>
      <w:tr w14:paraId="4CFF62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329594BA">
            <w:pPr>
              <w:spacing w:after="0"/>
              <w:jc w:val="left"/>
              <w:rPr>
                <w:rFonts w:hint="eastAsia" w:ascii="宋体" w:hAnsi="宋体" w:eastAsia="宋体" w:cs="宋体"/>
                <w:color w:val="auto"/>
                <w:sz w:val="21"/>
                <w:szCs w:val="21"/>
              </w:rPr>
            </w:pPr>
          </w:p>
        </w:tc>
        <w:tc>
          <w:tcPr>
            <w:tcW w:w="1417" w:type="dxa"/>
            <w:vMerge w:val="continue"/>
          </w:tcPr>
          <w:p w14:paraId="2D522564">
            <w:pPr>
              <w:spacing w:after="0"/>
              <w:jc w:val="left"/>
              <w:rPr>
                <w:rFonts w:hint="eastAsia" w:ascii="宋体" w:hAnsi="宋体" w:eastAsia="宋体" w:cs="宋体"/>
                <w:color w:val="auto"/>
                <w:sz w:val="21"/>
                <w:szCs w:val="21"/>
              </w:rPr>
            </w:pPr>
          </w:p>
        </w:tc>
        <w:tc>
          <w:tcPr>
            <w:tcW w:w="1985" w:type="dxa"/>
            <w:vMerge w:val="continue"/>
          </w:tcPr>
          <w:p w14:paraId="04907900">
            <w:pPr>
              <w:spacing w:after="0"/>
              <w:jc w:val="left"/>
              <w:rPr>
                <w:rFonts w:hint="eastAsia" w:ascii="宋体" w:hAnsi="宋体" w:eastAsia="宋体" w:cs="宋体"/>
                <w:color w:val="auto"/>
                <w:sz w:val="21"/>
                <w:szCs w:val="21"/>
              </w:rPr>
            </w:pPr>
          </w:p>
        </w:tc>
        <w:tc>
          <w:tcPr>
            <w:tcW w:w="9639" w:type="dxa"/>
          </w:tcPr>
          <w:p w14:paraId="46BEF7AE">
            <w:pPr>
              <w:keepNext w:val="0"/>
              <w:keepLines w:val="0"/>
              <w:pageBreakBefore w:val="0"/>
              <w:widowControl/>
              <w:kinsoku/>
              <w:wordWrap/>
              <w:overflowPunct/>
              <w:topLinePunct w:val="0"/>
              <w:autoSpaceDE/>
              <w:autoSpaceDN/>
              <w:bidi w:val="0"/>
              <w:adjustRightInd w:val="0"/>
              <w:snapToGrid w:val="0"/>
              <w:spacing w:after="0" w:line="28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《中华人民共和国网络安全法》第五十九条：</w:t>
            </w:r>
            <w:r>
              <w:rPr>
                <w:rFonts w:hint="eastAsia" w:ascii="宋体" w:hAnsi="宋体" w:eastAsia="宋体" w:cs="宋体"/>
                <w:color w:val="auto"/>
                <w:sz w:val="21"/>
                <w:szCs w:val="21"/>
                <w:shd w:val="clear" w:color="auto" w:fill="FFFFFF"/>
              </w:rPr>
              <w:t>网络运营者不履行本法第二十一条、第二十五条规定的</w:t>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HYPERLINK "https://www.66law.cn/laws/632680.aspx" \t "_blank" \o "网络安全" </w:instrText>
            </w:r>
            <w:r>
              <w:rPr>
                <w:rFonts w:hint="eastAsia" w:ascii="宋体" w:hAnsi="宋体" w:eastAsia="宋体" w:cs="宋体"/>
                <w:color w:val="auto"/>
                <w:sz w:val="21"/>
                <w:szCs w:val="21"/>
              </w:rPr>
              <w:fldChar w:fldCharType="separate"/>
            </w:r>
            <w:r>
              <w:rPr>
                <w:rStyle w:val="12"/>
                <w:rFonts w:hint="eastAsia" w:ascii="宋体" w:hAnsi="宋体" w:eastAsia="宋体" w:cs="宋体"/>
                <w:color w:val="auto"/>
                <w:sz w:val="21"/>
                <w:szCs w:val="21"/>
                <w:shd w:val="clear" w:color="auto" w:fill="FFFFFF"/>
              </w:rPr>
              <w:t>网络安全</w:t>
            </w:r>
            <w:r>
              <w:rPr>
                <w:rStyle w:val="12"/>
                <w:rFonts w:hint="eastAsia" w:ascii="宋体" w:hAnsi="宋体" w:eastAsia="宋体" w:cs="宋体"/>
                <w:color w:val="auto"/>
                <w:sz w:val="21"/>
                <w:szCs w:val="21"/>
                <w:shd w:val="clear" w:color="auto" w:fill="FFFFFF"/>
              </w:rPr>
              <w:fldChar w:fldCharType="end"/>
            </w:r>
            <w:r>
              <w:rPr>
                <w:rFonts w:hint="eastAsia" w:ascii="宋体" w:hAnsi="宋体" w:eastAsia="宋体" w:cs="宋体"/>
                <w:color w:val="auto"/>
                <w:sz w:val="21"/>
                <w:szCs w:val="21"/>
                <w:shd w:val="clear" w:color="auto" w:fill="FFFFFF"/>
              </w:rPr>
              <w:t>保护义务的，由有关主管部门责令改正，给予警告</w:t>
            </w:r>
            <w:r>
              <w:rPr>
                <w:rFonts w:hint="eastAsia" w:ascii="宋体" w:hAnsi="宋体" w:cs="宋体"/>
                <w:color w:val="auto"/>
                <w:sz w:val="21"/>
                <w:szCs w:val="21"/>
                <w:shd w:val="clear" w:color="auto" w:fill="FFFFFF"/>
                <w:lang w:eastAsia="zh-CN"/>
              </w:rPr>
              <w:t>；</w:t>
            </w:r>
            <w:r>
              <w:rPr>
                <w:rFonts w:hint="eastAsia" w:ascii="宋体" w:hAnsi="宋体" w:eastAsia="宋体" w:cs="宋体"/>
                <w:color w:val="auto"/>
                <w:sz w:val="21"/>
                <w:szCs w:val="21"/>
                <w:shd w:val="clear" w:color="auto" w:fill="FFFFFF"/>
              </w:rPr>
              <w:t>拒不改正或者导致危害网络安全等后果的，处一万元以上十万元以下罚款，对直接负责的主管人员处五千元以上五万元以下罚款。</w:t>
            </w:r>
          </w:p>
        </w:tc>
      </w:tr>
      <w:tr w14:paraId="791FB9C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3D282975">
            <w:pPr>
              <w:spacing w:after="0"/>
              <w:jc w:val="left"/>
              <w:rPr>
                <w:rFonts w:hint="eastAsia" w:ascii="宋体" w:hAnsi="宋体" w:eastAsia="宋体" w:cs="宋体"/>
                <w:color w:val="auto"/>
                <w:sz w:val="21"/>
                <w:szCs w:val="21"/>
              </w:rPr>
            </w:pPr>
          </w:p>
        </w:tc>
        <w:tc>
          <w:tcPr>
            <w:tcW w:w="1417" w:type="dxa"/>
            <w:vMerge w:val="continue"/>
          </w:tcPr>
          <w:p w14:paraId="26CBB054">
            <w:pPr>
              <w:spacing w:after="0"/>
              <w:jc w:val="left"/>
              <w:rPr>
                <w:rFonts w:hint="eastAsia" w:ascii="宋体" w:hAnsi="宋体" w:eastAsia="宋体" w:cs="宋体"/>
                <w:color w:val="auto"/>
                <w:sz w:val="21"/>
                <w:szCs w:val="21"/>
              </w:rPr>
            </w:pPr>
          </w:p>
        </w:tc>
        <w:tc>
          <w:tcPr>
            <w:tcW w:w="1985" w:type="dxa"/>
            <w:vMerge w:val="continue"/>
          </w:tcPr>
          <w:p w14:paraId="54289EEF">
            <w:pPr>
              <w:spacing w:after="0"/>
              <w:jc w:val="left"/>
              <w:rPr>
                <w:rFonts w:hint="eastAsia" w:ascii="宋体" w:hAnsi="宋体" w:eastAsia="宋体" w:cs="宋体"/>
                <w:color w:val="auto"/>
                <w:sz w:val="21"/>
                <w:szCs w:val="21"/>
              </w:rPr>
            </w:pPr>
          </w:p>
        </w:tc>
        <w:tc>
          <w:tcPr>
            <w:tcW w:w="9639" w:type="dxa"/>
          </w:tcPr>
          <w:p w14:paraId="1DD82CC0">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r w14:paraId="6F7457A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restart"/>
          </w:tcPr>
          <w:p w14:paraId="6C8B42C9">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1417" w:type="dxa"/>
            <w:vMerge w:val="restart"/>
          </w:tcPr>
          <w:p w14:paraId="4B8F6D71">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旅馆未实行全天二十四小时值班制度</w:t>
            </w:r>
          </w:p>
          <w:p w14:paraId="3317E98E">
            <w:pPr>
              <w:spacing w:after="0"/>
              <w:jc w:val="left"/>
              <w:rPr>
                <w:rFonts w:hint="eastAsia" w:ascii="宋体" w:hAnsi="宋体" w:eastAsia="宋体" w:cs="宋体"/>
                <w:color w:val="auto"/>
                <w:sz w:val="21"/>
                <w:szCs w:val="21"/>
              </w:rPr>
            </w:pPr>
          </w:p>
        </w:tc>
        <w:tc>
          <w:tcPr>
            <w:tcW w:w="1985" w:type="dxa"/>
            <w:vMerge w:val="restart"/>
          </w:tcPr>
          <w:p w14:paraId="236C1C91">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w:t>
            </w:r>
          </w:p>
          <w:p w14:paraId="6CFC0C6E">
            <w:pPr>
              <w:spacing w:after="0"/>
              <w:jc w:val="left"/>
              <w:rPr>
                <w:rFonts w:hint="eastAsia" w:ascii="宋体" w:hAnsi="宋体" w:eastAsia="宋体" w:cs="宋体"/>
                <w:color w:val="auto"/>
                <w:sz w:val="21"/>
                <w:szCs w:val="21"/>
              </w:rPr>
            </w:pPr>
          </w:p>
        </w:tc>
        <w:tc>
          <w:tcPr>
            <w:tcW w:w="9639" w:type="dxa"/>
          </w:tcPr>
          <w:p w14:paraId="2FD1C913">
            <w:pPr>
              <w:keepNext w:val="0"/>
              <w:keepLines w:val="0"/>
              <w:pageBreakBefore w:val="0"/>
              <w:widowControl/>
              <w:kinsoku/>
              <w:wordWrap/>
              <w:overflowPunct/>
              <w:topLinePunct w:val="0"/>
              <w:autoSpaceDE/>
              <w:autoSpaceDN/>
              <w:bidi w:val="0"/>
              <w:adjustRightInd w:val="0"/>
              <w:snapToGrid w:val="0"/>
              <w:spacing w:after="0" w:line="28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shd w:val="clear" w:color="auto" w:fill="F9F9F9"/>
              </w:rPr>
              <w:t>《中华人民共和国治安管理处罚法》第五十六条： 旅馆业的工作人员对住宿的旅客不按规定登记姓名、身份证件种类和号码的，或者明知住宿的旅客将危险物质带入旅馆，不予制止的，处二百元以上五百元以下罚款。</w:t>
            </w:r>
          </w:p>
        </w:tc>
      </w:tr>
      <w:tr w14:paraId="62342EA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7F3FAD65">
            <w:pPr>
              <w:spacing w:after="0"/>
              <w:jc w:val="left"/>
              <w:rPr>
                <w:rFonts w:hint="eastAsia" w:ascii="宋体" w:hAnsi="宋体" w:eastAsia="宋体" w:cs="宋体"/>
                <w:color w:val="auto"/>
                <w:sz w:val="21"/>
                <w:szCs w:val="21"/>
              </w:rPr>
            </w:pPr>
          </w:p>
        </w:tc>
        <w:tc>
          <w:tcPr>
            <w:tcW w:w="1417" w:type="dxa"/>
            <w:vMerge w:val="continue"/>
          </w:tcPr>
          <w:p w14:paraId="4C017428">
            <w:pPr>
              <w:spacing w:after="0"/>
              <w:jc w:val="left"/>
              <w:rPr>
                <w:rFonts w:hint="eastAsia" w:ascii="宋体" w:hAnsi="宋体" w:eastAsia="宋体" w:cs="宋体"/>
                <w:color w:val="auto"/>
                <w:sz w:val="21"/>
                <w:szCs w:val="21"/>
              </w:rPr>
            </w:pPr>
          </w:p>
        </w:tc>
        <w:tc>
          <w:tcPr>
            <w:tcW w:w="1985" w:type="dxa"/>
            <w:vMerge w:val="continue"/>
          </w:tcPr>
          <w:p w14:paraId="44E43437">
            <w:pPr>
              <w:spacing w:after="0"/>
              <w:jc w:val="left"/>
              <w:rPr>
                <w:rFonts w:hint="eastAsia" w:ascii="宋体" w:hAnsi="宋体" w:eastAsia="宋体" w:cs="宋体"/>
                <w:color w:val="auto"/>
                <w:sz w:val="21"/>
                <w:szCs w:val="21"/>
              </w:rPr>
            </w:pPr>
          </w:p>
        </w:tc>
        <w:tc>
          <w:tcPr>
            <w:tcW w:w="9639" w:type="dxa"/>
          </w:tcPr>
          <w:p w14:paraId="323B8331">
            <w:pPr>
              <w:keepNext w:val="0"/>
              <w:keepLines w:val="0"/>
              <w:pageBreakBefore w:val="0"/>
              <w:widowControl/>
              <w:kinsoku/>
              <w:wordWrap/>
              <w:overflowPunct/>
              <w:topLinePunct w:val="0"/>
              <w:autoSpaceDE/>
              <w:autoSpaceDN/>
              <w:bidi w:val="0"/>
              <w:adjustRightInd w:val="0"/>
              <w:snapToGrid w:val="0"/>
              <w:spacing w:after="0" w:line="28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江西省旅馆业治安管理办法》第十二条：旅馆应当建立全天二十四小时值班制度。旅馆门卫值班人员应当掌握进出人员情况，必要时可以要求来访者出示身份证或者询问其被访者姓名、住宿房间号。旅馆其他值班人员应当按照值班制度的规定履行巡查职责，维护住宿人员的合法权益和旅馆的正常秩序。客房钥匙由客房值班人员负责管理的，应当凭住宿证对号开启房门。</w:t>
            </w:r>
          </w:p>
        </w:tc>
      </w:tr>
      <w:tr w14:paraId="2C72C6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68B040EE">
            <w:pPr>
              <w:spacing w:after="0"/>
              <w:jc w:val="left"/>
              <w:rPr>
                <w:rFonts w:hint="eastAsia" w:ascii="宋体" w:hAnsi="宋体" w:eastAsia="宋体" w:cs="宋体"/>
                <w:color w:val="auto"/>
                <w:sz w:val="21"/>
                <w:szCs w:val="21"/>
              </w:rPr>
            </w:pPr>
          </w:p>
        </w:tc>
        <w:tc>
          <w:tcPr>
            <w:tcW w:w="1417" w:type="dxa"/>
            <w:vMerge w:val="continue"/>
          </w:tcPr>
          <w:p w14:paraId="4C1FA49A">
            <w:pPr>
              <w:spacing w:after="0"/>
              <w:jc w:val="left"/>
              <w:rPr>
                <w:rFonts w:hint="eastAsia" w:ascii="宋体" w:hAnsi="宋体" w:eastAsia="宋体" w:cs="宋体"/>
                <w:color w:val="auto"/>
                <w:sz w:val="21"/>
                <w:szCs w:val="21"/>
              </w:rPr>
            </w:pPr>
          </w:p>
        </w:tc>
        <w:tc>
          <w:tcPr>
            <w:tcW w:w="1985" w:type="dxa"/>
            <w:vMerge w:val="continue"/>
          </w:tcPr>
          <w:p w14:paraId="2E7705EE">
            <w:pPr>
              <w:spacing w:after="0"/>
              <w:jc w:val="left"/>
              <w:rPr>
                <w:rFonts w:hint="eastAsia" w:ascii="宋体" w:hAnsi="宋体" w:eastAsia="宋体" w:cs="宋体"/>
                <w:color w:val="auto"/>
                <w:sz w:val="21"/>
                <w:szCs w:val="21"/>
              </w:rPr>
            </w:pPr>
          </w:p>
        </w:tc>
        <w:tc>
          <w:tcPr>
            <w:tcW w:w="9639" w:type="dxa"/>
          </w:tcPr>
          <w:p w14:paraId="53909AC9">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r w14:paraId="1A4B27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restart"/>
          </w:tcPr>
          <w:p w14:paraId="7F0F8C20">
            <w:pPr>
              <w:spacing w:after="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w:t>
            </w:r>
          </w:p>
        </w:tc>
        <w:tc>
          <w:tcPr>
            <w:tcW w:w="1417" w:type="dxa"/>
            <w:vMerge w:val="restart"/>
          </w:tcPr>
          <w:p w14:paraId="15741F7F">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未按规定进行自招保安员备案</w:t>
            </w:r>
          </w:p>
        </w:tc>
        <w:tc>
          <w:tcPr>
            <w:tcW w:w="1985" w:type="dxa"/>
            <w:vMerge w:val="restart"/>
          </w:tcPr>
          <w:p w14:paraId="34EEAC3D">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初次违法且危害后果轻微并及时改正的</w:t>
            </w:r>
          </w:p>
        </w:tc>
        <w:tc>
          <w:tcPr>
            <w:tcW w:w="9639" w:type="dxa"/>
          </w:tcPr>
          <w:p w14:paraId="7370F5E4">
            <w:pPr>
              <w:pStyle w:val="8"/>
              <w:shd w:val="clear" w:color="auto" w:fill="FFFFFF"/>
              <w:spacing w:before="0" w:beforeAutospacing="0" w:after="0" w:afterAutospacing="0"/>
              <w:jc w:val="left"/>
              <w:rPr>
                <w:rFonts w:hint="eastAsia" w:ascii="宋体" w:hAnsi="宋体" w:eastAsia="宋体" w:cs="宋体"/>
                <w:color w:val="auto"/>
                <w:sz w:val="21"/>
                <w:szCs w:val="21"/>
              </w:rPr>
            </w:pPr>
            <w:r>
              <w:rPr>
                <w:rStyle w:val="18"/>
                <w:rFonts w:hint="eastAsia" w:ascii="宋体" w:hAnsi="宋体" w:eastAsia="宋体" w:cs="宋体"/>
                <w:b w:val="0"/>
                <w:bCs w:val="0"/>
                <w:color w:val="333333"/>
                <w:sz w:val="21"/>
                <w:szCs w:val="21"/>
              </w:rPr>
              <w:t>《保安服务管理条例》</w:t>
            </w:r>
            <w:r>
              <w:rPr>
                <w:rStyle w:val="18"/>
                <w:rFonts w:hint="eastAsia" w:ascii="宋体" w:hAnsi="宋体" w:eastAsia="宋体" w:cs="宋体"/>
                <w:color w:val="333333"/>
                <w:sz w:val="21"/>
                <w:szCs w:val="21"/>
              </w:rPr>
              <w:t>第四十二条</w:t>
            </w:r>
            <w:r>
              <w:rPr>
                <w:rStyle w:val="18"/>
                <w:rFonts w:hint="eastAsia" w:ascii="宋体" w:hAnsi="宋体" w:eastAsia="宋体" w:cs="宋体"/>
                <w:color w:val="333333"/>
                <w:sz w:val="21"/>
                <w:szCs w:val="21"/>
                <w:lang w:eastAsia="zh-CN"/>
              </w:rPr>
              <w:t>：</w:t>
            </w:r>
            <w:r>
              <w:rPr>
                <w:rStyle w:val="18"/>
                <w:rFonts w:hint="eastAsia" w:ascii="宋体" w:hAnsi="宋体" w:eastAsia="宋体" w:cs="宋体"/>
                <w:color w:val="333333"/>
                <w:sz w:val="21"/>
                <w:szCs w:val="21"/>
              </w:rPr>
              <w:t>保安从业单位有下列情形之一的，责令限期改正，给予警告；情节严重的，并处1万元以上5万元以下的罚款；有违法所得的，没收违法所得：（二）未按照本条例的规定进行备案或者撤销备案的；</w:t>
            </w:r>
          </w:p>
        </w:tc>
      </w:tr>
      <w:tr w14:paraId="6FB38E1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29923930">
            <w:pPr>
              <w:spacing w:after="0"/>
              <w:jc w:val="left"/>
              <w:rPr>
                <w:rFonts w:hint="eastAsia" w:ascii="宋体" w:hAnsi="宋体" w:eastAsia="宋体" w:cs="宋体"/>
                <w:color w:val="auto"/>
                <w:sz w:val="21"/>
                <w:szCs w:val="21"/>
              </w:rPr>
            </w:pPr>
          </w:p>
        </w:tc>
        <w:tc>
          <w:tcPr>
            <w:tcW w:w="1417" w:type="dxa"/>
            <w:vMerge w:val="continue"/>
          </w:tcPr>
          <w:p w14:paraId="2E5590A6">
            <w:pPr>
              <w:spacing w:after="0"/>
              <w:jc w:val="left"/>
              <w:rPr>
                <w:rFonts w:hint="eastAsia" w:ascii="宋体" w:hAnsi="宋体" w:eastAsia="宋体" w:cs="宋体"/>
                <w:color w:val="auto"/>
                <w:sz w:val="21"/>
                <w:szCs w:val="21"/>
              </w:rPr>
            </w:pPr>
          </w:p>
        </w:tc>
        <w:tc>
          <w:tcPr>
            <w:tcW w:w="1985" w:type="dxa"/>
            <w:vMerge w:val="continue"/>
          </w:tcPr>
          <w:p w14:paraId="4E93F132">
            <w:pPr>
              <w:spacing w:after="0"/>
              <w:jc w:val="left"/>
              <w:rPr>
                <w:rFonts w:hint="eastAsia" w:ascii="宋体" w:hAnsi="宋体" w:eastAsia="宋体" w:cs="宋体"/>
                <w:color w:val="auto"/>
                <w:sz w:val="21"/>
                <w:szCs w:val="21"/>
              </w:rPr>
            </w:pPr>
          </w:p>
        </w:tc>
        <w:tc>
          <w:tcPr>
            <w:tcW w:w="9639" w:type="dxa"/>
          </w:tcPr>
          <w:p w14:paraId="3A54B025">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r w14:paraId="6B1CD23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restart"/>
          </w:tcPr>
          <w:p w14:paraId="1BFA27D0">
            <w:pPr>
              <w:spacing w:after="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1417" w:type="dxa"/>
            <w:vMerge w:val="restart"/>
          </w:tcPr>
          <w:p w14:paraId="724B800C">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未按规定撤销自招保安员备案</w:t>
            </w:r>
          </w:p>
        </w:tc>
        <w:tc>
          <w:tcPr>
            <w:tcW w:w="1985" w:type="dxa"/>
            <w:vMerge w:val="restart"/>
          </w:tcPr>
          <w:p w14:paraId="40A41C4A">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初次违法且危害后果轻微并及时改正的</w:t>
            </w:r>
          </w:p>
        </w:tc>
        <w:tc>
          <w:tcPr>
            <w:tcW w:w="9639" w:type="dxa"/>
          </w:tcPr>
          <w:p w14:paraId="1868C96C">
            <w:pPr>
              <w:pStyle w:val="8"/>
              <w:shd w:val="clear" w:color="auto" w:fill="FFFFFF"/>
              <w:spacing w:before="0" w:beforeAutospacing="0" w:after="0" w:afterAutospacing="0"/>
              <w:jc w:val="left"/>
              <w:rPr>
                <w:rFonts w:hint="eastAsia" w:ascii="宋体" w:hAnsi="宋体" w:eastAsia="宋体" w:cs="宋体"/>
                <w:color w:val="auto"/>
                <w:sz w:val="21"/>
                <w:szCs w:val="21"/>
              </w:rPr>
            </w:pPr>
            <w:r>
              <w:rPr>
                <w:rStyle w:val="18"/>
                <w:rFonts w:hint="eastAsia" w:ascii="宋体" w:hAnsi="宋体" w:eastAsia="宋体" w:cs="宋体"/>
                <w:b w:val="0"/>
                <w:bCs w:val="0"/>
                <w:color w:val="333333"/>
                <w:sz w:val="21"/>
                <w:szCs w:val="21"/>
              </w:rPr>
              <w:t>《保安服务管理条例》第</w:t>
            </w:r>
            <w:r>
              <w:rPr>
                <w:rStyle w:val="18"/>
                <w:rFonts w:hint="eastAsia" w:ascii="宋体" w:hAnsi="宋体" w:eastAsia="宋体" w:cs="宋体"/>
                <w:color w:val="333333"/>
                <w:sz w:val="21"/>
                <w:szCs w:val="21"/>
              </w:rPr>
              <w:t>四十二条</w:t>
            </w:r>
            <w:r>
              <w:rPr>
                <w:rStyle w:val="18"/>
                <w:rFonts w:hint="eastAsia" w:ascii="宋体" w:hAnsi="宋体" w:eastAsia="宋体" w:cs="宋体"/>
                <w:color w:val="333333"/>
                <w:sz w:val="21"/>
                <w:szCs w:val="21"/>
                <w:lang w:eastAsia="zh-CN"/>
              </w:rPr>
              <w:t>：</w:t>
            </w:r>
            <w:r>
              <w:rPr>
                <w:rStyle w:val="18"/>
                <w:rFonts w:hint="eastAsia" w:ascii="宋体" w:hAnsi="宋体" w:eastAsia="宋体" w:cs="宋体"/>
                <w:color w:val="333333"/>
                <w:sz w:val="21"/>
                <w:szCs w:val="21"/>
              </w:rPr>
              <w:t>保安从业单位有下列情形之一的，责令限期改正，给予警告；情节严重的，并处1万元以上5万元以下的罚款；有违法所得的，没收违法所得：（二）未按照本条例的规定进行备案或者撤销备案的；</w:t>
            </w:r>
          </w:p>
        </w:tc>
      </w:tr>
      <w:tr w14:paraId="7AB26C9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1CEC4527">
            <w:pPr>
              <w:spacing w:after="0"/>
              <w:jc w:val="left"/>
              <w:rPr>
                <w:rFonts w:hint="eastAsia" w:ascii="宋体" w:hAnsi="宋体" w:eastAsia="宋体" w:cs="宋体"/>
                <w:color w:val="auto"/>
                <w:sz w:val="21"/>
                <w:szCs w:val="21"/>
              </w:rPr>
            </w:pPr>
          </w:p>
        </w:tc>
        <w:tc>
          <w:tcPr>
            <w:tcW w:w="1417" w:type="dxa"/>
            <w:vMerge w:val="continue"/>
          </w:tcPr>
          <w:p w14:paraId="577B53C8">
            <w:pPr>
              <w:spacing w:after="0"/>
              <w:jc w:val="left"/>
              <w:rPr>
                <w:rFonts w:hint="eastAsia" w:ascii="宋体" w:hAnsi="宋体" w:eastAsia="宋体" w:cs="宋体"/>
                <w:color w:val="auto"/>
                <w:sz w:val="21"/>
                <w:szCs w:val="21"/>
              </w:rPr>
            </w:pPr>
          </w:p>
        </w:tc>
        <w:tc>
          <w:tcPr>
            <w:tcW w:w="1985" w:type="dxa"/>
            <w:vMerge w:val="continue"/>
          </w:tcPr>
          <w:p w14:paraId="18AAC4C2">
            <w:pPr>
              <w:spacing w:after="0"/>
              <w:jc w:val="left"/>
              <w:rPr>
                <w:rFonts w:hint="eastAsia" w:ascii="宋体" w:hAnsi="宋体" w:eastAsia="宋体" w:cs="宋体"/>
                <w:color w:val="auto"/>
                <w:sz w:val="21"/>
                <w:szCs w:val="21"/>
              </w:rPr>
            </w:pPr>
          </w:p>
        </w:tc>
        <w:tc>
          <w:tcPr>
            <w:tcW w:w="9639" w:type="dxa"/>
          </w:tcPr>
          <w:p w14:paraId="73C174DE">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r w14:paraId="1429DC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restart"/>
          </w:tcPr>
          <w:p w14:paraId="2AAF9639">
            <w:pPr>
              <w:spacing w:after="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w:t>
            </w:r>
          </w:p>
        </w:tc>
        <w:tc>
          <w:tcPr>
            <w:tcW w:w="1417" w:type="dxa"/>
            <w:vMerge w:val="restart"/>
          </w:tcPr>
          <w:p w14:paraId="76220F2B">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未按规定签订、留存保安服务合同</w:t>
            </w:r>
          </w:p>
        </w:tc>
        <w:tc>
          <w:tcPr>
            <w:tcW w:w="1985" w:type="dxa"/>
            <w:vMerge w:val="restart"/>
          </w:tcPr>
          <w:p w14:paraId="5EA5F812">
            <w:pPr>
              <w:spacing w:after="0"/>
              <w:jc w:val="left"/>
              <w:rPr>
                <w:rFonts w:hint="eastAsia" w:ascii="宋体" w:hAnsi="宋体" w:eastAsia="宋体" w:cs="宋体"/>
                <w:color w:val="auto"/>
                <w:sz w:val="21"/>
                <w:szCs w:val="21"/>
              </w:rPr>
            </w:pPr>
            <w:r>
              <w:rPr>
                <w:rFonts w:hint="eastAsia" w:ascii="宋体" w:hAnsi="宋体" w:eastAsia="宋体" w:cs="宋体"/>
                <w:color w:val="auto"/>
                <w:sz w:val="21"/>
                <w:szCs w:val="21"/>
              </w:rPr>
              <w:t>初次违法且危害后果轻微并及时改正的</w:t>
            </w:r>
          </w:p>
        </w:tc>
        <w:tc>
          <w:tcPr>
            <w:tcW w:w="9639" w:type="dxa"/>
          </w:tcPr>
          <w:p w14:paraId="5C1B60BC">
            <w:pPr>
              <w:pStyle w:val="8"/>
              <w:shd w:val="clear" w:color="auto" w:fill="FFFFFF"/>
              <w:spacing w:before="0" w:beforeAutospacing="0" w:after="0" w:afterAutospacing="0"/>
              <w:jc w:val="left"/>
              <w:rPr>
                <w:rFonts w:hint="eastAsia" w:ascii="宋体" w:hAnsi="宋体" w:eastAsia="宋体" w:cs="宋体"/>
                <w:color w:val="auto"/>
                <w:sz w:val="21"/>
                <w:szCs w:val="21"/>
              </w:rPr>
            </w:pPr>
            <w:r>
              <w:rPr>
                <w:rStyle w:val="18"/>
                <w:rFonts w:hint="eastAsia" w:ascii="宋体" w:hAnsi="宋体" w:eastAsia="宋体" w:cs="宋体"/>
                <w:b w:val="0"/>
                <w:bCs w:val="0"/>
                <w:color w:val="333333"/>
                <w:sz w:val="21"/>
                <w:szCs w:val="21"/>
              </w:rPr>
              <w:t>《保安服务管理条例》</w:t>
            </w:r>
            <w:r>
              <w:rPr>
                <w:rStyle w:val="18"/>
                <w:rFonts w:hint="eastAsia" w:ascii="宋体" w:hAnsi="宋体" w:eastAsia="宋体" w:cs="宋体"/>
                <w:color w:val="333333"/>
                <w:sz w:val="21"/>
                <w:szCs w:val="21"/>
              </w:rPr>
              <w:t>第四十二条</w:t>
            </w:r>
            <w:r>
              <w:rPr>
                <w:rStyle w:val="18"/>
                <w:rFonts w:hint="eastAsia" w:ascii="宋体" w:hAnsi="宋体" w:eastAsia="宋体" w:cs="宋体"/>
                <w:color w:val="333333"/>
                <w:sz w:val="21"/>
                <w:szCs w:val="21"/>
                <w:lang w:eastAsia="zh-CN"/>
              </w:rPr>
              <w:t>：</w:t>
            </w:r>
            <w:r>
              <w:rPr>
                <w:rStyle w:val="18"/>
                <w:rFonts w:hint="eastAsia" w:ascii="宋体" w:hAnsi="宋体" w:eastAsia="宋体" w:cs="宋体"/>
                <w:color w:val="333333"/>
                <w:sz w:val="21"/>
                <w:szCs w:val="21"/>
              </w:rPr>
              <w:t>保安从业单位有下列情形之一的，责令限期改正，给予警告；情节严重的，并处1万元以上5万元以下的罚款；有违法所得的，没收违法所得：（六）保安服务公司未按照本条例的规定签订、留存保安服务合同的。</w:t>
            </w:r>
          </w:p>
        </w:tc>
      </w:tr>
      <w:tr w14:paraId="249FD5E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1" w:hRule="atLeast"/>
        </w:trPr>
        <w:tc>
          <w:tcPr>
            <w:tcW w:w="959" w:type="dxa"/>
            <w:vMerge w:val="continue"/>
          </w:tcPr>
          <w:p w14:paraId="2B8E1D47">
            <w:pPr>
              <w:spacing w:after="0"/>
              <w:jc w:val="left"/>
              <w:rPr>
                <w:rFonts w:hint="eastAsia" w:ascii="宋体" w:hAnsi="宋体" w:eastAsia="宋体" w:cs="宋体"/>
                <w:color w:val="auto"/>
                <w:sz w:val="21"/>
                <w:szCs w:val="21"/>
              </w:rPr>
            </w:pPr>
          </w:p>
        </w:tc>
        <w:tc>
          <w:tcPr>
            <w:tcW w:w="1417" w:type="dxa"/>
            <w:vMerge w:val="continue"/>
          </w:tcPr>
          <w:p w14:paraId="27A62937">
            <w:pPr>
              <w:spacing w:after="0"/>
              <w:jc w:val="left"/>
              <w:rPr>
                <w:rFonts w:hint="eastAsia" w:ascii="宋体" w:hAnsi="宋体" w:eastAsia="宋体" w:cs="宋体"/>
                <w:color w:val="auto"/>
                <w:sz w:val="21"/>
                <w:szCs w:val="21"/>
              </w:rPr>
            </w:pPr>
          </w:p>
        </w:tc>
        <w:tc>
          <w:tcPr>
            <w:tcW w:w="1985" w:type="dxa"/>
            <w:vMerge w:val="continue"/>
          </w:tcPr>
          <w:p w14:paraId="7CEDFCC5">
            <w:pPr>
              <w:spacing w:after="0"/>
              <w:jc w:val="left"/>
              <w:rPr>
                <w:rFonts w:hint="eastAsia" w:ascii="宋体" w:hAnsi="宋体" w:eastAsia="宋体" w:cs="宋体"/>
                <w:color w:val="auto"/>
                <w:sz w:val="21"/>
                <w:szCs w:val="21"/>
              </w:rPr>
            </w:pPr>
          </w:p>
        </w:tc>
        <w:tc>
          <w:tcPr>
            <w:tcW w:w="9639" w:type="dxa"/>
          </w:tcPr>
          <w:p w14:paraId="6078C15F">
            <w:pPr>
              <w:spacing w:after="0"/>
              <w:jc w:val="left"/>
              <w:rPr>
                <w:rFonts w:hint="eastAsia" w:ascii="宋体" w:hAnsi="宋体" w:eastAsia="宋体" w:cs="宋体"/>
                <w:color w:val="auto"/>
                <w:sz w:val="21"/>
                <w:szCs w:val="21"/>
              </w:rPr>
            </w:pPr>
            <w:r>
              <w:rPr>
                <w:rFonts w:hint="eastAsia" w:ascii="宋体" w:hAnsi="宋体" w:cs="宋体"/>
                <w:color w:val="auto"/>
                <w:sz w:val="21"/>
                <w:szCs w:val="21"/>
                <w:lang w:eastAsia="zh-CN"/>
              </w:rPr>
              <w:t>《中华人民共和国行政处罚法》</w:t>
            </w:r>
            <w:r>
              <w:rPr>
                <w:rFonts w:hint="eastAsia" w:ascii="宋体" w:hAnsi="宋体" w:eastAsia="宋体" w:cs="宋体"/>
                <w:color w:val="auto"/>
                <w:sz w:val="21"/>
                <w:szCs w:val="21"/>
              </w:rPr>
              <w:t>第三十三条第一款</w:t>
            </w:r>
            <w:r>
              <w:rPr>
                <w:rFonts w:hint="eastAsia" w:ascii="宋体" w:hAnsi="宋体" w:cs="宋体"/>
                <w:color w:val="auto"/>
                <w:sz w:val="21"/>
                <w:szCs w:val="21"/>
                <w:lang w:eastAsia="zh-CN"/>
              </w:rPr>
              <w:t>：</w:t>
            </w:r>
            <w:r>
              <w:rPr>
                <w:rFonts w:hint="eastAsia" w:ascii="宋体" w:hAnsi="宋体" w:eastAsia="宋体" w:cs="宋体"/>
                <w:color w:val="auto"/>
                <w:sz w:val="21"/>
                <w:szCs w:val="21"/>
              </w:rPr>
              <w:t>违法行为轻微并及时改正</w:t>
            </w:r>
            <w:r>
              <w:rPr>
                <w:rFonts w:hint="eastAsia" w:ascii="宋体" w:hAnsi="宋体" w:cs="宋体"/>
                <w:color w:val="auto"/>
                <w:sz w:val="21"/>
                <w:szCs w:val="21"/>
                <w:lang w:eastAsia="zh-CN"/>
              </w:rPr>
              <w:t>，</w:t>
            </w:r>
            <w:r>
              <w:rPr>
                <w:rFonts w:hint="eastAsia" w:ascii="宋体" w:hAnsi="宋体" w:eastAsia="宋体" w:cs="宋体"/>
                <w:color w:val="auto"/>
                <w:sz w:val="21"/>
                <w:szCs w:val="21"/>
              </w:rPr>
              <w:t>没有造成危害后果的</w:t>
            </w:r>
            <w:r>
              <w:rPr>
                <w:rFonts w:hint="eastAsia" w:ascii="宋体" w:hAnsi="宋体" w:cs="宋体"/>
                <w:color w:val="auto"/>
                <w:sz w:val="21"/>
                <w:szCs w:val="21"/>
                <w:lang w:eastAsia="zh-CN"/>
              </w:rPr>
              <w:t>，</w:t>
            </w:r>
            <w:r>
              <w:rPr>
                <w:rFonts w:hint="eastAsia" w:ascii="宋体" w:hAnsi="宋体" w:eastAsia="宋体" w:cs="宋体"/>
                <w:color w:val="auto"/>
                <w:sz w:val="21"/>
                <w:szCs w:val="21"/>
              </w:rPr>
              <w:t>不予行政处罚。初次违法且危害后果轻微并及时改正的</w:t>
            </w:r>
            <w:r>
              <w:rPr>
                <w:rFonts w:hint="eastAsia" w:ascii="宋体" w:hAnsi="宋体" w:cs="宋体"/>
                <w:color w:val="auto"/>
                <w:sz w:val="21"/>
                <w:szCs w:val="21"/>
                <w:lang w:eastAsia="zh-CN"/>
              </w:rPr>
              <w:t>，</w:t>
            </w:r>
            <w:r>
              <w:rPr>
                <w:rFonts w:hint="eastAsia" w:ascii="宋体" w:hAnsi="宋体" w:eastAsia="宋体" w:cs="宋体"/>
                <w:color w:val="auto"/>
                <w:sz w:val="21"/>
                <w:szCs w:val="21"/>
              </w:rPr>
              <w:t>可以不予行政处罚。</w:t>
            </w:r>
          </w:p>
        </w:tc>
      </w:tr>
    </w:tbl>
    <w:p w14:paraId="5D30C4FD">
      <w:pPr>
        <w:widowControl/>
        <w:numPr>
          <w:ilvl w:val="0"/>
          <w:numId w:val="0"/>
        </w:numPr>
        <w:textAlignment w:val="center"/>
        <w:rPr>
          <w:rFonts w:hint="eastAsia" w:ascii="黑体" w:hAnsi="黑体" w:eastAsia="黑体" w:cs="黑体"/>
          <w:spacing w:val="-11"/>
          <w:kern w:val="0"/>
          <w:sz w:val="32"/>
          <w:szCs w:val="32"/>
          <w:highlight w:val="none"/>
          <w:lang w:bidi="ar"/>
        </w:rPr>
      </w:pPr>
    </w:p>
    <w:p w14:paraId="1F6AE08D">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档案</w:t>
      </w:r>
      <w:r>
        <w:rPr>
          <w:rFonts w:hint="eastAsia" w:ascii="黑体" w:hAnsi="黑体" w:eastAsia="黑体" w:cs="黑体"/>
          <w:spacing w:val="-11"/>
          <w:kern w:val="0"/>
          <w:sz w:val="32"/>
          <w:szCs w:val="32"/>
          <w:highlight w:val="none"/>
          <w:lang w:bidi="ar"/>
        </w:rPr>
        <w:t>领域轻微违法行为不予处罚清单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3367"/>
        <w:gridCol w:w="2881"/>
        <w:gridCol w:w="6916"/>
      </w:tblGrid>
      <w:tr w14:paraId="5A9C1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noWrap w:val="0"/>
            <w:vAlign w:val="top"/>
          </w:tcPr>
          <w:p w14:paraId="19DF5827">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序号</w:t>
            </w:r>
          </w:p>
        </w:tc>
        <w:tc>
          <w:tcPr>
            <w:tcW w:w="3367" w:type="dxa"/>
            <w:noWrap w:val="0"/>
            <w:vAlign w:val="top"/>
          </w:tcPr>
          <w:p w14:paraId="064D5B17">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违法行为</w:t>
            </w:r>
          </w:p>
        </w:tc>
        <w:tc>
          <w:tcPr>
            <w:tcW w:w="2881" w:type="dxa"/>
            <w:noWrap w:val="0"/>
            <w:vAlign w:val="top"/>
          </w:tcPr>
          <w:p w14:paraId="1AD2D4A4">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不予处罚条件</w:t>
            </w:r>
          </w:p>
        </w:tc>
        <w:tc>
          <w:tcPr>
            <w:tcW w:w="6916" w:type="dxa"/>
            <w:noWrap w:val="0"/>
            <w:vAlign w:val="top"/>
          </w:tcPr>
          <w:p w14:paraId="3BB6BB67">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法律依据</w:t>
            </w:r>
          </w:p>
        </w:tc>
      </w:tr>
      <w:tr w14:paraId="5B53E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noWrap w:val="0"/>
            <w:vAlign w:val="center"/>
          </w:tcPr>
          <w:p w14:paraId="71BFDD6D">
            <w:pPr>
              <w:widowControl/>
              <w:spacing w:line="320" w:lineRule="exact"/>
              <w:textAlignment w:val="center"/>
              <w:rPr>
                <w:rFonts w:hint="eastAsia" w:ascii="宋体" w:hAnsi="宋体" w:eastAsia="宋体" w:cs="宋体"/>
                <w:spacing w:val="-11"/>
                <w:kern w:val="0"/>
                <w:szCs w:val="21"/>
                <w:lang w:val="en-US" w:eastAsia="zh-CN" w:bidi="ar"/>
              </w:rPr>
            </w:pPr>
            <w:r>
              <w:rPr>
                <w:rFonts w:hint="eastAsia" w:ascii="宋体" w:hAnsi="宋体" w:cs="宋体"/>
                <w:spacing w:val="-11"/>
                <w:kern w:val="0"/>
                <w:szCs w:val="21"/>
                <w:lang w:val="en-US" w:eastAsia="zh-CN" w:bidi="ar"/>
              </w:rPr>
              <w:t>1</w:t>
            </w:r>
          </w:p>
        </w:tc>
        <w:tc>
          <w:tcPr>
            <w:tcW w:w="3367" w:type="dxa"/>
            <w:noWrap w:val="0"/>
            <w:vAlign w:val="top"/>
          </w:tcPr>
          <w:p w14:paraId="2FE49AB0">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cs="宋体"/>
                <w:spacing w:val="-11"/>
                <w:kern w:val="0"/>
                <w:szCs w:val="21"/>
                <w:lang w:eastAsia="zh-CN" w:bidi="ar"/>
              </w:rPr>
              <w:t>擅自提供、抄录、复制、公布属于国家所有的档案</w:t>
            </w:r>
          </w:p>
        </w:tc>
        <w:tc>
          <w:tcPr>
            <w:tcW w:w="2881" w:type="dxa"/>
            <w:noWrap w:val="0"/>
            <w:vAlign w:val="top"/>
          </w:tcPr>
          <w:p w14:paraId="29DBD877">
            <w:pPr>
              <w:widowControl/>
              <w:spacing w:line="320" w:lineRule="exact"/>
              <w:textAlignment w:val="center"/>
              <w:rPr>
                <w:rFonts w:hint="default" w:ascii="宋体" w:hAnsi="宋体" w:eastAsia="宋体" w:cs="宋体"/>
                <w:spacing w:val="-11"/>
                <w:kern w:val="0"/>
                <w:szCs w:val="21"/>
                <w:lang w:val="en-US" w:eastAsia="zh-CN" w:bidi="ar"/>
              </w:rPr>
            </w:pPr>
            <w:r>
              <w:rPr>
                <w:rFonts w:hint="eastAsia" w:ascii="宋体" w:hAnsi="宋体" w:cs="宋体"/>
                <w:spacing w:val="-11"/>
                <w:kern w:val="0"/>
                <w:szCs w:val="21"/>
                <w:lang w:eastAsia="zh-CN" w:bidi="ar"/>
              </w:rPr>
              <w:t>首次违法，未造成严重后果（不涉密、可追回），且能按规定期限改正的。</w:t>
            </w:r>
          </w:p>
        </w:tc>
        <w:tc>
          <w:tcPr>
            <w:tcW w:w="6916" w:type="dxa"/>
            <w:noWrap w:val="0"/>
            <w:vAlign w:val="top"/>
          </w:tcPr>
          <w:p w14:paraId="632A5A69">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cs="宋体"/>
                <w:spacing w:val="-11"/>
                <w:kern w:val="0"/>
                <w:szCs w:val="21"/>
                <w:lang w:eastAsia="zh-CN" w:bidi="ar"/>
              </w:rPr>
              <w:t>《档案法》第四十八条：单位或者个人有下列行为之一，由县级以上档案主管部门、有关机关对直接负责的主管人员和其他直接责任人员依法给予处分；第二项“擅自提供、抄录、复制、公布属于国家所有的档案的”</w:t>
            </w:r>
          </w:p>
        </w:tc>
      </w:tr>
      <w:tr w14:paraId="4A096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noWrap w:val="0"/>
            <w:vAlign w:val="center"/>
          </w:tcPr>
          <w:p w14:paraId="7D15D96B">
            <w:pPr>
              <w:widowControl/>
              <w:spacing w:line="320" w:lineRule="exact"/>
              <w:textAlignment w:val="center"/>
              <w:rPr>
                <w:rFonts w:hint="eastAsia" w:ascii="宋体" w:hAnsi="宋体" w:eastAsia="宋体" w:cs="宋体"/>
                <w:spacing w:val="-11"/>
                <w:kern w:val="0"/>
                <w:szCs w:val="21"/>
                <w:lang w:val="en-US" w:eastAsia="zh-CN" w:bidi="ar"/>
              </w:rPr>
            </w:pPr>
            <w:r>
              <w:rPr>
                <w:rFonts w:hint="eastAsia" w:ascii="宋体" w:hAnsi="宋体" w:cs="宋体"/>
                <w:spacing w:val="-11"/>
                <w:kern w:val="0"/>
                <w:szCs w:val="21"/>
                <w:lang w:val="en-US" w:eastAsia="zh-CN" w:bidi="ar"/>
              </w:rPr>
              <w:t>2</w:t>
            </w:r>
          </w:p>
        </w:tc>
        <w:tc>
          <w:tcPr>
            <w:tcW w:w="3367" w:type="dxa"/>
            <w:noWrap w:val="0"/>
            <w:vAlign w:val="top"/>
          </w:tcPr>
          <w:p w14:paraId="3A24A620">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cs="宋体"/>
                <w:spacing w:val="-11"/>
                <w:kern w:val="0"/>
                <w:szCs w:val="21"/>
                <w:lang w:eastAsia="zh-CN" w:bidi="ar"/>
              </w:rPr>
              <w:t>不按规定归档或者不按期移交档案</w:t>
            </w:r>
          </w:p>
        </w:tc>
        <w:tc>
          <w:tcPr>
            <w:tcW w:w="2881" w:type="dxa"/>
            <w:noWrap w:val="0"/>
            <w:vAlign w:val="top"/>
          </w:tcPr>
          <w:p w14:paraId="18672B5C">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cs="宋体"/>
                <w:spacing w:val="-11"/>
                <w:kern w:val="0"/>
                <w:szCs w:val="21"/>
                <w:lang w:eastAsia="zh-CN" w:bidi="ar"/>
              </w:rPr>
              <w:t>首次轻微违法行为，及时纠正、没有造成危害后果并能限期改正的。</w:t>
            </w:r>
          </w:p>
        </w:tc>
        <w:tc>
          <w:tcPr>
            <w:tcW w:w="6916" w:type="dxa"/>
            <w:noWrap w:val="0"/>
            <w:vAlign w:val="top"/>
          </w:tcPr>
          <w:p w14:paraId="78CEB442">
            <w:pPr>
              <w:widowControl/>
              <w:spacing w:line="320" w:lineRule="exact"/>
              <w:textAlignment w:val="center"/>
              <w:rPr>
                <w:rFonts w:ascii="宋体" w:hAnsi="宋体" w:cs="宋体"/>
                <w:spacing w:val="-11"/>
                <w:kern w:val="0"/>
                <w:szCs w:val="21"/>
                <w:lang w:bidi="ar"/>
              </w:rPr>
            </w:pPr>
            <w:r>
              <w:rPr>
                <w:rFonts w:hint="eastAsia" w:ascii="宋体" w:hAnsi="宋体" w:cs="宋体"/>
                <w:spacing w:val="-11"/>
                <w:kern w:val="0"/>
                <w:szCs w:val="21"/>
                <w:lang w:eastAsia="zh-CN" w:bidi="ar"/>
              </w:rPr>
              <w:t>《档案法》第四十八条：单位或者个人有下列行为之一，由县级以上档案主管部门、有关机关对直接负责的主管人员和其他直接责任人员依法给予处分；第四项：“不按规定归档或者不按期移交档案，被责令改正而拒不改正的”</w:t>
            </w:r>
          </w:p>
        </w:tc>
      </w:tr>
      <w:tr w14:paraId="7F8C6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noWrap w:val="0"/>
            <w:vAlign w:val="center"/>
          </w:tcPr>
          <w:p w14:paraId="4BF5A25C">
            <w:pPr>
              <w:widowControl/>
              <w:spacing w:line="320" w:lineRule="exact"/>
              <w:textAlignment w:val="center"/>
              <w:rPr>
                <w:rFonts w:hint="default" w:ascii="宋体" w:hAnsi="宋体" w:cs="宋体"/>
                <w:spacing w:val="-11"/>
                <w:kern w:val="0"/>
                <w:szCs w:val="21"/>
                <w:lang w:val="en-US" w:eastAsia="zh-CN" w:bidi="ar"/>
              </w:rPr>
            </w:pPr>
            <w:r>
              <w:rPr>
                <w:rFonts w:hint="eastAsia" w:ascii="宋体" w:hAnsi="宋体" w:cs="宋体"/>
                <w:spacing w:val="-11"/>
                <w:kern w:val="0"/>
                <w:szCs w:val="21"/>
                <w:lang w:val="en-US" w:eastAsia="zh-CN" w:bidi="ar"/>
              </w:rPr>
              <w:t>3</w:t>
            </w:r>
          </w:p>
        </w:tc>
        <w:tc>
          <w:tcPr>
            <w:tcW w:w="3367" w:type="dxa"/>
            <w:noWrap w:val="0"/>
            <w:vAlign w:val="top"/>
          </w:tcPr>
          <w:p w14:paraId="3C640F7B">
            <w:pPr>
              <w:widowControl/>
              <w:spacing w:line="320" w:lineRule="exact"/>
              <w:textAlignment w:val="center"/>
              <w:rPr>
                <w:rFonts w:hint="eastAsia" w:ascii="宋体" w:hAnsi="宋体" w:cs="宋体"/>
                <w:spacing w:val="-11"/>
                <w:kern w:val="0"/>
                <w:szCs w:val="21"/>
                <w:lang w:eastAsia="zh-CN" w:bidi="ar"/>
              </w:rPr>
            </w:pPr>
            <w:r>
              <w:rPr>
                <w:rFonts w:hint="eastAsia" w:ascii="宋体" w:hAnsi="宋体" w:cs="宋体"/>
                <w:spacing w:val="-11"/>
                <w:kern w:val="0"/>
                <w:szCs w:val="21"/>
                <w:lang w:eastAsia="zh-CN" w:bidi="ar"/>
              </w:rPr>
              <w:t>造成档案丢失、损毁的</w:t>
            </w:r>
          </w:p>
        </w:tc>
        <w:tc>
          <w:tcPr>
            <w:tcW w:w="2881" w:type="dxa"/>
            <w:noWrap w:val="0"/>
            <w:vAlign w:val="top"/>
          </w:tcPr>
          <w:p w14:paraId="0D85184A">
            <w:pPr>
              <w:widowControl/>
              <w:spacing w:line="320" w:lineRule="exact"/>
              <w:textAlignment w:val="center"/>
              <w:rPr>
                <w:rFonts w:hint="eastAsia" w:ascii="宋体" w:hAnsi="宋体" w:cs="宋体"/>
                <w:spacing w:val="-11"/>
                <w:kern w:val="0"/>
                <w:szCs w:val="21"/>
                <w:lang w:eastAsia="zh-CN" w:bidi="ar"/>
              </w:rPr>
            </w:pPr>
            <w:r>
              <w:rPr>
                <w:rFonts w:hint="eastAsia" w:ascii="宋体" w:hAnsi="宋体" w:cs="宋体"/>
                <w:spacing w:val="-11"/>
                <w:kern w:val="0"/>
                <w:szCs w:val="21"/>
                <w:lang w:eastAsia="zh-CN" w:bidi="ar"/>
              </w:rPr>
              <w:t>首次违法，未造成严重后果，且能及时纠正的。</w:t>
            </w:r>
          </w:p>
        </w:tc>
        <w:tc>
          <w:tcPr>
            <w:tcW w:w="6916" w:type="dxa"/>
            <w:noWrap w:val="0"/>
            <w:vAlign w:val="top"/>
          </w:tcPr>
          <w:p w14:paraId="76A76065">
            <w:pPr>
              <w:widowControl/>
              <w:spacing w:line="320" w:lineRule="exact"/>
              <w:textAlignment w:val="center"/>
              <w:rPr>
                <w:rFonts w:hint="eastAsia"/>
                <w:lang w:eastAsia="zh-CN"/>
              </w:rPr>
            </w:pPr>
            <w:r>
              <w:rPr>
                <w:rFonts w:hint="eastAsia"/>
                <w:lang w:eastAsia="zh-CN"/>
              </w:rPr>
              <w:t>《档案法》第四十九条：利用档案馆的档案，有本法第四十八条第一项、第二项、第四项违法行为之一的，由县级以上档案主管部门给予警告，并对单位处一万元以上十万元以下的罚款，对个人处五百元以上五千元以下的罚款。</w:t>
            </w:r>
          </w:p>
        </w:tc>
      </w:tr>
      <w:tr w14:paraId="2563E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noWrap w:val="0"/>
            <w:vAlign w:val="center"/>
          </w:tcPr>
          <w:p w14:paraId="17D92D51">
            <w:pPr>
              <w:widowControl/>
              <w:spacing w:line="320" w:lineRule="exact"/>
              <w:textAlignment w:val="center"/>
              <w:rPr>
                <w:rFonts w:hint="default" w:ascii="宋体" w:hAnsi="宋体" w:cs="宋体"/>
                <w:spacing w:val="-11"/>
                <w:kern w:val="0"/>
                <w:szCs w:val="21"/>
                <w:lang w:val="en-US" w:eastAsia="zh-CN" w:bidi="ar"/>
              </w:rPr>
            </w:pPr>
            <w:r>
              <w:rPr>
                <w:rFonts w:hint="eastAsia" w:ascii="宋体" w:hAnsi="宋体" w:cs="宋体"/>
                <w:spacing w:val="-11"/>
                <w:kern w:val="0"/>
                <w:szCs w:val="21"/>
                <w:lang w:val="en-US" w:eastAsia="zh-CN" w:bidi="ar"/>
              </w:rPr>
              <w:t>4</w:t>
            </w:r>
          </w:p>
        </w:tc>
        <w:tc>
          <w:tcPr>
            <w:tcW w:w="3367" w:type="dxa"/>
            <w:noWrap w:val="0"/>
            <w:vAlign w:val="top"/>
          </w:tcPr>
          <w:p w14:paraId="5E0B7B10">
            <w:pPr>
              <w:widowControl/>
              <w:spacing w:line="320" w:lineRule="exact"/>
              <w:textAlignment w:val="center"/>
              <w:rPr>
                <w:rFonts w:hint="eastAsia" w:ascii="宋体" w:hAnsi="宋体" w:cs="宋体"/>
                <w:spacing w:val="-11"/>
                <w:kern w:val="0"/>
                <w:szCs w:val="21"/>
                <w:lang w:eastAsia="zh-CN" w:bidi="ar"/>
              </w:rPr>
            </w:pPr>
            <w:r>
              <w:rPr>
                <w:rFonts w:hint="eastAsia" w:ascii="宋体" w:hAnsi="宋体" w:cs="宋体"/>
                <w:spacing w:val="-11"/>
                <w:kern w:val="0"/>
                <w:szCs w:val="21"/>
                <w:lang w:eastAsia="zh-CN" w:bidi="ar"/>
              </w:rPr>
              <w:t>不按规定向社会开放利用档案的</w:t>
            </w:r>
          </w:p>
        </w:tc>
        <w:tc>
          <w:tcPr>
            <w:tcW w:w="2881" w:type="dxa"/>
            <w:noWrap w:val="0"/>
            <w:vAlign w:val="top"/>
          </w:tcPr>
          <w:p w14:paraId="7B620EAA">
            <w:pPr>
              <w:widowControl/>
              <w:spacing w:line="320" w:lineRule="exact"/>
              <w:textAlignment w:val="center"/>
              <w:rPr>
                <w:rFonts w:hint="eastAsia" w:ascii="宋体" w:hAnsi="宋体" w:cs="宋体"/>
                <w:spacing w:val="-11"/>
                <w:kern w:val="0"/>
                <w:szCs w:val="21"/>
                <w:lang w:eastAsia="zh-CN" w:bidi="ar"/>
              </w:rPr>
            </w:pPr>
            <w:r>
              <w:rPr>
                <w:rFonts w:hint="eastAsia" w:ascii="宋体" w:hAnsi="宋体" w:cs="宋体"/>
                <w:spacing w:val="-11"/>
                <w:kern w:val="0"/>
                <w:szCs w:val="21"/>
                <w:lang w:eastAsia="zh-CN" w:bidi="ar"/>
              </w:rPr>
              <w:t>首次轻微违法行为，能及时纠正。</w:t>
            </w:r>
          </w:p>
        </w:tc>
        <w:tc>
          <w:tcPr>
            <w:tcW w:w="6916" w:type="dxa"/>
            <w:noWrap w:val="0"/>
            <w:vAlign w:val="top"/>
          </w:tcPr>
          <w:p w14:paraId="2C8304F6">
            <w:pPr>
              <w:widowControl/>
              <w:spacing w:line="320" w:lineRule="exact"/>
              <w:textAlignment w:val="center"/>
              <w:rPr>
                <w:rFonts w:hint="eastAsia"/>
                <w:lang w:eastAsia="zh-CN"/>
              </w:rPr>
            </w:pPr>
            <w:r>
              <w:rPr>
                <w:rFonts w:hint="eastAsia" w:ascii="宋体" w:hAnsi="宋体" w:cs="宋体"/>
                <w:spacing w:val="-11"/>
                <w:kern w:val="0"/>
                <w:szCs w:val="21"/>
                <w:lang w:eastAsia="zh-CN" w:bidi="ar"/>
              </w:rPr>
              <w:t>《档案法》第四十八条：单位或者个人有下列行为之一，由县级以上档案主管部门、有关机关对直接负责的主管人员和其他直接责任人员依法给予处分；第七项“不按规定向社会开放利用档案的”</w:t>
            </w:r>
          </w:p>
        </w:tc>
      </w:tr>
    </w:tbl>
    <w:p w14:paraId="080064AD">
      <w:pPr>
        <w:widowControl/>
        <w:numPr>
          <w:ilvl w:val="0"/>
          <w:numId w:val="0"/>
        </w:numPr>
        <w:textAlignment w:val="center"/>
        <w:rPr>
          <w:rFonts w:hint="eastAsia" w:ascii="黑体" w:hAnsi="黑体" w:eastAsia="黑体" w:cs="黑体"/>
          <w:spacing w:val="-11"/>
          <w:kern w:val="0"/>
          <w:sz w:val="32"/>
          <w:szCs w:val="32"/>
          <w:highlight w:val="none"/>
          <w:lang w:bidi="ar"/>
        </w:rPr>
      </w:pPr>
    </w:p>
    <w:p w14:paraId="0973BFD3">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工信</w:t>
      </w:r>
      <w:r>
        <w:rPr>
          <w:rFonts w:hint="eastAsia" w:ascii="黑体" w:hAnsi="黑体" w:eastAsia="黑体" w:cs="黑体"/>
          <w:spacing w:val="-11"/>
          <w:kern w:val="0"/>
          <w:sz w:val="32"/>
          <w:szCs w:val="32"/>
          <w:highlight w:val="none"/>
          <w:lang w:bidi="ar"/>
        </w:rPr>
        <w:t>领域轻微违法行为不予处罚清单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2220"/>
        <w:gridCol w:w="1568"/>
        <w:gridCol w:w="9396"/>
      </w:tblGrid>
      <w:tr w14:paraId="07635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dxa"/>
            <w:noWrap w:val="0"/>
            <w:vAlign w:val="center"/>
          </w:tcPr>
          <w:p w14:paraId="0FA997B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序号</w:t>
            </w:r>
          </w:p>
        </w:tc>
        <w:tc>
          <w:tcPr>
            <w:tcW w:w="2220" w:type="dxa"/>
            <w:noWrap w:val="0"/>
            <w:vAlign w:val="center"/>
          </w:tcPr>
          <w:p w14:paraId="07B4289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违法行为</w:t>
            </w:r>
          </w:p>
        </w:tc>
        <w:tc>
          <w:tcPr>
            <w:tcW w:w="1568" w:type="dxa"/>
            <w:noWrap w:val="0"/>
            <w:vAlign w:val="center"/>
          </w:tcPr>
          <w:p w14:paraId="56AF5D6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不予处罚条件</w:t>
            </w:r>
          </w:p>
        </w:tc>
        <w:tc>
          <w:tcPr>
            <w:tcW w:w="9396" w:type="dxa"/>
            <w:noWrap w:val="0"/>
            <w:vAlign w:val="center"/>
          </w:tcPr>
          <w:p w14:paraId="1895EB4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法律依据</w:t>
            </w:r>
          </w:p>
        </w:tc>
      </w:tr>
      <w:tr w14:paraId="7D23E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4040" w:type="dxa"/>
            <w:gridSpan w:val="4"/>
            <w:noWrap w:val="0"/>
            <w:vAlign w:val="center"/>
          </w:tcPr>
          <w:p w14:paraId="7801E046">
            <w:pPr>
              <w:keepNext w:val="0"/>
              <w:keepLines w:val="0"/>
              <w:widowControl/>
              <w:suppressLineNumbers w:val="0"/>
              <w:jc w:val="left"/>
              <w:rPr>
                <w:rFonts w:hint="eastAsia" w:ascii="宋体" w:hAnsi="宋体" w:eastAsia="宋体" w:cs="宋体"/>
                <w:sz w:val="21"/>
                <w:szCs w:val="21"/>
                <w:vertAlign w:val="baseline"/>
                <w:lang w:val="en-US" w:eastAsia="zh-CN"/>
              </w:rPr>
            </w:pPr>
            <w:r>
              <w:rPr>
                <w:rFonts w:hint="eastAsia" w:ascii="宋体" w:hAnsi="宋体" w:eastAsia="宋体" w:cs="宋体"/>
                <w:b/>
                <w:bCs/>
                <w:color w:val="000000"/>
                <w:kern w:val="0"/>
                <w:sz w:val="21"/>
                <w:szCs w:val="21"/>
                <w:lang w:val="en-US" w:eastAsia="zh-CN" w:bidi="ar"/>
              </w:rPr>
              <w:t>一、违反《江西省促进散装水泥和预拌混凝土发展条例》有关规定的行为</w:t>
            </w:r>
          </w:p>
        </w:tc>
      </w:tr>
      <w:tr w14:paraId="081D1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2" w:hRule="atLeast"/>
        </w:trPr>
        <w:tc>
          <w:tcPr>
            <w:tcW w:w="856" w:type="dxa"/>
            <w:noWrap w:val="0"/>
            <w:vAlign w:val="center"/>
          </w:tcPr>
          <w:p w14:paraId="39DF9123">
            <w:pPr>
              <w:keepNext w:val="0"/>
              <w:keepLines w:val="0"/>
              <w:widowControl/>
              <w:suppressLineNumbers w:val="0"/>
              <w:jc w:val="left"/>
              <w:rPr>
                <w:rFonts w:hint="eastAsia" w:ascii="宋体" w:hAnsi="宋体" w:eastAsia="宋体" w:cs="宋体"/>
                <w:sz w:val="21"/>
                <w:szCs w:val="21"/>
                <w:vertAlign w:val="baseline"/>
                <w:lang w:val="en-US" w:eastAsia="zh-CN"/>
              </w:rPr>
            </w:pPr>
            <w:r>
              <w:rPr>
                <w:rFonts w:hint="eastAsia" w:ascii="宋体" w:hAnsi="宋体" w:eastAsia="宋体" w:cs="宋体"/>
                <w:color w:val="000000"/>
                <w:kern w:val="0"/>
                <w:sz w:val="21"/>
                <w:szCs w:val="21"/>
                <w:lang w:val="en-US" w:eastAsia="zh-CN" w:bidi="ar"/>
              </w:rPr>
              <w:t>1</w:t>
            </w:r>
          </w:p>
        </w:tc>
        <w:tc>
          <w:tcPr>
            <w:tcW w:w="2220" w:type="dxa"/>
            <w:noWrap w:val="0"/>
            <w:vAlign w:val="center"/>
          </w:tcPr>
          <w:p w14:paraId="52D40D1F">
            <w:pPr>
              <w:keepNext w:val="0"/>
              <w:keepLines w:val="0"/>
              <w:widowControl/>
              <w:suppressLineNumbers w:val="0"/>
              <w:wordWrap w:val="0"/>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城市规划区内工程建设项目违法现场搅拌混凝土的行为</w:t>
            </w:r>
          </w:p>
        </w:tc>
        <w:tc>
          <w:tcPr>
            <w:tcW w:w="1568" w:type="dxa"/>
            <w:noWrap w:val="0"/>
            <w:vAlign w:val="center"/>
          </w:tcPr>
          <w:p w14:paraId="14C11B2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exact"/>
              <w:ind w:right="0" w:rightChars="0"/>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责令限期整改到位，并未产生严重后果的。</w:t>
            </w:r>
          </w:p>
        </w:tc>
        <w:tc>
          <w:tcPr>
            <w:tcW w:w="9396" w:type="dxa"/>
            <w:noWrap w:val="0"/>
            <w:vAlign w:val="center"/>
          </w:tcPr>
          <w:p w14:paraId="65FF80FF">
            <w:pPr>
              <w:keepNext w:val="0"/>
              <w:keepLines w:val="0"/>
              <w:widowControl/>
              <w:suppressLineNumbers w:val="0"/>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依据《江西省促进散装水泥和预拌混凝土发展条例》第八条：</w:t>
            </w:r>
            <w:r>
              <w:rPr>
                <w:rFonts w:hint="eastAsia" w:ascii="宋体" w:hAnsi="宋体" w:eastAsia="宋体" w:cs="宋体"/>
                <w:i w:val="0"/>
                <w:iCs w:val="0"/>
                <w:caps w:val="0"/>
                <w:color w:val="333333"/>
                <w:spacing w:val="0"/>
                <w:sz w:val="21"/>
                <w:szCs w:val="21"/>
                <w:shd w:val="clear" w:color="auto" w:fill="FFFFFF"/>
              </w:rPr>
              <w:t>设区的市城区内的工程建设项目，应当使用散装水泥和预拌混凝土，禁止使用袋装水泥和现场搅拌混凝土。</w:t>
            </w:r>
            <w:r>
              <w:rPr>
                <w:rFonts w:hint="eastAsia" w:ascii="宋体" w:hAnsi="宋体" w:eastAsia="宋体" w:cs="宋体"/>
                <w:i w:val="0"/>
                <w:iCs w:val="0"/>
                <w:caps w:val="0"/>
                <w:color w:val="333333"/>
                <w:spacing w:val="0"/>
                <w:sz w:val="21"/>
                <w:szCs w:val="21"/>
                <w:shd w:val="clear" w:color="auto" w:fill="FFFFFF"/>
                <w:lang w:val="en-US" w:eastAsia="zh-CN"/>
              </w:rPr>
              <w:t>第</w:t>
            </w:r>
            <w:r>
              <w:rPr>
                <w:rFonts w:hint="eastAsia" w:ascii="宋体" w:hAnsi="宋体" w:eastAsia="宋体" w:cs="宋体"/>
                <w:sz w:val="21"/>
                <w:szCs w:val="21"/>
                <w:vertAlign w:val="baseline"/>
                <w:lang w:val="en-US" w:eastAsia="zh-CN"/>
              </w:rPr>
              <w:t>二十条：</w:t>
            </w:r>
            <w:r>
              <w:rPr>
                <w:rFonts w:hint="eastAsia" w:ascii="宋体" w:hAnsi="宋体" w:eastAsia="宋体" w:cs="宋体"/>
                <w:i w:val="0"/>
                <w:iCs w:val="0"/>
                <w:caps w:val="0"/>
                <w:color w:val="333333"/>
                <w:spacing w:val="0"/>
                <w:sz w:val="21"/>
                <w:szCs w:val="21"/>
                <w:shd w:val="clear" w:color="auto" w:fill="FFFFFF"/>
              </w:rPr>
              <w:t>工程建设项目应当使用散装水泥、预拌混凝土而未使用的，由散装水泥和预拌混凝土管理机构责令限期改正，并可对建设单位按每立方米混凝土处以100元罚款，或者按每吨袋装水泥处以300元罚款。但责任属于施工单位的，对施工单位进行处罚。</w:t>
            </w:r>
          </w:p>
        </w:tc>
      </w:tr>
      <w:tr w14:paraId="3BF30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 w:type="dxa"/>
            <w:noWrap w:val="0"/>
            <w:vAlign w:val="center"/>
          </w:tcPr>
          <w:p w14:paraId="14B4458A">
            <w:pPr>
              <w:keepNext w:val="0"/>
              <w:keepLines w:val="0"/>
              <w:widowControl/>
              <w:suppressLineNumbers w:val="0"/>
              <w:jc w:val="left"/>
              <w:rPr>
                <w:rFonts w:hint="eastAsia" w:ascii="宋体" w:hAnsi="宋体" w:eastAsia="宋体" w:cs="宋体"/>
                <w:sz w:val="21"/>
                <w:szCs w:val="21"/>
                <w:vertAlign w:val="baseline"/>
                <w:lang w:val="en-US" w:eastAsia="zh-CN"/>
              </w:rPr>
            </w:pPr>
            <w:r>
              <w:rPr>
                <w:rFonts w:hint="eastAsia" w:ascii="宋体" w:hAnsi="宋体" w:eastAsia="宋体" w:cs="宋体"/>
                <w:color w:val="000000"/>
                <w:kern w:val="0"/>
                <w:sz w:val="21"/>
                <w:szCs w:val="21"/>
                <w:lang w:val="en-US" w:eastAsia="zh-CN" w:bidi="ar"/>
              </w:rPr>
              <w:t>2</w:t>
            </w:r>
          </w:p>
        </w:tc>
        <w:tc>
          <w:tcPr>
            <w:tcW w:w="2220" w:type="dxa"/>
            <w:noWrap w:val="0"/>
            <w:vAlign w:val="center"/>
          </w:tcPr>
          <w:p w14:paraId="67051A70">
            <w:pPr>
              <w:keepNext w:val="0"/>
              <w:keepLines w:val="0"/>
              <w:widowControl/>
              <w:suppressLineNumbers w:val="0"/>
              <w:jc w:val="left"/>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城市规划区内工程建设项目违法现场搅拌砂浆的行为</w:t>
            </w:r>
          </w:p>
        </w:tc>
        <w:tc>
          <w:tcPr>
            <w:tcW w:w="1568" w:type="dxa"/>
            <w:noWrap w:val="0"/>
            <w:vAlign w:val="center"/>
          </w:tcPr>
          <w:p w14:paraId="772218D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rPr>
            </w:pPr>
            <w:r>
              <w:rPr>
                <w:rFonts w:hint="eastAsia" w:ascii="宋体" w:hAnsi="宋体" w:eastAsia="宋体" w:cs="宋体"/>
                <w:kern w:val="2"/>
                <w:sz w:val="21"/>
                <w:szCs w:val="21"/>
                <w:vertAlign w:val="baseline"/>
                <w:lang w:val="en-US" w:eastAsia="zh-CN" w:bidi="ar-SA"/>
              </w:rPr>
              <w:t>责令限期整改到位，并未产生严重后果的。</w:t>
            </w:r>
          </w:p>
        </w:tc>
        <w:tc>
          <w:tcPr>
            <w:tcW w:w="9396" w:type="dxa"/>
            <w:noWrap w:val="0"/>
            <w:vAlign w:val="center"/>
          </w:tcPr>
          <w:p w14:paraId="104DE73B">
            <w:pPr>
              <w:keepNext w:val="0"/>
              <w:keepLines w:val="0"/>
              <w:widowControl/>
              <w:suppressLineNumbers w:val="0"/>
              <w:jc w:val="left"/>
              <w:rPr>
                <w:rFonts w:hint="eastAsia" w:ascii="宋体" w:hAnsi="宋体" w:eastAsia="宋体" w:cs="宋体"/>
                <w:i w:val="0"/>
                <w:iCs w:val="0"/>
                <w:caps w:val="0"/>
                <w:color w:val="333333"/>
                <w:spacing w:val="0"/>
                <w:sz w:val="21"/>
                <w:szCs w:val="21"/>
                <w:shd w:val="clear" w:color="auto" w:fill="FFFFFF"/>
                <w:lang w:val="en-US" w:eastAsia="zh-CN"/>
              </w:rPr>
            </w:pPr>
            <w:r>
              <w:rPr>
                <w:rFonts w:hint="eastAsia" w:ascii="宋体" w:hAnsi="宋体" w:eastAsia="宋体" w:cs="宋体"/>
                <w:i w:val="0"/>
                <w:iCs w:val="0"/>
                <w:caps w:val="0"/>
                <w:color w:val="333333"/>
                <w:spacing w:val="0"/>
                <w:sz w:val="21"/>
                <w:szCs w:val="21"/>
                <w:shd w:val="clear" w:color="auto" w:fill="FFFFFF"/>
                <w:lang w:val="en-US" w:eastAsia="zh-CN"/>
              </w:rPr>
              <w:t>依据《江西省促进散装水泥和预拌混凝土发展条例》第八条：</w:t>
            </w:r>
            <w:r>
              <w:rPr>
                <w:rFonts w:hint="eastAsia" w:ascii="宋体" w:hAnsi="宋体" w:eastAsia="宋体" w:cs="宋体"/>
                <w:i w:val="0"/>
                <w:iCs w:val="0"/>
                <w:caps w:val="0"/>
                <w:color w:val="333333"/>
                <w:spacing w:val="0"/>
                <w:sz w:val="21"/>
                <w:szCs w:val="21"/>
                <w:shd w:val="clear" w:color="auto" w:fill="FFFFFF"/>
              </w:rPr>
              <w:t>设区的市城区内的工程建设项目，应当使用散装水泥和预拌混凝土，禁止使用袋装水泥和现场搅拌混凝土。</w:t>
            </w:r>
            <w:r>
              <w:rPr>
                <w:rFonts w:hint="eastAsia" w:ascii="宋体" w:hAnsi="宋体" w:eastAsia="宋体" w:cs="宋体"/>
                <w:i w:val="0"/>
                <w:iCs w:val="0"/>
                <w:caps w:val="0"/>
                <w:color w:val="333333"/>
                <w:spacing w:val="0"/>
                <w:sz w:val="21"/>
                <w:szCs w:val="21"/>
                <w:shd w:val="clear" w:color="auto" w:fill="FFFFFF"/>
                <w:lang w:val="en-US" w:eastAsia="zh-CN"/>
              </w:rPr>
              <w:t>第二十条：</w:t>
            </w:r>
            <w:r>
              <w:rPr>
                <w:rFonts w:hint="eastAsia" w:ascii="宋体" w:hAnsi="宋体" w:eastAsia="宋体" w:cs="宋体"/>
                <w:i w:val="0"/>
                <w:iCs w:val="0"/>
                <w:caps w:val="0"/>
                <w:color w:val="333333"/>
                <w:spacing w:val="0"/>
                <w:sz w:val="21"/>
                <w:szCs w:val="21"/>
                <w:shd w:val="clear" w:color="auto" w:fill="FFFFFF"/>
              </w:rPr>
              <w:t>工程建设项目应当使用散装水泥、预拌混凝土而未使用的，由散装水泥和预拌混凝土管理机构责令限期改正，并可对建设单位按每立方米混凝土处以100元罚款，或者按每吨袋装水泥处以300元罚款。但责任属于施工单位的，对施工单位进行处罚。第二十四条</w:t>
            </w:r>
            <w:r>
              <w:rPr>
                <w:rFonts w:hint="eastAsia" w:ascii="宋体" w:hAnsi="宋体" w:eastAsia="宋体" w:cs="宋体"/>
                <w:i w:val="0"/>
                <w:iCs w:val="0"/>
                <w:caps w:val="0"/>
                <w:color w:val="333333"/>
                <w:spacing w:val="0"/>
                <w:sz w:val="21"/>
                <w:szCs w:val="21"/>
                <w:shd w:val="clear" w:color="auto" w:fill="FFFFFF"/>
                <w:lang w:eastAsia="zh-CN"/>
              </w:rPr>
              <w:t>：</w:t>
            </w:r>
            <w:r>
              <w:rPr>
                <w:rFonts w:hint="eastAsia" w:ascii="宋体" w:hAnsi="宋体" w:eastAsia="宋体" w:cs="宋体"/>
                <w:i w:val="0"/>
                <w:iCs w:val="0"/>
                <w:caps w:val="0"/>
                <w:color w:val="333333"/>
                <w:spacing w:val="0"/>
                <w:sz w:val="21"/>
                <w:szCs w:val="21"/>
                <w:shd w:val="clear" w:color="auto" w:fill="FFFFFF"/>
              </w:rPr>
              <w:t>在国家规定禁止现场搅拌砂浆的区域内，预拌砂浆的管理按照本条例有关预拌混凝土的规定执行。</w:t>
            </w:r>
            <w:r>
              <w:rPr>
                <w:rFonts w:hint="eastAsia" w:ascii="宋体" w:hAnsi="宋体" w:eastAsia="宋体" w:cs="宋体"/>
                <w:i w:val="0"/>
                <w:iCs w:val="0"/>
                <w:caps w:val="0"/>
                <w:color w:val="333333"/>
                <w:spacing w:val="0"/>
                <w:sz w:val="21"/>
                <w:szCs w:val="21"/>
                <w:shd w:val="clear" w:color="auto" w:fill="FFFFFF"/>
                <w:lang w:val="en-US" w:eastAsia="zh-CN"/>
              </w:rPr>
              <w:t>《江西省工信系统行政处罚自由裁量权执法标准》第三部分：1、工程建设项目应当使用预拌砂浆而未使用的或未全部使用的，由工程建设项目所在地工业和信息化主管部门责令限期改正，并可对建设单位按已现场搅拌砂浆的数量，处以每吨砂浆七十元罚款；2、工程建设项目应当使用预拌砂浆而未使用的或未全部使用的，责任属于施工单位的，由工程建设项目所在地工业和信息化主管部门责令限期改正，并可对施工单位按已现场搅拌砂浆的数量，处以每吨砂浆七十元罚款；</w:t>
            </w:r>
          </w:p>
        </w:tc>
      </w:tr>
      <w:tr w14:paraId="08F8D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trPr>
        <w:tc>
          <w:tcPr>
            <w:tcW w:w="856" w:type="dxa"/>
            <w:noWrap w:val="0"/>
            <w:vAlign w:val="center"/>
          </w:tcPr>
          <w:p w14:paraId="7D49C462">
            <w:pPr>
              <w:keepNext w:val="0"/>
              <w:keepLines w:val="0"/>
              <w:widowControl/>
              <w:suppressLineNumbers w:val="0"/>
              <w:jc w:val="left"/>
              <w:rPr>
                <w:rFonts w:hint="eastAsia" w:ascii="宋体" w:hAnsi="宋体" w:eastAsia="宋体" w:cs="宋体"/>
                <w:sz w:val="21"/>
                <w:szCs w:val="21"/>
                <w:vertAlign w:val="baseline"/>
                <w:lang w:val="en-US" w:eastAsia="zh-CN"/>
              </w:rPr>
            </w:pPr>
            <w:r>
              <w:rPr>
                <w:rFonts w:hint="eastAsia" w:ascii="宋体" w:hAnsi="宋体" w:eastAsia="宋体" w:cs="宋体"/>
                <w:color w:val="000000"/>
                <w:kern w:val="0"/>
                <w:sz w:val="21"/>
                <w:szCs w:val="21"/>
                <w:lang w:val="en-US" w:eastAsia="zh-CN" w:bidi="ar"/>
              </w:rPr>
              <w:t>3</w:t>
            </w:r>
          </w:p>
        </w:tc>
        <w:tc>
          <w:tcPr>
            <w:tcW w:w="2220" w:type="dxa"/>
            <w:noWrap w:val="0"/>
            <w:vAlign w:val="center"/>
          </w:tcPr>
          <w:p w14:paraId="58AA2A7A">
            <w:pPr>
              <w:keepNext w:val="0"/>
              <w:keepLines w:val="0"/>
              <w:widowControl/>
              <w:suppressLineNumbers w:val="0"/>
              <w:jc w:val="left"/>
              <w:rPr>
                <w:rFonts w:hint="eastAsia" w:ascii="宋体" w:hAnsi="宋体" w:eastAsia="宋体" w:cs="宋体"/>
                <w:i w:val="0"/>
                <w:iCs w:val="0"/>
                <w:caps w:val="0"/>
                <w:color w:val="333333"/>
                <w:spacing w:val="0"/>
                <w:sz w:val="21"/>
                <w:szCs w:val="21"/>
                <w:shd w:val="clear" w:color="auto" w:fill="FFFFFF"/>
                <w:lang w:val="en-US" w:eastAsia="zh-CN"/>
              </w:rPr>
            </w:pPr>
            <w:r>
              <w:rPr>
                <w:rFonts w:hint="eastAsia" w:ascii="宋体" w:hAnsi="宋体" w:eastAsia="宋体" w:cs="宋体"/>
                <w:i w:val="0"/>
                <w:iCs w:val="0"/>
                <w:caps w:val="0"/>
                <w:color w:val="333333"/>
                <w:spacing w:val="0"/>
                <w:sz w:val="21"/>
                <w:szCs w:val="21"/>
                <w:shd w:val="clear" w:color="auto" w:fill="FFFFFF"/>
                <w:lang w:val="en-US" w:eastAsia="zh-CN"/>
              </w:rPr>
              <w:t>水泥制品生产企业违法使用袋装水泥的行为</w:t>
            </w:r>
          </w:p>
        </w:tc>
        <w:tc>
          <w:tcPr>
            <w:tcW w:w="1568" w:type="dxa"/>
            <w:noWrap w:val="0"/>
            <w:vAlign w:val="center"/>
          </w:tcPr>
          <w:p w14:paraId="44952E0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i w:val="0"/>
                <w:iCs w:val="0"/>
                <w:caps w:val="0"/>
                <w:color w:val="333333"/>
                <w:spacing w:val="0"/>
                <w:sz w:val="21"/>
                <w:szCs w:val="21"/>
                <w:shd w:val="clear" w:color="auto" w:fill="FFFFFF"/>
                <w:lang w:val="en-US" w:eastAsia="zh-CN"/>
              </w:rPr>
            </w:pPr>
            <w:r>
              <w:rPr>
                <w:rFonts w:hint="eastAsia" w:ascii="宋体" w:hAnsi="宋体" w:eastAsia="宋体" w:cs="宋体"/>
                <w:i w:val="0"/>
                <w:iCs w:val="0"/>
                <w:caps w:val="0"/>
                <w:color w:val="333333"/>
                <w:spacing w:val="0"/>
                <w:sz w:val="21"/>
                <w:szCs w:val="21"/>
                <w:shd w:val="clear" w:color="auto" w:fill="FFFFFF"/>
                <w:lang w:val="en-US" w:eastAsia="zh-CN"/>
              </w:rPr>
              <w:t>责</w:t>
            </w:r>
            <w:r>
              <w:rPr>
                <w:rFonts w:hint="eastAsia" w:ascii="宋体" w:hAnsi="宋体" w:eastAsia="宋体" w:cs="宋体"/>
                <w:kern w:val="2"/>
                <w:sz w:val="21"/>
                <w:szCs w:val="21"/>
                <w:vertAlign w:val="baseline"/>
                <w:lang w:val="en-US" w:eastAsia="zh-CN" w:bidi="ar-SA"/>
              </w:rPr>
              <w:t>令限期</w:t>
            </w:r>
            <w:r>
              <w:rPr>
                <w:rFonts w:hint="eastAsia" w:ascii="宋体" w:hAnsi="宋体" w:eastAsia="宋体" w:cs="宋体"/>
                <w:i w:val="0"/>
                <w:iCs w:val="0"/>
                <w:caps w:val="0"/>
                <w:color w:val="333333"/>
                <w:spacing w:val="0"/>
                <w:sz w:val="21"/>
                <w:szCs w:val="21"/>
                <w:shd w:val="clear" w:color="auto" w:fill="FFFFFF"/>
                <w:lang w:val="en-US" w:eastAsia="zh-CN"/>
              </w:rPr>
              <w:t>整改到位，并未产生严重后果的。</w:t>
            </w:r>
          </w:p>
        </w:tc>
        <w:tc>
          <w:tcPr>
            <w:tcW w:w="9396" w:type="dxa"/>
            <w:noWrap w:val="0"/>
            <w:vAlign w:val="center"/>
          </w:tcPr>
          <w:p w14:paraId="4E97AED9">
            <w:pPr>
              <w:keepNext w:val="0"/>
              <w:keepLines w:val="0"/>
              <w:widowControl/>
              <w:suppressLineNumbers w:val="0"/>
              <w:jc w:val="left"/>
              <w:rPr>
                <w:rFonts w:hint="eastAsia" w:ascii="宋体" w:hAnsi="宋体" w:eastAsia="宋体" w:cs="宋体"/>
                <w:i w:val="0"/>
                <w:iCs w:val="0"/>
                <w:caps w:val="0"/>
                <w:color w:val="333333"/>
                <w:spacing w:val="0"/>
                <w:sz w:val="21"/>
                <w:szCs w:val="21"/>
                <w:shd w:val="clear" w:color="auto" w:fill="FFFFFF"/>
                <w:lang w:val="en-US" w:eastAsia="zh-CN"/>
              </w:rPr>
            </w:pPr>
            <w:r>
              <w:rPr>
                <w:rFonts w:hint="eastAsia" w:ascii="宋体" w:hAnsi="宋体" w:eastAsia="宋体" w:cs="宋体"/>
                <w:i w:val="0"/>
                <w:iCs w:val="0"/>
                <w:caps w:val="0"/>
                <w:color w:val="333333"/>
                <w:spacing w:val="0"/>
                <w:sz w:val="21"/>
                <w:szCs w:val="21"/>
                <w:shd w:val="clear" w:color="auto" w:fill="FFFFFF"/>
                <w:lang w:val="en-US" w:eastAsia="zh-CN"/>
              </w:rPr>
              <w:t>依据《江西省促进散装水泥和预拌混凝土发展条例》第十九条：水泥制品生产企业应当使用散装水泥而未使用的，由所在地工业和信息化主管部门责令限期改正，并可按每立方米混凝土处以100元罚款，或者每吨袋装水泥处以300元罚款。</w:t>
            </w:r>
          </w:p>
          <w:p w14:paraId="0AA8B253">
            <w:pPr>
              <w:keepNext w:val="0"/>
              <w:keepLines w:val="0"/>
              <w:widowControl/>
              <w:suppressLineNumbers w:val="0"/>
              <w:jc w:val="left"/>
              <w:rPr>
                <w:rFonts w:hint="eastAsia" w:ascii="宋体" w:hAnsi="宋体" w:eastAsia="宋体" w:cs="宋体"/>
                <w:i w:val="0"/>
                <w:iCs w:val="0"/>
                <w:caps w:val="0"/>
                <w:color w:val="333333"/>
                <w:spacing w:val="0"/>
                <w:sz w:val="21"/>
                <w:szCs w:val="21"/>
                <w:shd w:val="clear" w:color="auto" w:fill="FFFFFF"/>
                <w:lang w:val="en-US"/>
              </w:rPr>
            </w:pPr>
          </w:p>
        </w:tc>
      </w:tr>
      <w:tr w14:paraId="38724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4040" w:type="dxa"/>
            <w:gridSpan w:val="4"/>
            <w:noWrap w:val="0"/>
            <w:vAlign w:val="center"/>
          </w:tcPr>
          <w:p w14:paraId="2A27A2B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i w:val="0"/>
                <w:iCs w:val="0"/>
                <w:caps w:val="0"/>
                <w:color w:val="333333"/>
                <w:spacing w:val="0"/>
                <w:sz w:val="21"/>
                <w:szCs w:val="21"/>
                <w:shd w:val="clear" w:color="auto" w:fill="FFFFFF"/>
                <w:lang w:val="en-US" w:eastAsia="zh-CN"/>
              </w:rPr>
            </w:pPr>
            <w:r>
              <w:rPr>
                <w:rFonts w:hint="eastAsia" w:ascii="宋体" w:hAnsi="宋体" w:eastAsia="宋体" w:cs="宋体"/>
                <w:b/>
                <w:bCs/>
                <w:color w:val="000000"/>
                <w:kern w:val="0"/>
                <w:sz w:val="21"/>
                <w:szCs w:val="21"/>
                <w:lang w:val="en-US" w:eastAsia="zh-CN" w:bidi="ar"/>
              </w:rPr>
              <w:t>二、违反《江西省促进发展新型墙体材料条例》有关规定的行为</w:t>
            </w:r>
          </w:p>
        </w:tc>
      </w:tr>
      <w:tr w14:paraId="13204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2" w:hRule="atLeast"/>
        </w:trPr>
        <w:tc>
          <w:tcPr>
            <w:tcW w:w="856" w:type="dxa"/>
            <w:noWrap w:val="0"/>
            <w:vAlign w:val="center"/>
          </w:tcPr>
          <w:p w14:paraId="642A662D">
            <w:pPr>
              <w:keepNext w:val="0"/>
              <w:keepLines w:val="0"/>
              <w:widowControl/>
              <w:suppressLineNumbers w:val="0"/>
              <w:jc w:val="left"/>
              <w:rPr>
                <w:rFonts w:hint="eastAsia" w:ascii="宋体" w:hAnsi="宋体" w:eastAsia="宋体" w:cs="宋体"/>
                <w:sz w:val="21"/>
                <w:szCs w:val="21"/>
                <w:vertAlign w:val="baseline"/>
                <w:lang w:val="en-US" w:eastAsia="zh-CN"/>
              </w:rPr>
            </w:pPr>
            <w:r>
              <w:rPr>
                <w:rFonts w:hint="eastAsia" w:ascii="宋体" w:hAnsi="宋体" w:eastAsia="宋体" w:cs="宋体"/>
                <w:color w:val="000000"/>
                <w:kern w:val="0"/>
                <w:sz w:val="21"/>
                <w:szCs w:val="21"/>
                <w:lang w:val="en-US" w:eastAsia="zh-CN" w:bidi="ar"/>
              </w:rPr>
              <w:t>4</w:t>
            </w:r>
          </w:p>
        </w:tc>
        <w:tc>
          <w:tcPr>
            <w:tcW w:w="2220" w:type="dxa"/>
            <w:noWrap w:val="0"/>
            <w:vAlign w:val="center"/>
          </w:tcPr>
          <w:p w14:paraId="3D8292D1">
            <w:pPr>
              <w:keepNext w:val="0"/>
              <w:keepLines w:val="0"/>
              <w:widowControl/>
              <w:suppressLineNumbers w:val="0"/>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城市规划区内工程建设项目违法使用实心粘土砖的行为</w:t>
            </w:r>
          </w:p>
        </w:tc>
        <w:tc>
          <w:tcPr>
            <w:tcW w:w="1568" w:type="dxa"/>
            <w:noWrap w:val="0"/>
            <w:vAlign w:val="center"/>
          </w:tcPr>
          <w:p w14:paraId="7A534F0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责令限期整改到位，并未产生严重后果的。</w:t>
            </w:r>
          </w:p>
        </w:tc>
        <w:tc>
          <w:tcPr>
            <w:tcW w:w="9396" w:type="dxa"/>
            <w:noWrap w:val="0"/>
            <w:vAlign w:val="center"/>
          </w:tcPr>
          <w:p w14:paraId="3D9338A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i w:val="0"/>
                <w:iCs w:val="0"/>
                <w:caps w:val="0"/>
                <w:color w:val="333333"/>
                <w:spacing w:val="0"/>
                <w:sz w:val="21"/>
                <w:szCs w:val="21"/>
                <w:shd w:val="clear" w:color="auto" w:fill="FFFFFF"/>
                <w:lang w:val="en-US" w:eastAsia="zh-CN"/>
              </w:rPr>
              <w:t>依据《江西省促进发展新型墙体材料条例》第二十一条： 在禁止使用粘土砖的城市规划区内，建筑工程室内地平线以上的墙体，设计单位不得违反国家和本省的建筑设计标准设计使用粘土砖，施工单位不得违反设计图纸要求使用粘土砖，建设单位不得强令设计、施工单位设计、使用粘土砖。第二十三条：违反本条例第二十一条规定，在禁止使用粘土砖的城市规划区内使用粘土砖的，由新型墙体材料主管部门按照下列规定分别进行处罚：</w:t>
            </w:r>
            <w:r>
              <w:rPr>
                <w:rFonts w:hint="eastAsia" w:ascii="宋体" w:hAnsi="宋体" w:cs="宋体"/>
                <w:i w:val="0"/>
                <w:iCs w:val="0"/>
                <w:caps w:val="0"/>
                <w:color w:val="333333"/>
                <w:spacing w:val="0"/>
                <w:sz w:val="21"/>
                <w:szCs w:val="21"/>
                <w:shd w:val="clear" w:color="auto" w:fill="FFFFFF"/>
                <w:lang w:val="en-US" w:eastAsia="zh-CN"/>
              </w:rPr>
              <w:t>（</w:t>
            </w:r>
            <w:r>
              <w:rPr>
                <w:rFonts w:hint="eastAsia" w:ascii="宋体" w:hAnsi="宋体" w:eastAsia="宋体" w:cs="宋体"/>
                <w:i w:val="0"/>
                <w:iCs w:val="0"/>
                <w:caps w:val="0"/>
                <w:color w:val="333333"/>
                <w:spacing w:val="0"/>
                <w:sz w:val="21"/>
                <w:szCs w:val="21"/>
                <w:shd w:val="clear" w:color="auto" w:fill="FFFFFF"/>
                <w:lang w:val="en-US" w:eastAsia="zh-CN"/>
              </w:rPr>
              <w:t>一</w:t>
            </w:r>
            <w:r>
              <w:rPr>
                <w:rFonts w:hint="eastAsia" w:ascii="宋体" w:hAnsi="宋体" w:cs="宋体"/>
                <w:i w:val="0"/>
                <w:iCs w:val="0"/>
                <w:caps w:val="0"/>
                <w:color w:val="333333"/>
                <w:spacing w:val="0"/>
                <w:sz w:val="21"/>
                <w:szCs w:val="21"/>
                <w:shd w:val="clear" w:color="auto" w:fill="FFFFFF"/>
                <w:lang w:val="en-US" w:eastAsia="zh-CN"/>
              </w:rPr>
              <w:t>）</w:t>
            </w:r>
            <w:r>
              <w:rPr>
                <w:rFonts w:hint="eastAsia" w:ascii="宋体" w:hAnsi="宋体" w:eastAsia="宋体" w:cs="宋体"/>
                <w:i w:val="0"/>
                <w:iCs w:val="0"/>
                <w:caps w:val="0"/>
                <w:color w:val="333333"/>
                <w:spacing w:val="0"/>
                <w:sz w:val="21"/>
                <w:szCs w:val="21"/>
                <w:shd w:val="clear" w:color="auto" w:fill="FFFFFF"/>
                <w:lang w:val="en-US" w:eastAsia="zh-CN"/>
              </w:rPr>
              <w:t>建设单位强令设计单位设计使用粘土砖的，或者设计单位违反国家和本省的建筑设计标准设计使用粘土砖的，责令改正，并对责任单位按合同约定设计费一倍以上二倍以下处以罚款。</w:t>
            </w:r>
            <w:r>
              <w:rPr>
                <w:rFonts w:hint="eastAsia" w:ascii="宋体" w:hAnsi="宋体" w:cs="宋体"/>
                <w:i w:val="0"/>
                <w:iCs w:val="0"/>
                <w:caps w:val="0"/>
                <w:color w:val="333333"/>
                <w:spacing w:val="0"/>
                <w:sz w:val="21"/>
                <w:szCs w:val="21"/>
                <w:shd w:val="clear" w:color="auto" w:fill="FFFFFF"/>
                <w:lang w:val="en-US" w:eastAsia="zh-CN"/>
              </w:rPr>
              <w:t>（</w:t>
            </w:r>
            <w:r>
              <w:rPr>
                <w:rFonts w:hint="eastAsia" w:ascii="宋体" w:hAnsi="宋体" w:eastAsia="宋体" w:cs="宋体"/>
                <w:i w:val="0"/>
                <w:iCs w:val="0"/>
                <w:caps w:val="0"/>
                <w:color w:val="333333"/>
                <w:spacing w:val="0"/>
                <w:sz w:val="21"/>
                <w:szCs w:val="21"/>
                <w:shd w:val="clear" w:color="auto" w:fill="FFFFFF"/>
                <w:lang w:val="en-US" w:eastAsia="zh-CN"/>
              </w:rPr>
              <w:t>二</w:t>
            </w:r>
            <w:r>
              <w:rPr>
                <w:rFonts w:hint="eastAsia" w:ascii="宋体" w:hAnsi="宋体" w:cs="宋体"/>
                <w:i w:val="0"/>
                <w:iCs w:val="0"/>
                <w:caps w:val="0"/>
                <w:color w:val="333333"/>
                <w:spacing w:val="0"/>
                <w:sz w:val="21"/>
                <w:szCs w:val="21"/>
                <w:shd w:val="clear" w:color="auto" w:fill="FFFFFF"/>
                <w:lang w:val="en-US" w:eastAsia="zh-CN"/>
              </w:rPr>
              <w:t>）</w:t>
            </w:r>
            <w:r>
              <w:rPr>
                <w:rFonts w:hint="eastAsia" w:ascii="宋体" w:hAnsi="宋体" w:eastAsia="宋体" w:cs="宋体"/>
                <w:i w:val="0"/>
                <w:iCs w:val="0"/>
                <w:caps w:val="0"/>
                <w:color w:val="333333"/>
                <w:spacing w:val="0"/>
                <w:sz w:val="21"/>
                <w:szCs w:val="21"/>
                <w:shd w:val="clear" w:color="auto" w:fill="FFFFFF"/>
                <w:lang w:val="en-US" w:eastAsia="zh-CN"/>
              </w:rPr>
              <w:t>建设单位强令施工单位使用粘土砖的，责令限期改正；逾期不改正的，按粘土砖用量，对责任单位处以每立方米二百元以上四百元以下罚款。</w:t>
            </w:r>
          </w:p>
        </w:tc>
      </w:tr>
      <w:tr w14:paraId="78C6C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4040" w:type="dxa"/>
            <w:gridSpan w:val="4"/>
            <w:noWrap w:val="0"/>
            <w:vAlign w:val="center"/>
          </w:tcPr>
          <w:p w14:paraId="683A62EA">
            <w:pPr>
              <w:keepNext w:val="0"/>
              <w:keepLines w:val="0"/>
              <w:widowControl/>
              <w:suppressLineNumbers w:val="0"/>
              <w:jc w:val="left"/>
              <w:rPr>
                <w:rFonts w:hint="eastAsia" w:ascii="宋体" w:hAnsi="宋体" w:eastAsia="宋体" w:cs="宋体"/>
                <w:i w:val="0"/>
                <w:iCs w:val="0"/>
                <w:caps w:val="0"/>
                <w:color w:val="333333"/>
                <w:spacing w:val="0"/>
                <w:sz w:val="21"/>
                <w:szCs w:val="21"/>
                <w:shd w:val="clear" w:color="auto" w:fill="FFFFFF"/>
                <w:lang w:val="en-US" w:eastAsia="zh-CN"/>
              </w:rPr>
            </w:pPr>
            <w:r>
              <w:rPr>
                <w:rFonts w:hint="eastAsia" w:ascii="宋体" w:hAnsi="宋体" w:eastAsia="宋体" w:cs="宋体"/>
                <w:b/>
                <w:bCs/>
                <w:color w:val="000000"/>
                <w:kern w:val="0"/>
                <w:sz w:val="21"/>
                <w:szCs w:val="21"/>
                <w:lang w:val="en-US" w:eastAsia="zh-CN" w:bidi="ar"/>
              </w:rPr>
              <w:t>三、违反工业节能领域有关规定的行为</w:t>
            </w:r>
          </w:p>
        </w:tc>
      </w:tr>
      <w:tr w14:paraId="4CB4B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856" w:type="dxa"/>
            <w:noWrap w:val="0"/>
            <w:vAlign w:val="center"/>
          </w:tcPr>
          <w:p w14:paraId="344566F3">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5</w:t>
            </w:r>
          </w:p>
        </w:tc>
        <w:tc>
          <w:tcPr>
            <w:tcW w:w="2220" w:type="dxa"/>
            <w:noWrap w:val="0"/>
            <w:vAlign w:val="top"/>
          </w:tcPr>
          <w:p w14:paraId="7F21D5C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无偿向本单位职工提供能源或者对能源消费实行包费制</w:t>
            </w:r>
          </w:p>
        </w:tc>
        <w:tc>
          <w:tcPr>
            <w:tcW w:w="1568" w:type="dxa"/>
            <w:noWrap w:val="0"/>
            <w:vAlign w:val="center"/>
          </w:tcPr>
          <w:p w14:paraId="52EFD05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责令限期整改到位，并未产生严重后果的。</w:t>
            </w:r>
          </w:p>
        </w:tc>
        <w:tc>
          <w:tcPr>
            <w:tcW w:w="9396" w:type="dxa"/>
            <w:noWrap w:val="0"/>
            <w:vAlign w:val="top"/>
          </w:tcPr>
          <w:p w14:paraId="566991D8">
            <w:pPr>
              <w:keepNext w:val="0"/>
              <w:keepLines w:val="0"/>
              <w:widowControl/>
              <w:suppressLineNumbers w:val="0"/>
              <w:jc w:val="left"/>
              <w:rPr>
                <w:rFonts w:hint="eastAsia" w:ascii="宋体" w:hAnsi="宋体" w:eastAsia="宋体" w:cs="宋体"/>
                <w:sz w:val="21"/>
                <w:szCs w:val="21"/>
                <w:vertAlign w:val="baseline"/>
                <w:lang w:val="en-US" w:eastAsia="zh-CN"/>
              </w:rPr>
            </w:pPr>
            <w:r>
              <w:rPr>
                <w:rFonts w:hint="eastAsia" w:ascii="宋体" w:hAnsi="宋体" w:eastAsia="宋体" w:cs="宋体"/>
                <w:i w:val="0"/>
                <w:iCs w:val="0"/>
                <w:caps w:val="0"/>
                <w:color w:val="333333"/>
                <w:spacing w:val="0"/>
                <w:sz w:val="21"/>
                <w:szCs w:val="21"/>
                <w:shd w:val="clear" w:color="auto" w:fill="FFFFFF"/>
                <w:lang w:val="en-US" w:eastAsia="zh-CN"/>
              </w:rPr>
              <w:t>依据《中华人民共和国节约能源法》第七十七条  违反本法规定，无偿向本单位职工提供能源或者对能源消费实行包费制的，由管理节能工作的部门责令限期改正；逾期不改正的，处五万元以上二十万元以下罚款。</w:t>
            </w:r>
          </w:p>
        </w:tc>
      </w:tr>
      <w:tr w14:paraId="3B8E6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856" w:type="dxa"/>
            <w:noWrap w:val="0"/>
            <w:vAlign w:val="center"/>
          </w:tcPr>
          <w:p w14:paraId="0C88B991">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6</w:t>
            </w:r>
          </w:p>
        </w:tc>
        <w:tc>
          <w:tcPr>
            <w:tcW w:w="2220" w:type="dxa"/>
            <w:noWrap w:val="0"/>
            <w:vAlign w:val="top"/>
          </w:tcPr>
          <w:p w14:paraId="2FACC88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重点用能单位未按规定报送能源利用状况报告或者报告内容不实</w:t>
            </w:r>
          </w:p>
        </w:tc>
        <w:tc>
          <w:tcPr>
            <w:tcW w:w="1568" w:type="dxa"/>
            <w:noWrap w:val="0"/>
            <w:vAlign w:val="center"/>
          </w:tcPr>
          <w:p w14:paraId="2BBA389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责令限期整改到位，并未产生严重后果的。</w:t>
            </w:r>
          </w:p>
        </w:tc>
        <w:tc>
          <w:tcPr>
            <w:tcW w:w="9396" w:type="dxa"/>
            <w:noWrap w:val="0"/>
            <w:vAlign w:val="top"/>
          </w:tcPr>
          <w:p w14:paraId="00FEBB02">
            <w:pPr>
              <w:keepNext w:val="0"/>
              <w:keepLines w:val="0"/>
              <w:widowControl/>
              <w:suppressLineNumbers w:val="0"/>
              <w:jc w:val="left"/>
              <w:rPr>
                <w:rFonts w:hint="eastAsia" w:ascii="宋体" w:hAnsi="宋体" w:eastAsia="宋体" w:cs="宋体"/>
                <w:sz w:val="21"/>
                <w:szCs w:val="21"/>
                <w:vertAlign w:val="baseline"/>
                <w:lang w:val="en-US" w:eastAsia="zh-CN"/>
              </w:rPr>
            </w:pPr>
            <w:r>
              <w:rPr>
                <w:rFonts w:hint="eastAsia" w:ascii="宋体" w:hAnsi="宋体" w:eastAsia="宋体" w:cs="宋体"/>
                <w:i w:val="0"/>
                <w:iCs w:val="0"/>
                <w:caps w:val="0"/>
                <w:color w:val="333333"/>
                <w:spacing w:val="0"/>
                <w:sz w:val="21"/>
                <w:szCs w:val="21"/>
                <w:shd w:val="clear" w:color="auto" w:fill="FFFFFF"/>
                <w:lang w:val="en-US" w:eastAsia="zh-CN"/>
              </w:rPr>
              <w:t>依据《中华人民共和国节约能源法》第八十二条  重点用能单位未按照本法规定报送能源利用状况报告或者报告内容不实的，由管理节能工作的部门责令限期改正；逾期不改正的，处一万元以上五万元以下罚款。</w:t>
            </w:r>
          </w:p>
        </w:tc>
      </w:tr>
      <w:tr w14:paraId="36475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trPr>
        <w:tc>
          <w:tcPr>
            <w:tcW w:w="856" w:type="dxa"/>
            <w:vMerge w:val="restart"/>
            <w:noWrap w:val="0"/>
            <w:vAlign w:val="center"/>
          </w:tcPr>
          <w:p w14:paraId="4A15FAC7">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7</w:t>
            </w:r>
          </w:p>
        </w:tc>
        <w:tc>
          <w:tcPr>
            <w:tcW w:w="2220" w:type="dxa"/>
            <w:vMerge w:val="restart"/>
            <w:noWrap w:val="0"/>
            <w:vAlign w:val="center"/>
          </w:tcPr>
          <w:p w14:paraId="3F0C465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重点用能企业未落实节能管理部门提出的整改要求或没达到要求</w:t>
            </w:r>
          </w:p>
        </w:tc>
        <w:tc>
          <w:tcPr>
            <w:tcW w:w="1568" w:type="dxa"/>
            <w:vMerge w:val="restart"/>
            <w:noWrap w:val="0"/>
            <w:vAlign w:val="center"/>
          </w:tcPr>
          <w:p w14:paraId="441D533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责令限期整改到位，并未产生严重后果的。</w:t>
            </w:r>
          </w:p>
        </w:tc>
        <w:tc>
          <w:tcPr>
            <w:tcW w:w="9396" w:type="dxa"/>
            <w:noWrap w:val="0"/>
            <w:vAlign w:val="top"/>
          </w:tcPr>
          <w:p w14:paraId="5D76D0FD">
            <w:pPr>
              <w:keepNext w:val="0"/>
              <w:keepLines w:val="0"/>
              <w:widowControl/>
              <w:suppressLineNumbers w:val="0"/>
              <w:jc w:val="left"/>
              <w:rPr>
                <w:rFonts w:hint="eastAsia" w:ascii="宋体" w:hAnsi="宋体" w:eastAsia="宋体" w:cs="宋体"/>
                <w:i w:val="0"/>
                <w:iCs w:val="0"/>
                <w:caps w:val="0"/>
                <w:color w:val="333333"/>
                <w:spacing w:val="0"/>
                <w:sz w:val="21"/>
                <w:szCs w:val="21"/>
                <w:shd w:val="clear" w:color="auto" w:fill="FFFFFF"/>
                <w:lang w:val="en-US" w:eastAsia="zh-CN"/>
              </w:rPr>
            </w:pPr>
            <w:r>
              <w:rPr>
                <w:rFonts w:hint="eastAsia" w:ascii="宋体" w:hAnsi="宋体" w:eastAsia="宋体" w:cs="宋体"/>
                <w:i w:val="0"/>
                <w:iCs w:val="0"/>
                <w:caps w:val="0"/>
                <w:color w:val="333333"/>
                <w:spacing w:val="0"/>
                <w:sz w:val="21"/>
                <w:szCs w:val="21"/>
                <w:shd w:val="clear" w:color="auto" w:fill="FFFFFF"/>
                <w:lang w:val="en-US" w:eastAsia="zh-CN"/>
              </w:rPr>
              <w:t>依据《中华人民共和国节约能源法》第八十三条  重点用能单位无正当理由拒不落实本法第五十四条规定的整改要求或者整改没有达到要求的，由管理节能工作的部门处十万元以上三十万元以下罚款。</w:t>
            </w:r>
          </w:p>
        </w:tc>
      </w:tr>
      <w:tr w14:paraId="3BEC2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4" w:hRule="atLeast"/>
        </w:trPr>
        <w:tc>
          <w:tcPr>
            <w:tcW w:w="856" w:type="dxa"/>
            <w:vMerge w:val="continue"/>
            <w:noWrap w:val="0"/>
            <w:vAlign w:val="center"/>
          </w:tcPr>
          <w:p w14:paraId="44B6328E">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2220" w:type="dxa"/>
            <w:vMerge w:val="continue"/>
            <w:noWrap w:val="0"/>
            <w:vAlign w:val="top"/>
          </w:tcPr>
          <w:p w14:paraId="1558D6A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lang w:val="en-US" w:eastAsia="zh-CN"/>
              </w:rPr>
            </w:pPr>
          </w:p>
        </w:tc>
        <w:tc>
          <w:tcPr>
            <w:tcW w:w="1568" w:type="dxa"/>
            <w:vMerge w:val="continue"/>
            <w:noWrap w:val="0"/>
            <w:vAlign w:val="center"/>
          </w:tcPr>
          <w:p w14:paraId="75A03DA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lang w:val="en-US" w:eastAsia="zh-CN"/>
              </w:rPr>
            </w:pPr>
          </w:p>
        </w:tc>
        <w:tc>
          <w:tcPr>
            <w:tcW w:w="9396" w:type="dxa"/>
            <w:noWrap w:val="0"/>
            <w:vAlign w:val="top"/>
          </w:tcPr>
          <w:p w14:paraId="033B227F">
            <w:pPr>
              <w:keepNext w:val="0"/>
              <w:keepLines w:val="0"/>
              <w:widowControl/>
              <w:suppressLineNumbers w:val="0"/>
              <w:jc w:val="left"/>
              <w:rPr>
                <w:rFonts w:hint="eastAsia" w:ascii="宋体" w:hAnsi="宋体" w:eastAsia="宋体" w:cs="宋体"/>
                <w:i w:val="0"/>
                <w:iCs w:val="0"/>
                <w:caps w:val="0"/>
                <w:color w:val="333333"/>
                <w:spacing w:val="0"/>
                <w:sz w:val="21"/>
                <w:szCs w:val="21"/>
                <w:shd w:val="clear" w:color="auto" w:fill="FFFFFF"/>
                <w:lang w:val="en-US" w:eastAsia="zh-CN"/>
              </w:rPr>
            </w:pPr>
            <w:r>
              <w:rPr>
                <w:rFonts w:hint="eastAsia" w:ascii="宋体" w:hAnsi="宋体" w:eastAsia="宋体" w:cs="宋体"/>
                <w:i w:val="0"/>
                <w:iCs w:val="0"/>
                <w:caps w:val="0"/>
                <w:color w:val="333333"/>
                <w:spacing w:val="0"/>
                <w:sz w:val="21"/>
                <w:szCs w:val="21"/>
                <w:shd w:val="clear" w:color="auto" w:fill="FFFFFF"/>
                <w:lang w:val="en-US" w:eastAsia="zh-CN"/>
              </w:rPr>
              <w:t>依据《中华人民共和国节约能源法》第五十四条  管理节能工作的部门应当对重点用能单位报送的能源利用状况报告进行审查。对节能管理制度不健全、节能措施不落实、能源利用效率低的重点用能单位，管理节能工作的部门应当开展现场调查，组织实施用能设备能源效率检测，责令实施能源审计，并提出书面整改要求，限期整改。</w:t>
            </w:r>
          </w:p>
        </w:tc>
      </w:tr>
      <w:tr w14:paraId="18AE0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856" w:type="dxa"/>
            <w:noWrap w:val="0"/>
            <w:vAlign w:val="center"/>
          </w:tcPr>
          <w:p w14:paraId="262F44AA">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8</w:t>
            </w:r>
          </w:p>
        </w:tc>
        <w:tc>
          <w:tcPr>
            <w:tcW w:w="2220" w:type="dxa"/>
            <w:noWrap w:val="0"/>
            <w:vAlign w:val="top"/>
          </w:tcPr>
          <w:p w14:paraId="52F9BCC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重点用能单位未设立能源管理岗位、聘任能源管理负责人、报管理节能工作的部门和有关部门备案</w:t>
            </w:r>
          </w:p>
        </w:tc>
        <w:tc>
          <w:tcPr>
            <w:tcW w:w="1568" w:type="dxa"/>
            <w:noWrap w:val="0"/>
            <w:vAlign w:val="center"/>
          </w:tcPr>
          <w:p w14:paraId="01A92BC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责令限期整改到位，并未产生严重后果的。</w:t>
            </w:r>
          </w:p>
        </w:tc>
        <w:tc>
          <w:tcPr>
            <w:tcW w:w="9396" w:type="dxa"/>
            <w:noWrap w:val="0"/>
            <w:vAlign w:val="top"/>
          </w:tcPr>
          <w:p w14:paraId="10A3A9C3">
            <w:pPr>
              <w:keepNext w:val="0"/>
              <w:keepLines w:val="0"/>
              <w:widowControl/>
              <w:suppressLineNumbers w:val="0"/>
              <w:jc w:val="left"/>
              <w:rPr>
                <w:rFonts w:hint="eastAsia" w:ascii="宋体" w:hAnsi="宋体" w:eastAsia="宋体" w:cs="宋体"/>
                <w:i w:val="0"/>
                <w:iCs w:val="0"/>
                <w:caps w:val="0"/>
                <w:color w:val="333333"/>
                <w:spacing w:val="0"/>
                <w:sz w:val="21"/>
                <w:szCs w:val="21"/>
                <w:shd w:val="clear" w:color="auto" w:fill="FFFFFF"/>
                <w:lang w:val="en-US" w:eastAsia="zh-CN"/>
              </w:rPr>
            </w:pPr>
            <w:r>
              <w:rPr>
                <w:rFonts w:hint="eastAsia" w:ascii="宋体" w:hAnsi="宋体" w:eastAsia="宋体" w:cs="宋体"/>
                <w:i w:val="0"/>
                <w:iCs w:val="0"/>
                <w:caps w:val="0"/>
                <w:color w:val="333333"/>
                <w:spacing w:val="0"/>
                <w:sz w:val="21"/>
                <w:szCs w:val="21"/>
                <w:shd w:val="clear" w:color="auto" w:fill="FFFFFF"/>
                <w:lang w:val="en-US" w:eastAsia="zh-CN"/>
              </w:rPr>
              <w:t>依据《中华人民共和国节约能源法》第八十四条  重点用能单位未按照本法规定设立能源管理岗位，聘任能源管理负责人，并报管理节能工作的部门和有关部门备案的，由管理节能工作的部门责令改正；拒不改正的，处一万元以上三万元以下罚款。</w:t>
            </w:r>
          </w:p>
        </w:tc>
      </w:tr>
    </w:tbl>
    <w:p w14:paraId="1EF34E62">
      <w:pPr>
        <w:widowControl/>
        <w:numPr>
          <w:ilvl w:val="0"/>
          <w:numId w:val="0"/>
        </w:numPr>
        <w:textAlignment w:val="center"/>
        <w:rPr>
          <w:rFonts w:hint="eastAsia" w:ascii="黑体" w:hAnsi="黑体" w:eastAsia="黑体" w:cs="黑体"/>
          <w:spacing w:val="-11"/>
          <w:kern w:val="0"/>
          <w:sz w:val="32"/>
          <w:szCs w:val="32"/>
          <w:highlight w:val="none"/>
          <w:lang w:bidi="ar"/>
        </w:rPr>
      </w:pPr>
    </w:p>
    <w:p w14:paraId="5C6891C2">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科技</w:t>
      </w:r>
      <w:r>
        <w:rPr>
          <w:rFonts w:hint="eastAsia" w:ascii="黑体" w:hAnsi="黑体" w:eastAsia="黑体" w:cs="黑体"/>
          <w:spacing w:val="-11"/>
          <w:kern w:val="0"/>
          <w:sz w:val="32"/>
          <w:szCs w:val="32"/>
          <w:highlight w:val="none"/>
          <w:lang w:bidi="ar"/>
        </w:rPr>
        <w:t>领域轻微违法行为不予处罚清单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3401"/>
        <w:gridCol w:w="2881"/>
        <w:gridCol w:w="6915"/>
      </w:tblGrid>
      <w:tr w14:paraId="1464C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 w:type="dxa"/>
            <w:noWrap w:val="0"/>
            <w:vAlign w:val="top"/>
          </w:tcPr>
          <w:p w14:paraId="13C477B1">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序号</w:t>
            </w:r>
          </w:p>
        </w:tc>
        <w:tc>
          <w:tcPr>
            <w:tcW w:w="3401" w:type="dxa"/>
            <w:noWrap w:val="0"/>
            <w:vAlign w:val="top"/>
          </w:tcPr>
          <w:p w14:paraId="212DC369">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违法行为</w:t>
            </w:r>
          </w:p>
        </w:tc>
        <w:tc>
          <w:tcPr>
            <w:tcW w:w="2881" w:type="dxa"/>
            <w:noWrap w:val="0"/>
            <w:vAlign w:val="top"/>
          </w:tcPr>
          <w:p w14:paraId="01B64D4E">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不予处罚条件</w:t>
            </w:r>
          </w:p>
        </w:tc>
        <w:tc>
          <w:tcPr>
            <w:tcW w:w="6915" w:type="dxa"/>
            <w:noWrap w:val="0"/>
            <w:vAlign w:val="top"/>
          </w:tcPr>
          <w:p w14:paraId="649BA422">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法律依据</w:t>
            </w:r>
          </w:p>
        </w:tc>
      </w:tr>
      <w:tr w14:paraId="69D46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 w:type="dxa"/>
            <w:noWrap w:val="0"/>
            <w:vAlign w:val="center"/>
          </w:tcPr>
          <w:p w14:paraId="16379A86">
            <w:pPr>
              <w:widowControl/>
              <w:spacing w:line="320" w:lineRule="exact"/>
              <w:textAlignment w:val="center"/>
              <w:rPr>
                <w:rFonts w:hint="eastAsia" w:ascii="宋体" w:hAnsi="宋体" w:eastAsia="宋体" w:cs="宋体"/>
                <w:spacing w:val="-11"/>
                <w:kern w:val="0"/>
                <w:szCs w:val="21"/>
                <w:lang w:val="en-US" w:eastAsia="zh-CN" w:bidi="ar"/>
              </w:rPr>
            </w:pPr>
            <w:r>
              <w:rPr>
                <w:rFonts w:hint="eastAsia" w:ascii="宋体" w:hAnsi="宋体" w:cs="宋体"/>
                <w:spacing w:val="-11"/>
                <w:kern w:val="0"/>
                <w:szCs w:val="21"/>
                <w:lang w:val="en-US" w:eastAsia="zh-CN" w:bidi="ar"/>
              </w:rPr>
              <w:t>1</w:t>
            </w:r>
          </w:p>
        </w:tc>
        <w:tc>
          <w:tcPr>
            <w:tcW w:w="3401" w:type="dxa"/>
            <w:noWrap w:val="0"/>
            <w:vAlign w:val="top"/>
          </w:tcPr>
          <w:p w14:paraId="0F79A99B">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eastAsia="宋体" w:cs="宋体"/>
                <w:spacing w:val="-11"/>
                <w:kern w:val="0"/>
                <w:szCs w:val="21"/>
                <w:lang w:eastAsia="zh-CN" w:bidi="ar"/>
              </w:rPr>
              <w:t>违反技术市场管理有关规定的行为</w:t>
            </w:r>
          </w:p>
        </w:tc>
        <w:tc>
          <w:tcPr>
            <w:tcW w:w="2881" w:type="dxa"/>
            <w:noWrap w:val="0"/>
            <w:vAlign w:val="top"/>
          </w:tcPr>
          <w:p w14:paraId="1B1FDD86">
            <w:pPr>
              <w:widowControl/>
              <w:spacing w:line="320" w:lineRule="exact"/>
              <w:textAlignment w:val="center"/>
              <w:rPr>
                <w:rFonts w:hint="default" w:ascii="宋体" w:hAnsi="宋体" w:eastAsia="宋体" w:cs="宋体"/>
                <w:spacing w:val="-11"/>
                <w:kern w:val="0"/>
                <w:szCs w:val="21"/>
                <w:lang w:val="en-US" w:eastAsia="zh-CN" w:bidi="ar"/>
              </w:rPr>
            </w:pPr>
            <w:r>
              <w:rPr>
                <w:rFonts w:hint="default" w:ascii="宋体" w:hAnsi="宋体" w:eastAsia="宋体" w:cs="宋体"/>
                <w:spacing w:val="-11"/>
                <w:kern w:val="0"/>
                <w:szCs w:val="21"/>
                <w:lang w:val="en-US" w:eastAsia="zh-CN" w:bidi="ar"/>
              </w:rPr>
              <w:t>责令限期整改到位，并未产生严重后果的。</w:t>
            </w:r>
          </w:p>
        </w:tc>
        <w:tc>
          <w:tcPr>
            <w:tcW w:w="6915" w:type="dxa"/>
            <w:noWrap w:val="0"/>
            <w:vAlign w:val="top"/>
          </w:tcPr>
          <w:p w14:paraId="6864BC52">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eastAsia="宋体" w:cs="宋体"/>
                <w:spacing w:val="-11"/>
                <w:kern w:val="0"/>
                <w:szCs w:val="21"/>
                <w:lang w:eastAsia="zh-CN" w:bidi="ar"/>
              </w:rPr>
              <w:t>依据《中华人民共和国促进科技成果转化法》第四十六条：利用财政资金设立的科技项目的承担者未依照本法规定提交科技报告、汇交科技成果和相关知识产权信息的，由组织实施项目的政府有关部门、管理机构责令改正；情节严重的，予以通报批评，禁止其在一定期限内承担利用财政资金设立的科技项目。国家设立的研究开发机构、高等院校未依照本法规定提交科技成果转化情况年度报告的，由其主管部门责令改正；情节严重的，予以通报批评。</w:t>
            </w:r>
          </w:p>
        </w:tc>
      </w:tr>
    </w:tbl>
    <w:p w14:paraId="470EEC04">
      <w:pPr>
        <w:widowControl/>
        <w:numPr>
          <w:ilvl w:val="0"/>
          <w:numId w:val="0"/>
        </w:numPr>
        <w:textAlignment w:val="center"/>
        <w:rPr>
          <w:rFonts w:hint="eastAsia" w:ascii="黑体" w:hAnsi="黑体" w:eastAsia="黑体" w:cs="黑体"/>
          <w:spacing w:val="-11"/>
          <w:kern w:val="0"/>
          <w:sz w:val="32"/>
          <w:szCs w:val="32"/>
          <w:highlight w:val="none"/>
          <w:lang w:bidi="ar"/>
        </w:rPr>
      </w:pPr>
    </w:p>
    <w:p w14:paraId="5493605A">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val="en-US" w:eastAsia="zh-CN" w:bidi="ar"/>
        </w:rPr>
        <w:t>发展和改革领域</w:t>
      </w:r>
      <w:r>
        <w:rPr>
          <w:rFonts w:hint="eastAsia" w:ascii="黑体" w:hAnsi="黑体" w:eastAsia="黑体" w:cs="黑体"/>
          <w:spacing w:val="-11"/>
          <w:kern w:val="0"/>
          <w:sz w:val="32"/>
          <w:szCs w:val="32"/>
          <w:highlight w:val="none"/>
          <w:lang w:bidi="ar"/>
        </w:rPr>
        <w:t>轻微违法行为不予处罚清单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7165"/>
        <w:gridCol w:w="6045"/>
      </w:tblGrid>
      <w:tr w14:paraId="61424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876" w:type="dxa"/>
            <w:noWrap w:val="0"/>
            <w:vAlign w:val="top"/>
          </w:tcPr>
          <w:p w14:paraId="4D7F72C7">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序号</w:t>
            </w:r>
          </w:p>
        </w:tc>
        <w:tc>
          <w:tcPr>
            <w:tcW w:w="7165" w:type="dxa"/>
            <w:noWrap w:val="0"/>
            <w:vAlign w:val="top"/>
          </w:tcPr>
          <w:p w14:paraId="223681F5">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违法行为</w:t>
            </w:r>
          </w:p>
        </w:tc>
        <w:tc>
          <w:tcPr>
            <w:tcW w:w="6045" w:type="dxa"/>
            <w:noWrap w:val="0"/>
            <w:vAlign w:val="top"/>
          </w:tcPr>
          <w:p w14:paraId="3C50D1A4">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不予处罚条件</w:t>
            </w:r>
          </w:p>
        </w:tc>
      </w:tr>
      <w:tr w14:paraId="4FA50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876" w:type="dxa"/>
            <w:noWrap w:val="0"/>
            <w:vAlign w:val="center"/>
          </w:tcPr>
          <w:p w14:paraId="624A594A">
            <w:pPr>
              <w:widowControl/>
              <w:spacing w:line="320" w:lineRule="exact"/>
              <w:textAlignment w:val="center"/>
              <w:rPr>
                <w:rFonts w:hint="eastAsia" w:ascii="宋体" w:hAnsi="宋体" w:eastAsia="宋体" w:cs="宋体"/>
                <w:spacing w:val="-11"/>
                <w:kern w:val="0"/>
                <w:szCs w:val="21"/>
                <w:lang w:val="en-US" w:eastAsia="zh-CN" w:bidi="ar"/>
              </w:rPr>
            </w:pPr>
            <w:r>
              <w:rPr>
                <w:rFonts w:hint="eastAsia" w:ascii="宋体" w:hAnsi="宋体" w:cs="宋体"/>
                <w:spacing w:val="-11"/>
                <w:kern w:val="0"/>
                <w:szCs w:val="21"/>
                <w:lang w:val="en-US" w:eastAsia="zh-CN" w:bidi="ar"/>
              </w:rPr>
              <w:t>1</w:t>
            </w:r>
          </w:p>
        </w:tc>
        <w:tc>
          <w:tcPr>
            <w:tcW w:w="7165" w:type="dxa"/>
            <w:noWrap w:val="0"/>
            <w:vAlign w:val="top"/>
          </w:tcPr>
          <w:p w14:paraId="29DF7600">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cs="宋体"/>
                <w:spacing w:val="-11"/>
                <w:kern w:val="0"/>
                <w:szCs w:val="21"/>
                <w:lang w:eastAsia="zh-CN" w:bidi="ar"/>
              </w:rPr>
              <w:t>电力设施产权人未设立电力设施安全标志</w:t>
            </w:r>
          </w:p>
        </w:tc>
        <w:tc>
          <w:tcPr>
            <w:tcW w:w="6045" w:type="dxa"/>
            <w:noWrap w:val="0"/>
            <w:vAlign w:val="top"/>
          </w:tcPr>
          <w:p w14:paraId="0D009963">
            <w:pPr>
              <w:widowControl/>
              <w:spacing w:line="320" w:lineRule="exact"/>
              <w:textAlignment w:val="center"/>
              <w:rPr>
                <w:rFonts w:hint="default"/>
                <w:lang w:val="en-US" w:eastAsia="zh-CN"/>
              </w:rPr>
            </w:pPr>
            <w:r>
              <w:rPr>
                <w:rFonts w:hint="eastAsia"/>
                <w:lang w:val="en-US" w:eastAsia="zh-CN"/>
              </w:rPr>
              <w:t>无害+及时改正</w:t>
            </w:r>
          </w:p>
        </w:tc>
      </w:tr>
      <w:tr w14:paraId="0A440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876" w:type="dxa"/>
            <w:noWrap w:val="0"/>
            <w:vAlign w:val="center"/>
          </w:tcPr>
          <w:p w14:paraId="1401DED7">
            <w:pPr>
              <w:widowControl/>
              <w:spacing w:line="320" w:lineRule="exact"/>
              <w:textAlignment w:val="center"/>
              <w:rPr>
                <w:rFonts w:hint="default" w:ascii="宋体" w:hAnsi="宋体" w:cs="宋体"/>
                <w:spacing w:val="-11"/>
                <w:kern w:val="0"/>
                <w:szCs w:val="21"/>
                <w:lang w:val="en-US" w:eastAsia="zh-CN" w:bidi="ar"/>
              </w:rPr>
            </w:pPr>
            <w:r>
              <w:rPr>
                <w:rFonts w:hint="eastAsia" w:ascii="宋体" w:hAnsi="宋体" w:cs="宋体"/>
                <w:spacing w:val="-11"/>
                <w:kern w:val="0"/>
                <w:szCs w:val="21"/>
                <w:lang w:val="en-US" w:eastAsia="zh-CN" w:bidi="ar"/>
              </w:rPr>
              <w:t>2</w:t>
            </w:r>
          </w:p>
        </w:tc>
        <w:tc>
          <w:tcPr>
            <w:tcW w:w="7165" w:type="dxa"/>
            <w:noWrap w:val="0"/>
            <w:vAlign w:val="top"/>
          </w:tcPr>
          <w:p w14:paraId="06665E44">
            <w:pPr>
              <w:widowControl/>
              <w:spacing w:line="320" w:lineRule="exact"/>
              <w:textAlignment w:val="center"/>
              <w:rPr>
                <w:rFonts w:hint="eastAsia" w:ascii="宋体" w:hAnsi="宋体" w:cs="宋体"/>
                <w:spacing w:val="-11"/>
                <w:kern w:val="0"/>
                <w:szCs w:val="21"/>
                <w:lang w:eastAsia="zh-CN" w:bidi="ar"/>
              </w:rPr>
            </w:pPr>
            <w:r>
              <w:rPr>
                <w:rFonts w:hint="eastAsia" w:ascii="宋体" w:hAnsi="宋体" w:cs="宋体"/>
                <w:spacing w:val="-11"/>
                <w:kern w:val="0"/>
                <w:szCs w:val="21"/>
                <w:lang w:eastAsia="zh-CN" w:bidi="ar"/>
              </w:rPr>
              <w:t>从事危害发电设施、变电设施、电力交易设施的行为</w:t>
            </w:r>
          </w:p>
        </w:tc>
        <w:tc>
          <w:tcPr>
            <w:tcW w:w="6045" w:type="dxa"/>
            <w:noWrap w:val="0"/>
            <w:vAlign w:val="top"/>
          </w:tcPr>
          <w:p w14:paraId="5322EF6A">
            <w:pPr>
              <w:widowControl/>
              <w:spacing w:line="320" w:lineRule="exact"/>
              <w:textAlignment w:val="center"/>
              <w:rPr>
                <w:rFonts w:hint="default"/>
                <w:lang w:val="en-US" w:eastAsia="zh-CN"/>
              </w:rPr>
            </w:pPr>
            <w:r>
              <w:rPr>
                <w:rFonts w:hint="eastAsia"/>
                <w:lang w:val="en-US" w:eastAsia="zh-CN"/>
              </w:rPr>
              <w:t>首违+轻害+及时改正</w:t>
            </w:r>
          </w:p>
        </w:tc>
      </w:tr>
      <w:tr w14:paraId="69940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876" w:type="dxa"/>
            <w:noWrap w:val="0"/>
            <w:vAlign w:val="center"/>
          </w:tcPr>
          <w:p w14:paraId="081252F9">
            <w:pPr>
              <w:widowControl/>
              <w:spacing w:line="320" w:lineRule="exact"/>
              <w:textAlignment w:val="center"/>
              <w:rPr>
                <w:rFonts w:hint="default" w:ascii="宋体" w:hAnsi="宋体" w:cs="宋体"/>
                <w:spacing w:val="-11"/>
                <w:kern w:val="0"/>
                <w:szCs w:val="21"/>
                <w:lang w:val="en-US" w:eastAsia="zh-CN" w:bidi="ar"/>
              </w:rPr>
            </w:pPr>
            <w:r>
              <w:rPr>
                <w:rFonts w:hint="eastAsia" w:ascii="宋体" w:hAnsi="宋体" w:cs="宋体"/>
                <w:spacing w:val="-11"/>
                <w:kern w:val="0"/>
                <w:szCs w:val="21"/>
                <w:lang w:val="en-US" w:eastAsia="zh-CN" w:bidi="ar"/>
              </w:rPr>
              <w:t>3</w:t>
            </w:r>
          </w:p>
        </w:tc>
        <w:tc>
          <w:tcPr>
            <w:tcW w:w="7165" w:type="dxa"/>
            <w:noWrap w:val="0"/>
            <w:vAlign w:val="top"/>
          </w:tcPr>
          <w:p w14:paraId="0AD5C249">
            <w:pPr>
              <w:widowControl/>
              <w:spacing w:line="320" w:lineRule="exact"/>
              <w:textAlignment w:val="center"/>
              <w:rPr>
                <w:rFonts w:hint="eastAsia" w:ascii="宋体" w:hAnsi="宋体" w:cs="宋体"/>
                <w:spacing w:val="-11"/>
                <w:kern w:val="0"/>
                <w:szCs w:val="21"/>
                <w:lang w:eastAsia="zh-CN" w:bidi="ar"/>
              </w:rPr>
            </w:pPr>
            <w:r>
              <w:rPr>
                <w:rFonts w:hint="eastAsia" w:ascii="宋体" w:hAnsi="宋体" w:cs="宋体"/>
                <w:spacing w:val="-11"/>
                <w:kern w:val="0"/>
                <w:szCs w:val="21"/>
                <w:lang w:eastAsia="zh-CN" w:bidi="ar"/>
              </w:rPr>
              <w:t>从事危害电力线路设施的行为</w:t>
            </w:r>
          </w:p>
        </w:tc>
        <w:tc>
          <w:tcPr>
            <w:tcW w:w="6045" w:type="dxa"/>
            <w:noWrap w:val="0"/>
            <w:vAlign w:val="top"/>
          </w:tcPr>
          <w:p w14:paraId="303C7EEC">
            <w:pPr>
              <w:widowControl/>
              <w:spacing w:line="320" w:lineRule="exact"/>
              <w:textAlignment w:val="center"/>
              <w:rPr>
                <w:rFonts w:hint="eastAsia"/>
                <w:lang w:val="en-US" w:eastAsia="zh-CN"/>
              </w:rPr>
            </w:pPr>
            <w:r>
              <w:rPr>
                <w:rFonts w:hint="eastAsia"/>
                <w:lang w:val="en-US" w:eastAsia="zh-CN"/>
              </w:rPr>
              <w:t>首违+轻害+及时改正</w:t>
            </w:r>
          </w:p>
        </w:tc>
      </w:tr>
      <w:tr w14:paraId="26763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876" w:type="dxa"/>
            <w:noWrap w:val="0"/>
            <w:vAlign w:val="center"/>
          </w:tcPr>
          <w:p w14:paraId="570B1DCF">
            <w:pPr>
              <w:widowControl/>
              <w:spacing w:line="320" w:lineRule="exact"/>
              <w:textAlignment w:val="center"/>
              <w:rPr>
                <w:rFonts w:hint="default" w:ascii="宋体" w:hAnsi="宋体" w:cs="宋体"/>
                <w:spacing w:val="-11"/>
                <w:kern w:val="0"/>
                <w:szCs w:val="21"/>
                <w:lang w:val="en-US" w:eastAsia="zh-CN" w:bidi="ar"/>
              </w:rPr>
            </w:pPr>
            <w:r>
              <w:rPr>
                <w:rFonts w:hint="eastAsia" w:ascii="宋体" w:hAnsi="宋体" w:cs="宋体"/>
                <w:spacing w:val="-11"/>
                <w:kern w:val="0"/>
                <w:szCs w:val="21"/>
                <w:lang w:val="en-US" w:eastAsia="zh-CN" w:bidi="ar"/>
              </w:rPr>
              <w:t>4</w:t>
            </w:r>
          </w:p>
        </w:tc>
        <w:tc>
          <w:tcPr>
            <w:tcW w:w="7165" w:type="dxa"/>
            <w:noWrap w:val="0"/>
            <w:vAlign w:val="top"/>
          </w:tcPr>
          <w:p w14:paraId="481D4DEC">
            <w:pPr>
              <w:widowControl/>
              <w:spacing w:line="320" w:lineRule="exact"/>
              <w:textAlignment w:val="center"/>
              <w:rPr>
                <w:rFonts w:hint="eastAsia" w:ascii="宋体" w:hAnsi="宋体" w:cs="宋体"/>
                <w:spacing w:val="-11"/>
                <w:kern w:val="0"/>
                <w:szCs w:val="21"/>
                <w:lang w:eastAsia="zh-CN" w:bidi="ar"/>
              </w:rPr>
            </w:pPr>
            <w:r>
              <w:rPr>
                <w:rFonts w:hint="eastAsia" w:ascii="宋体" w:hAnsi="宋体" w:cs="宋体"/>
                <w:spacing w:val="-11"/>
                <w:kern w:val="0"/>
                <w:szCs w:val="21"/>
                <w:lang w:eastAsia="zh-CN" w:bidi="ar"/>
              </w:rPr>
              <w:t>在电力线路保护区及油气管道保护区内从事违法活动</w:t>
            </w:r>
          </w:p>
        </w:tc>
        <w:tc>
          <w:tcPr>
            <w:tcW w:w="6045" w:type="dxa"/>
            <w:noWrap w:val="0"/>
            <w:vAlign w:val="top"/>
          </w:tcPr>
          <w:p w14:paraId="6B23BF50">
            <w:pPr>
              <w:widowControl/>
              <w:spacing w:line="320" w:lineRule="exact"/>
              <w:textAlignment w:val="center"/>
              <w:rPr>
                <w:rFonts w:hint="eastAsia"/>
                <w:lang w:val="en-US" w:eastAsia="zh-CN"/>
              </w:rPr>
            </w:pPr>
            <w:r>
              <w:rPr>
                <w:rFonts w:hint="eastAsia"/>
                <w:lang w:val="en-US" w:eastAsia="zh-CN"/>
              </w:rPr>
              <w:t>首违+轻害+及时改正</w:t>
            </w:r>
          </w:p>
        </w:tc>
      </w:tr>
      <w:tr w14:paraId="52D45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876" w:type="dxa"/>
            <w:noWrap w:val="0"/>
            <w:vAlign w:val="center"/>
          </w:tcPr>
          <w:p w14:paraId="35E3AC32">
            <w:pPr>
              <w:widowControl/>
              <w:spacing w:line="320" w:lineRule="exact"/>
              <w:textAlignment w:val="center"/>
              <w:rPr>
                <w:rFonts w:hint="default" w:ascii="宋体" w:hAnsi="宋体" w:cs="宋体"/>
                <w:spacing w:val="-11"/>
                <w:kern w:val="0"/>
                <w:szCs w:val="21"/>
                <w:lang w:val="en-US" w:eastAsia="zh-CN" w:bidi="ar"/>
              </w:rPr>
            </w:pPr>
            <w:r>
              <w:rPr>
                <w:rFonts w:hint="eastAsia" w:ascii="宋体" w:hAnsi="宋体" w:cs="宋体"/>
                <w:spacing w:val="-11"/>
                <w:kern w:val="0"/>
                <w:szCs w:val="21"/>
                <w:lang w:val="en-US" w:eastAsia="zh-CN" w:bidi="ar"/>
              </w:rPr>
              <w:t>5</w:t>
            </w:r>
          </w:p>
        </w:tc>
        <w:tc>
          <w:tcPr>
            <w:tcW w:w="7165" w:type="dxa"/>
            <w:noWrap w:val="0"/>
            <w:vAlign w:val="top"/>
          </w:tcPr>
          <w:p w14:paraId="491071BE">
            <w:pPr>
              <w:widowControl/>
              <w:spacing w:line="320" w:lineRule="exact"/>
              <w:textAlignment w:val="center"/>
              <w:rPr>
                <w:rFonts w:hint="eastAsia" w:ascii="宋体" w:hAnsi="宋体" w:cs="宋体"/>
                <w:spacing w:val="-11"/>
                <w:kern w:val="0"/>
                <w:szCs w:val="21"/>
                <w:lang w:eastAsia="zh-CN" w:bidi="ar"/>
              </w:rPr>
            </w:pPr>
            <w:r>
              <w:rPr>
                <w:rFonts w:hint="eastAsia" w:ascii="宋体" w:hAnsi="宋体" w:cs="宋体"/>
                <w:spacing w:val="-11"/>
                <w:kern w:val="0"/>
                <w:szCs w:val="21"/>
                <w:lang w:eastAsia="zh-CN" w:bidi="ar"/>
              </w:rPr>
              <w:t>破坏或者擅自移动电力设施及油气管道保护标志、安全标志</w:t>
            </w:r>
          </w:p>
        </w:tc>
        <w:tc>
          <w:tcPr>
            <w:tcW w:w="6045" w:type="dxa"/>
            <w:noWrap w:val="0"/>
            <w:vAlign w:val="top"/>
          </w:tcPr>
          <w:p w14:paraId="0C814146">
            <w:pPr>
              <w:widowControl/>
              <w:spacing w:line="320" w:lineRule="exact"/>
              <w:textAlignment w:val="center"/>
              <w:rPr>
                <w:rFonts w:hint="eastAsia"/>
                <w:lang w:val="en-US" w:eastAsia="zh-CN"/>
              </w:rPr>
            </w:pPr>
            <w:r>
              <w:rPr>
                <w:rFonts w:hint="eastAsia"/>
                <w:lang w:val="en-US" w:eastAsia="zh-CN"/>
              </w:rPr>
              <w:t>轻微+无害+及时改正</w:t>
            </w:r>
          </w:p>
        </w:tc>
      </w:tr>
    </w:tbl>
    <w:p w14:paraId="3438E7D8">
      <w:pPr>
        <w:widowControl/>
        <w:numPr>
          <w:ilvl w:val="0"/>
          <w:numId w:val="0"/>
        </w:numPr>
        <w:textAlignment w:val="center"/>
        <w:rPr>
          <w:rFonts w:hint="eastAsia" w:ascii="黑体" w:hAnsi="黑体" w:eastAsia="黑体" w:cs="黑体"/>
          <w:spacing w:val="-11"/>
          <w:kern w:val="0"/>
          <w:sz w:val="32"/>
          <w:szCs w:val="32"/>
          <w:highlight w:val="red"/>
          <w:lang w:bidi="ar"/>
        </w:rPr>
      </w:pPr>
    </w:p>
    <w:p w14:paraId="3CC8F51F">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民族宗教</w:t>
      </w:r>
      <w:r>
        <w:rPr>
          <w:rFonts w:hint="eastAsia" w:ascii="黑体" w:hAnsi="黑体" w:eastAsia="黑体" w:cs="黑体"/>
          <w:spacing w:val="-11"/>
          <w:kern w:val="0"/>
          <w:sz w:val="32"/>
          <w:szCs w:val="32"/>
          <w:highlight w:val="none"/>
          <w:lang w:bidi="ar"/>
        </w:rPr>
        <w:t>领域轻微违法行为不予处罚清单</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
        <w:gridCol w:w="2949"/>
        <w:gridCol w:w="2079"/>
        <w:gridCol w:w="8217"/>
      </w:tblGrid>
      <w:tr w14:paraId="5D4CD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92" w:type="dxa"/>
            <w:noWrap w:val="0"/>
            <w:vAlign w:val="center"/>
          </w:tcPr>
          <w:p w14:paraId="3F66A363">
            <w:pPr>
              <w:spacing w:line="320" w:lineRule="exact"/>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2949" w:type="dxa"/>
            <w:noWrap w:val="0"/>
            <w:vAlign w:val="center"/>
          </w:tcPr>
          <w:p w14:paraId="15063B44">
            <w:pPr>
              <w:spacing w:line="320" w:lineRule="exact"/>
              <w:jc w:val="center"/>
              <w:rPr>
                <w:rFonts w:hint="eastAsia" w:ascii="宋体" w:hAnsi="宋体" w:eastAsia="宋体" w:cs="宋体"/>
                <w:b/>
                <w:bCs/>
                <w:sz w:val="21"/>
                <w:szCs w:val="21"/>
              </w:rPr>
            </w:pPr>
            <w:r>
              <w:rPr>
                <w:rFonts w:hint="eastAsia" w:ascii="宋体" w:hAnsi="宋体" w:eastAsia="宋体" w:cs="宋体"/>
                <w:b/>
                <w:bCs/>
                <w:sz w:val="21"/>
                <w:szCs w:val="21"/>
              </w:rPr>
              <w:t>违法行为</w:t>
            </w:r>
          </w:p>
        </w:tc>
        <w:tc>
          <w:tcPr>
            <w:tcW w:w="2079" w:type="dxa"/>
            <w:noWrap w:val="0"/>
            <w:vAlign w:val="center"/>
          </w:tcPr>
          <w:p w14:paraId="2903E09B">
            <w:pPr>
              <w:spacing w:line="320" w:lineRule="exact"/>
              <w:jc w:val="center"/>
              <w:rPr>
                <w:rFonts w:hint="eastAsia" w:ascii="宋体" w:hAnsi="宋体" w:eastAsia="宋体" w:cs="宋体"/>
                <w:b/>
                <w:bCs/>
                <w:sz w:val="21"/>
                <w:szCs w:val="21"/>
              </w:rPr>
            </w:pPr>
            <w:r>
              <w:rPr>
                <w:rFonts w:hint="eastAsia" w:ascii="宋体" w:hAnsi="宋体" w:eastAsia="宋体" w:cs="宋体"/>
                <w:b/>
                <w:bCs/>
                <w:sz w:val="21"/>
                <w:szCs w:val="21"/>
              </w:rPr>
              <w:t>不予处罚条件</w:t>
            </w:r>
          </w:p>
        </w:tc>
        <w:tc>
          <w:tcPr>
            <w:tcW w:w="8217" w:type="dxa"/>
            <w:noWrap w:val="0"/>
            <w:vAlign w:val="center"/>
          </w:tcPr>
          <w:p w14:paraId="43C12370">
            <w:pPr>
              <w:spacing w:line="320" w:lineRule="exact"/>
              <w:jc w:val="center"/>
              <w:rPr>
                <w:rFonts w:hint="eastAsia" w:ascii="宋体" w:hAnsi="宋体" w:eastAsia="宋体" w:cs="宋体"/>
                <w:b/>
                <w:bCs/>
                <w:sz w:val="21"/>
                <w:szCs w:val="21"/>
              </w:rPr>
            </w:pPr>
            <w:r>
              <w:rPr>
                <w:rFonts w:hint="eastAsia" w:ascii="宋体" w:hAnsi="宋体" w:eastAsia="宋体" w:cs="宋体"/>
                <w:b/>
                <w:bCs/>
                <w:sz w:val="21"/>
                <w:szCs w:val="21"/>
              </w:rPr>
              <w:t>法律依据</w:t>
            </w:r>
          </w:p>
        </w:tc>
      </w:tr>
      <w:tr w14:paraId="7350A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5" w:hRule="atLeast"/>
          <w:jc w:val="center"/>
        </w:trPr>
        <w:tc>
          <w:tcPr>
            <w:tcW w:w="892" w:type="dxa"/>
            <w:noWrap w:val="0"/>
            <w:vAlign w:val="center"/>
          </w:tcPr>
          <w:p w14:paraId="53C41BDC">
            <w:pPr>
              <w:widowControl/>
              <w:spacing w:line="300" w:lineRule="exact"/>
              <w:jc w:val="center"/>
              <w:textAlignment w:val="center"/>
              <w:rPr>
                <w:rFonts w:hint="eastAsia" w:ascii="宋体" w:hAnsi="宋体" w:eastAsia="宋体" w:cs="宋体"/>
                <w:szCs w:val="21"/>
              </w:rPr>
            </w:pPr>
            <w:r>
              <w:rPr>
                <w:rFonts w:hint="eastAsia" w:ascii="宋体" w:hAnsi="宋体" w:eastAsia="宋体" w:cs="宋体"/>
                <w:color w:val="000000"/>
                <w:kern w:val="0"/>
                <w:szCs w:val="21"/>
                <w:lang w:bidi="ar"/>
              </w:rPr>
              <w:t>1</w:t>
            </w:r>
          </w:p>
        </w:tc>
        <w:tc>
          <w:tcPr>
            <w:tcW w:w="2949" w:type="dxa"/>
            <w:noWrap w:val="0"/>
            <w:vAlign w:val="center"/>
          </w:tcPr>
          <w:p w14:paraId="034DC0A5">
            <w:pPr>
              <w:widowControl/>
              <w:spacing w:line="300" w:lineRule="exact"/>
              <w:jc w:val="left"/>
              <w:textAlignment w:val="center"/>
              <w:rPr>
                <w:rFonts w:hint="eastAsia" w:ascii="宋体" w:hAnsi="宋体" w:eastAsia="宋体" w:cs="宋体"/>
                <w:color w:val="000000"/>
                <w:szCs w:val="21"/>
                <w:lang w:bidi="ar"/>
              </w:rPr>
            </w:pPr>
          </w:p>
          <w:p w14:paraId="61484737">
            <w:pPr>
              <w:widowControl/>
              <w:spacing w:line="300" w:lineRule="exact"/>
              <w:jc w:val="left"/>
              <w:textAlignment w:val="center"/>
              <w:rPr>
                <w:rFonts w:hint="eastAsia" w:ascii="宋体" w:hAnsi="宋体" w:eastAsia="宋体" w:cs="宋体"/>
                <w:szCs w:val="21"/>
              </w:rPr>
            </w:pPr>
            <w:r>
              <w:rPr>
                <w:rFonts w:hint="eastAsia" w:ascii="宋体" w:hAnsi="宋体" w:eastAsia="宋体" w:cs="宋体"/>
                <w:color w:val="000000"/>
                <w:szCs w:val="21"/>
                <w:lang w:bidi="ar"/>
              </w:rPr>
              <w:t>对宗教团体、宗教院校、宗教活动场所未按规定办理变更登记或者备案手续等行为的处罚</w:t>
            </w:r>
          </w:p>
        </w:tc>
        <w:tc>
          <w:tcPr>
            <w:tcW w:w="2079" w:type="dxa"/>
            <w:noWrap w:val="0"/>
            <w:vAlign w:val="center"/>
          </w:tcPr>
          <w:p w14:paraId="5F8C9A4F">
            <w:pPr>
              <w:widowControl/>
              <w:spacing w:line="300" w:lineRule="exact"/>
              <w:jc w:val="center"/>
              <w:textAlignment w:val="center"/>
              <w:rPr>
                <w:rFonts w:hint="eastAsia" w:ascii="宋体" w:hAnsi="宋体" w:eastAsia="宋体" w:cs="宋体"/>
                <w:szCs w:val="21"/>
              </w:rPr>
            </w:pPr>
          </w:p>
          <w:p w14:paraId="58CF9CEA">
            <w:pPr>
              <w:widowControl/>
              <w:spacing w:line="300" w:lineRule="exact"/>
              <w:textAlignment w:val="center"/>
              <w:rPr>
                <w:rFonts w:hint="eastAsia" w:ascii="宋体" w:hAnsi="宋体" w:eastAsia="宋体" w:cs="宋体"/>
                <w:b/>
                <w:bCs/>
                <w:szCs w:val="21"/>
              </w:rPr>
            </w:pPr>
            <w:r>
              <w:rPr>
                <w:rFonts w:hint="eastAsia" w:ascii="宋体" w:hAnsi="宋体" w:eastAsia="宋体" w:cs="宋体"/>
                <w:szCs w:val="21"/>
              </w:rPr>
              <w:t>首次发现有本项规定的违法行为，未造成严重不良影响和危害后果的</w:t>
            </w:r>
          </w:p>
        </w:tc>
        <w:tc>
          <w:tcPr>
            <w:tcW w:w="8217" w:type="dxa"/>
            <w:noWrap w:val="0"/>
            <w:vAlign w:val="center"/>
          </w:tcPr>
          <w:p w14:paraId="2F334EB0">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《宗教事务条例》（2017年8月26日中华人民共和国国务院令第686号公布，2018年2月1日起施行）</w:t>
            </w:r>
          </w:p>
          <w:p w14:paraId="29ABA7D5">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第五条  各宗教坚持独立自主自办的原则，宗教团体、宗教院校、宗教活动场所和宗教事务不受外国势力的支配。宗教团体、宗教院校、宗教活动场所、宗教教职人员在相互尊重、平等、友好的基础上开展对外交往；其他组织或者个人在对外经济、文化等合作、交流活动中不得接受附加的宗教条件。</w:t>
            </w:r>
          </w:p>
          <w:p w14:paraId="0FB2518C">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第二十六条  宗教活动场所应当加强内部管理，依照有关法律、法规、规章的规定，建立健全人员、财务、资产、会计、治安、消防、文物保护、卫生防疫等管理制度，接受当地人民政府有关部门的指导、监督、检查。</w:t>
            </w:r>
          </w:p>
          <w:p w14:paraId="3D622CE3">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第六十五条　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14:paraId="5157CA8F">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（一）未按规定办理变更登记或者备案手续的；</w:t>
            </w:r>
          </w:p>
          <w:p w14:paraId="11BA228A">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（二）宗教院校违反培养目标、办学章程和课程设置要求的；</w:t>
            </w:r>
          </w:p>
          <w:p w14:paraId="7E3C9818">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（三）宗教活动场所违反本条例第二十六条规定，未建立有关管理制度或者管理制度不符合要求的；</w:t>
            </w:r>
          </w:p>
          <w:p w14:paraId="5321622F">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（四）宗教活动场所违反本条例第五十四条规定，将用于宗教活动的房屋、构筑物及其附属的宗教教职人员生活用房转让、抵押或者作为实物投资的；</w:t>
            </w:r>
          </w:p>
          <w:p w14:paraId="339AFBAA">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（五）宗教活动场所内发生重大事故、重大事件未及时报告，造成严重后果的；</w:t>
            </w:r>
          </w:p>
          <w:p w14:paraId="37B94084">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（六）违反本条例第五条规定，违背宗教的独立自主自办原则的；</w:t>
            </w:r>
          </w:p>
          <w:p w14:paraId="5B2B4800">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（七）违反国家有关规定接受境内外捐赠的；</w:t>
            </w:r>
          </w:p>
          <w:p w14:paraId="7D126F5E">
            <w:pPr>
              <w:widowControl/>
              <w:spacing w:line="300" w:lineRule="exact"/>
              <w:jc w:val="left"/>
              <w:textAlignment w:val="center"/>
              <w:rPr>
                <w:rFonts w:hint="eastAsia" w:ascii="宋体" w:hAnsi="宋体" w:eastAsia="宋体" w:cs="宋体"/>
                <w:szCs w:val="21"/>
              </w:rPr>
            </w:pPr>
            <w:r>
              <w:rPr>
                <w:rFonts w:hint="eastAsia" w:ascii="宋体" w:hAnsi="宋体" w:eastAsia="宋体" w:cs="宋体"/>
                <w:color w:val="000000"/>
                <w:szCs w:val="21"/>
                <w:lang w:bidi="ar"/>
              </w:rPr>
              <w:t>（八）拒不接受行政管理机关依法实施的监督管理的。</w:t>
            </w:r>
          </w:p>
        </w:tc>
      </w:tr>
      <w:tr w14:paraId="0901E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1" w:hRule="atLeast"/>
          <w:jc w:val="center"/>
        </w:trPr>
        <w:tc>
          <w:tcPr>
            <w:tcW w:w="892" w:type="dxa"/>
            <w:noWrap w:val="0"/>
            <w:vAlign w:val="center"/>
          </w:tcPr>
          <w:p w14:paraId="170E3995">
            <w:pPr>
              <w:widowControl/>
              <w:spacing w:line="300" w:lineRule="exact"/>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2</w:t>
            </w:r>
          </w:p>
        </w:tc>
        <w:tc>
          <w:tcPr>
            <w:tcW w:w="2949" w:type="dxa"/>
            <w:noWrap w:val="0"/>
            <w:vAlign w:val="center"/>
          </w:tcPr>
          <w:p w14:paraId="45B29FB7">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宗教活动场所未建立有关管理制度或者管理制度不符合要求的处罚</w:t>
            </w:r>
          </w:p>
        </w:tc>
        <w:tc>
          <w:tcPr>
            <w:tcW w:w="2079" w:type="dxa"/>
            <w:noWrap w:val="0"/>
            <w:vAlign w:val="center"/>
          </w:tcPr>
          <w:p w14:paraId="4AB88312">
            <w:pPr>
              <w:widowControl/>
              <w:spacing w:line="300" w:lineRule="exact"/>
              <w:textAlignment w:val="center"/>
              <w:rPr>
                <w:rFonts w:hint="eastAsia" w:ascii="宋体" w:hAnsi="宋体" w:eastAsia="宋体" w:cs="宋体"/>
                <w:szCs w:val="21"/>
              </w:rPr>
            </w:pPr>
            <w:r>
              <w:rPr>
                <w:rFonts w:hint="eastAsia" w:ascii="宋体" w:hAnsi="宋体" w:eastAsia="宋体" w:cs="宋体"/>
                <w:szCs w:val="21"/>
              </w:rPr>
              <w:t>1.首次发现有本项规定的违法行为，未造成严重不良影响和危害后果的</w:t>
            </w:r>
          </w:p>
          <w:p w14:paraId="5E11188F">
            <w:pPr>
              <w:widowControl/>
              <w:spacing w:line="300" w:lineRule="exact"/>
              <w:textAlignment w:val="center"/>
              <w:rPr>
                <w:rFonts w:hint="eastAsia" w:ascii="宋体" w:hAnsi="宋体" w:eastAsia="宋体" w:cs="宋体"/>
                <w:szCs w:val="21"/>
              </w:rPr>
            </w:pPr>
            <w:r>
              <w:rPr>
                <w:rFonts w:hint="eastAsia" w:ascii="宋体" w:hAnsi="宋体" w:eastAsia="宋体" w:cs="宋体"/>
                <w:szCs w:val="21"/>
              </w:rPr>
              <w:t>2.主动改正或者在民宗部门责令改正期限内改正，未造成严重不良影响和危害后果的</w:t>
            </w:r>
          </w:p>
        </w:tc>
        <w:tc>
          <w:tcPr>
            <w:tcW w:w="8217" w:type="dxa"/>
            <w:noWrap w:val="0"/>
            <w:vAlign w:val="center"/>
          </w:tcPr>
          <w:p w14:paraId="7D373A02">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《宗教事务条例》（2017年8月26日中华人民共和国国务院令第686号公布，2018年2月1日起施行）</w:t>
            </w:r>
          </w:p>
          <w:p w14:paraId="0718F109">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第二十六条　宗教活动场所应当加强内部管理，依照有关法律、法规、规章的规定，建立健全人员、财务、资产、会计、治安、消防、文物保护、卫生防疫等管理制度，接受当地人民政府有关部门的指导、监督、检查。</w:t>
            </w:r>
          </w:p>
          <w:p w14:paraId="000F76D7">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第六十五条　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14:paraId="692B2771">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（一）未按规定办理变更登记或者备案手续的；</w:t>
            </w:r>
          </w:p>
          <w:p w14:paraId="744185D0">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（二）宗教院校违反培养目标、办学章程和课程设置要求的；</w:t>
            </w:r>
          </w:p>
          <w:p w14:paraId="1D12D64B">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（三）宗教活动场所违反本条例第二十六条规定，未建立有关管理制度或者管理制度不符合要求的；</w:t>
            </w:r>
          </w:p>
          <w:p w14:paraId="72A01FD8">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（四）宗教活动场所违反本条例第五十四条规定，将用于宗教活动的房屋、构筑物及其附属的宗教教职人员生活用房转让、抵押或者作为实物投资的；</w:t>
            </w:r>
          </w:p>
          <w:p w14:paraId="67646F9D">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（五）宗教活动场所内发生重大事故、重大事件未及时报告，造成严重后果的；</w:t>
            </w:r>
          </w:p>
          <w:p w14:paraId="2708AE40">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（六）违反本条例第五条规定，违背宗教的独立自主自办原则的；</w:t>
            </w:r>
          </w:p>
          <w:p w14:paraId="573AA078">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（七）违反国家有关规定接受境内外捐赠的；</w:t>
            </w:r>
          </w:p>
          <w:p w14:paraId="63CA5473">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（八）拒不接受行政管理机关依法实施的监督管理的。</w:t>
            </w:r>
          </w:p>
        </w:tc>
      </w:tr>
      <w:tr w14:paraId="2DEF8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8" w:hRule="atLeast"/>
          <w:jc w:val="center"/>
        </w:trPr>
        <w:tc>
          <w:tcPr>
            <w:tcW w:w="892" w:type="dxa"/>
            <w:noWrap w:val="0"/>
            <w:vAlign w:val="center"/>
          </w:tcPr>
          <w:p w14:paraId="27DA9DA4">
            <w:pPr>
              <w:widowControl/>
              <w:spacing w:line="300" w:lineRule="exact"/>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3</w:t>
            </w:r>
          </w:p>
        </w:tc>
        <w:tc>
          <w:tcPr>
            <w:tcW w:w="2949" w:type="dxa"/>
            <w:noWrap w:val="0"/>
            <w:vAlign w:val="center"/>
          </w:tcPr>
          <w:p w14:paraId="0138684C">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大型露天宗教造像未经验收对外开放</w:t>
            </w:r>
            <w:r>
              <w:rPr>
                <w:rFonts w:hint="eastAsia" w:ascii="宋体" w:hAnsi="宋体" w:cs="宋体"/>
                <w:color w:val="000000"/>
                <w:szCs w:val="21"/>
                <w:lang w:eastAsia="zh-CN" w:bidi="ar"/>
              </w:rPr>
              <w:t>；</w:t>
            </w:r>
            <w:r>
              <w:rPr>
                <w:rFonts w:hint="eastAsia" w:ascii="宋体" w:hAnsi="宋体" w:eastAsia="宋体" w:cs="宋体"/>
                <w:color w:val="000000"/>
                <w:szCs w:val="21"/>
                <w:lang w:bidi="ar"/>
              </w:rPr>
              <w:t>在寺观教堂外利用投影、灯光或者其他手段营造大型露天宗教图像、影像。</w:t>
            </w:r>
          </w:p>
        </w:tc>
        <w:tc>
          <w:tcPr>
            <w:tcW w:w="2079" w:type="dxa"/>
            <w:noWrap w:val="0"/>
            <w:vAlign w:val="center"/>
          </w:tcPr>
          <w:p w14:paraId="265F0FF0">
            <w:pPr>
              <w:widowControl/>
              <w:spacing w:line="300" w:lineRule="exact"/>
              <w:textAlignment w:val="center"/>
              <w:rPr>
                <w:rFonts w:hint="eastAsia" w:ascii="宋体" w:hAnsi="宋体" w:eastAsia="宋体" w:cs="宋体"/>
                <w:szCs w:val="21"/>
              </w:rPr>
            </w:pPr>
            <w:r>
              <w:rPr>
                <w:rFonts w:hint="eastAsia" w:ascii="宋体" w:hAnsi="宋体" w:eastAsia="宋体" w:cs="宋体"/>
                <w:szCs w:val="21"/>
              </w:rPr>
              <w:t>立案调查前已自行改正，未造成严重不良影响和危害后果的</w:t>
            </w:r>
          </w:p>
        </w:tc>
        <w:tc>
          <w:tcPr>
            <w:tcW w:w="8217" w:type="dxa"/>
            <w:noWrap w:val="0"/>
            <w:vAlign w:val="center"/>
          </w:tcPr>
          <w:p w14:paraId="3F99D9C1">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《江西省宗教事务条例》(2007年3月29日江西省第十届人民代表大会常务委员会第二十八次会议通过 2014年5月29日江西省第十二届人民代表大会常务委员会第十一次会议修正 2019年3月28日江西省第十三届人民代表大会常务委员会第十二次会议修订</w:t>
            </w:r>
            <w:r>
              <w:rPr>
                <w:rFonts w:hint="eastAsia" w:ascii="宋体" w:hAnsi="宋体" w:cs="宋体"/>
                <w:color w:val="000000"/>
                <w:szCs w:val="21"/>
                <w:lang w:eastAsia="zh-CN" w:bidi="ar"/>
              </w:rPr>
              <w:t>）</w:t>
            </w:r>
          </w:p>
          <w:p w14:paraId="311819F1">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第六十八条 违反本条例第三十三条第四款规定，大型露天宗教造像未经验收对外开放的，由宗教事务部门责令改正，处五千元以上五万元以下罚款，有违法所得、非法财物的，没收违法所得和非法财物。</w:t>
            </w:r>
          </w:p>
          <w:p w14:paraId="4B657D08">
            <w:pPr>
              <w:widowControl/>
              <w:spacing w:line="300" w:lineRule="exact"/>
              <w:jc w:val="left"/>
              <w:textAlignment w:val="center"/>
              <w:rPr>
                <w:rFonts w:hint="eastAsia" w:ascii="宋体" w:hAnsi="宋体" w:eastAsia="宋体" w:cs="宋体"/>
                <w:color w:val="000000"/>
                <w:szCs w:val="21"/>
                <w:lang w:bidi="ar"/>
              </w:rPr>
            </w:pPr>
            <w:r>
              <w:rPr>
                <w:rFonts w:hint="eastAsia" w:ascii="宋体" w:hAnsi="宋体" w:eastAsia="宋体" w:cs="宋体"/>
                <w:color w:val="000000"/>
                <w:szCs w:val="21"/>
                <w:lang w:bidi="ar"/>
              </w:rPr>
              <w:t>违反本条例第三十三条第五款规定，在寺观教堂外利用投影、灯光或者其他手段营造大型露天宗教图像、影像的，由宗教事务部门责令改正，情节严重的，处一千元以上一万元以下罚款，有违法所得、非法财物的，没收违法所得和非法财物。</w:t>
            </w:r>
          </w:p>
        </w:tc>
      </w:tr>
    </w:tbl>
    <w:p w14:paraId="169FC172">
      <w:pPr>
        <w:pStyle w:val="3"/>
        <w:rPr>
          <w:rFonts w:hint="eastAsia"/>
        </w:rPr>
      </w:pPr>
    </w:p>
    <w:p w14:paraId="0AF3A64B">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统计</w:t>
      </w:r>
      <w:r>
        <w:rPr>
          <w:rFonts w:hint="eastAsia" w:ascii="黑体" w:hAnsi="黑体" w:eastAsia="黑体" w:cs="黑体"/>
          <w:spacing w:val="-11"/>
          <w:kern w:val="0"/>
          <w:sz w:val="32"/>
          <w:szCs w:val="32"/>
          <w:highlight w:val="none"/>
          <w:lang w:bidi="ar"/>
        </w:rPr>
        <w:t>领域轻微违法行为不予处罚清单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9"/>
        <w:gridCol w:w="2721"/>
        <w:gridCol w:w="2881"/>
        <w:gridCol w:w="6975"/>
      </w:tblGrid>
      <w:tr w14:paraId="24932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noWrap w:val="0"/>
            <w:vAlign w:val="top"/>
          </w:tcPr>
          <w:p w14:paraId="7799601E">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序号</w:t>
            </w:r>
          </w:p>
        </w:tc>
        <w:tc>
          <w:tcPr>
            <w:tcW w:w="2721" w:type="dxa"/>
            <w:noWrap w:val="0"/>
            <w:vAlign w:val="top"/>
          </w:tcPr>
          <w:p w14:paraId="3E4CAF18">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违法行为</w:t>
            </w:r>
          </w:p>
        </w:tc>
        <w:tc>
          <w:tcPr>
            <w:tcW w:w="2881" w:type="dxa"/>
            <w:noWrap w:val="0"/>
            <w:vAlign w:val="top"/>
          </w:tcPr>
          <w:p w14:paraId="0743CC01">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不予处罚条件</w:t>
            </w:r>
          </w:p>
        </w:tc>
        <w:tc>
          <w:tcPr>
            <w:tcW w:w="6975" w:type="dxa"/>
            <w:noWrap w:val="0"/>
            <w:vAlign w:val="top"/>
          </w:tcPr>
          <w:p w14:paraId="5592DE75">
            <w:pPr>
              <w:widowControl/>
              <w:spacing w:line="320" w:lineRule="exact"/>
              <w:jc w:val="center"/>
              <w:textAlignment w:val="center"/>
              <w:rPr>
                <w:rFonts w:hint="eastAsia" w:ascii="宋体" w:hAnsi="宋体" w:cs="宋体"/>
                <w:b/>
                <w:bCs/>
                <w:spacing w:val="-11"/>
                <w:kern w:val="0"/>
                <w:szCs w:val="21"/>
                <w:lang w:bidi="ar"/>
              </w:rPr>
            </w:pPr>
            <w:r>
              <w:rPr>
                <w:rFonts w:hint="eastAsia" w:ascii="宋体" w:hAnsi="宋体" w:cs="宋体"/>
                <w:b/>
                <w:bCs/>
                <w:spacing w:val="-11"/>
                <w:kern w:val="0"/>
                <w:szCs w:val="21"/>
                <w:lang w:bidi="ar"/>
              </w:rPr>
              <w:t>法律依据</w:t>
            </w:r>
          </w:p>
        </w:tc>
      </w:tr>
      <w:tr w14:paraId="519C2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noWrap w:val="0"/>
            <w:vAlign w:val="center"/>
          </w:tcPr>
          <w:p w14:paraId="6B0D7E95">
            <w:pPr>
              <w:widowControl/>
              <w:spacing w:line="320" w:lineRule="exact"/>
              <w:textAlignment w:val="center"/>
              <w:rPr>
                <w:rFonts w:hint="eastAsia" w:ascii="宋体" w:hAnsi="宋体" w:eastAsia="宋体" w:cs="宋体"/>
                <w:spacing w:val="-11"/>
                <w:kern w:val="0"/>
                <w:szCs w:val="21"/>
                <w:lang w:val="en-US" w:eastAsia="zh-CN" w:bidi="ar"/>
              </w:rPr>
            </w:pPr>
            <w:r>
              <w:rPr>
                <w:rFonts w:hint="eastAsia" w:ascii="宋体" w:hAnsi="宋体" w:cs="宋体"/>
                <w:spacing w:val="-11"/>
                <w:kern w:val="0"/>
                <w:szCs w:val="21"/>
                <w:lang w:val="en-US" w:eastAsia="zh-CN" w:bidi="ar"/>
              </w:rPr>
              <w:t>1</w:t>
            </w:r>
          </w:p>
        </w:tc>
        <w:tc>
          <w:tcPr>
            <w:tcW w:w="2721" w:type="dxa"/>
            <w:noWrap w:val="0"/>
            <w:vAlign w:val="top"/>
          </w:tcPr>
          <w:p w14:paraId="5A63DAD7">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eastAsia="宋体" w:cs="宋体"/>
                <w:spacing w:val="-11"/>
                <w:kern w:val="0"/>
                <w:szCs w:val="21"/>
                <w:lang w:eastAsia="zh-CN" w:bidi="ar"/>
              </w:rPr>
              <w:t>作为统计调查对象未按照国家有关规定设置原始记录、统计台账</w:t>
            </w:r>
          </w:p>
        </w:tc>
        <w:tc>
          <w:tcPr>
            <w:tcW w:w="2881" w:type="dxa"/>
            <w:noWrap w:val="0"/>
            <w:vAlign w:val="top"/>
          </w:tcPr>
          <w:p w14:paraId="23D69772">
            <w:pPr>
              <w:widowControl/>
              <w:spacing w:line="320" w:lineRule="exact"/>
              <w:textAlignment w:val="center"/>
              <w:rPr>
                <w:rFonts w:hint="default" w:ascii="宋体" w:hAnsi="宋体" w:eastAsia="宋体" w:cs="宋体"/>
                <w:spacing w:val="-11"/>
                <w:kern w:val="0"/>
                <w:szCs w:val="21"/>
                <w:lang w:val="en-US" w:eastAsia="zh-CN" w:bidi="ar"/>
              </w:rPr>
            </w:pPr>
            <w:r>
              <w:rPr>
                <w:rFonts w:hint="default" w:ascii="宋体" w:hAnsi="宋体" w:eastAsia="宋体" w:cs="宋体"/>
                <w:spacing w:val="-11"/>
                <w:kern w:val="0"/>
                <w:szCs w:val="21"/>
                <w:lang w:val="en-US" w:eastAsia="zh-CN" w:bidi="ar"/>
              </w:rPr>
              <w:t>1.有原始记录、统计台账；</w:t>
            </w:r>
          </w:p>
          <w:p w14:paraId="057FA286">
            <w:pPr>
              <w:widowControl/>
              <w:spacing w:line="320" w:lineRule="exact"/>
              <w:textAlignment w:val="center"/>
              <w:rPr>
                <w:rFonts w:hint="default" w:ascii="宋体" w:hAnsi="宋体" w:eastAsia="宋体" w:cs="宋体"/>
                <w:spacing w:val="-11"/>
                <w:kern w:val="0"/>
                <w:szCs w:val="21"/>
                <w:lang w:val="en-US" w:eastAsia="zh-CN" w:bidi="ar"/>
              </w:rPr>
            </w:pPr>
            <w:r>
              <w:rPr>
                <w:rFonts w:hint="default" w:ascii="宋体" w:hAnsi="宋体" w:eastAsia="宋体" w:cs="宋体"/>
                <w:spacing w:val="-11"/>
                <w:kern w:val="0"/>
                <w:szCs w:val="21"/>
                <w:lang w:val="en-US" w:eastAsia="zh-CN" w:bidi="ar"/>
              </w:rPr>
              <w:t>2.原始记录、统计台账不符合国家有关规定要求；</w:t>
            </w:r>
          </w:p>
          <w:p w14:paraId="10C8AE45">
            <w:pPr>
              <w:widowControl/>
              <w:spacing w:line="320" w:lineRule="exact"/>
              <w:textAlignment w:val="center"/>
              <w:rPr>
                <w:rFonts w:hint="default" w:ascii="宋体" w:hAnsi="宋体" w:eastAsia="宋体" w:cs="宋体"/>
                <w:spacing w:val="-11"/>
                <w:kern w:val="0"/>
                <w:szCs w:val="21"/>
                <w:lang w:val="en-US" w:eastAsia="zh-CN" w:bidi="ar"/>
              </w:rPr>
            </w:pPr>
            <w:r>
              <w:rPr>
                <w:rFonts w:hint="default" w:ascii="宋体" w:hAnsi="宋体" w:eastAsia="宋体" w:cs="宋体"/>
                <w:spacing w:val="-11"/>
                <w:kern w:val="0"/>
                <w:szCs w:val="21"/>
                <w:lang w:val="en-US" w:eastAsia="zh-CN" w:bidi="ar"/>
              </w:rPr>
              <w:t>3.认真进行整改，并在规定期限内整改完毕</w:t>
            </w:r>
            <w:r>
              <w:rPr>
                <w:rFonts w:hint="eastAsia" w:ascii="宋体" w:hAnsi="宋体" w:cs="宋体"/>
                <w:spacing w:val="-11"/>
                <w:kern w:val="0"/>
                <w:szCs w:val="21"/>
                <w:lang w:val="en-US" w:eastAsia="zh-CN" w:bidi="ar"/>
              </w:rPr>
              <w:t>；</w:t>
            </w:r>
          </w:p>
        </w:tc>
        <w:tc>
          <w:tcPr>
            <w:tcW w:w="6975" w:type="dxa"/>
            <w:noWrap w:val="0"/>
            <w:vAlign w:val="top"/>
          </w:tcPr>
          <w:p w14:paraId="1358A183">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eastAsia="宋体" w:cs="宋体"/>
                <w:spacing w:val="-11"/>
                <w:kern w:val="0"/>
                <w:szCs w:val="21"/>
                <w:lang w:eastAsia="zh-CN" w:bidi="ar"/>
              </w:rPr>
              <w:t>《中华人民共和国统计法》第四十二条作为统计调查对象的国家机关、企业事业单位或者其他组织迟报统计资料，或者未按照国家有关规定设置原始记录、统计台账的，由县级以上人民政府统计机构责令改正，给予警告。</w:t>
            </w:r>
          </w:p>
          <w:p w14:paraId="5042E9C9">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eastAsia="宋体" w:cs="宋体"/>
                <w:spacing w:val="-11"/>
                <w:kern w:val="0"/>
                <w:szCs w:val="21"/>
                <w:lang w:eastAsia="zh-CN" w:bidi="ar"/>
              </w:rPr>
              <w:t>企业事业单位或者其他组织有前款所列行为之一的，可以并处一万元以下的罚款。</w:t>
            </w:r>
          </w:p>
          <w:p w14:paraId="4C72B0BB">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eastAsia="宋体" w:cs="宋体"/>
                <w:spacing w:val="-11"/>
                <w:kern w:val="0"/>
                <w:szCs w:val="21"/>
                <w:lang w:eastAsia="zh-CN" w:bidi="ar"/>
              </w:rPr>
              <w:t>个体工商户迟报统计资料的，由县级以上人民政府统计机构责令改正，给予警告，可以并处一千元以下的罚款。</w:t>
            </w:r>
          </w:p>
        </w:tc>
      </w:tr>
      <w:tr w14:paraId="7F0E3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9" w:type="dxa"/>
            <w:noWrap w:val="0"/>
            <w:vAlign w:val="center"/>
          </w:tcPr>
          <w:p w14:paraId="2F6C7888">
            <w:pPr>
              <w:widowControl/>
              <w:spacing w:line="320" w:lineRule="exact"/>
              <w:textAlignment w:val="center"/>
              <w:rPr>
                <w:rFonts w:hint="default" w:ascii="宋体" w:hAnsi="宋体" w:cs="宋体"/>
                <w:spacing w:val="-11"/>
                <w:kern w:val="0"/>
                <w:szCs w:val="21"/>
                <w:lang w:val="en-US" w:eastAsia="zh-CN" w:bidi="ar"/>
              </w:rPr>
            </w:pPr>
            <w:r>
              <w:rPr>
                <w:rFonts w:hint="eastAsia" w:ascii="宋体" w:hAnsi="宋体" w:cs="宋体"/>
                <w:spacing w:val="-11"/>
                <w:kern w:val="0"/>
                <w:szCs w:val="21"/>
                <w:lang w:val="en-US" w:eastAsia="zh-CN" w:bidi="ar"/>
              </w:rPr>
              <w:t>2</w:t>
            </w:r>
          </w:p>
        </w:tc>
        <w:tc>
          <w:tcPr>
            <w:tcW w:w="2721" w:type="dxa"/>
            <w:noWrap w:val="0"/>
            <w:vAlign w:val="top"/>
          </w:tcPr>
          <w:p w14:paraId="2982DD94">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cs="宋体"/>
                <w:spacing w:val="-11"/>
                <w:kern w:val="0"/>
                <w:szCs w:val="21"/>
                <w:lang w:eastAsia="zh-CN" w:bidi="ar"/>
              </w:rPr>
              <w:t>统计调查对象提供不真实或不完整的统计资料</w:t>
            </w:r>
          </w:p>
        </w:tc>
        <w:tc>
          <w:tcPr>
            <w:tcW w:w="2881" w:type="dxa"/>
            <w:noWrap w:val="0"/>
            <w:vAlign w:val="top"/>
          </w:tcPr>
          <w:p w14:paraId="045EC610">
            <w:pPr>
              <w:widowControl/>
              <w:spacing w:line="320" w:lineRule="exact"/>
              <w:textAlignment w:val="center"/>
              <w:rPr>
                <w:rFonts w:hint="default" w:ascii="宋体" w:hAnsi="宋体" w:eastAsia="宋体" w:cs="宋体"/>
                <w:spacing w:val="-11"/>
                <w:kern w:val="0"/>
                <w:szCs w:val="21"/>
                <w:lang w:val="en-US" w:eastAsia="zh-CN" w:bidi="ar"/>
              </w:rPr>
            </w:pPr>
            <w:r>
              <w:rPr>
                <w:rFonts w:hint="default" w:ascii="宋体" w:hAnsi="宋体" w:eastAsia="宋体" w:cs="宋体"/>
                <w:spacing w:val="-11"/>
                <w:kern w:val="0"/>
                <w:szCs w:val="21"/>
                <w:lang w:val="en-US" w:eastAsia="zh-CN" w:bidi="ar"/>
              </w:rPr>
              <w:t>违法数额占应报数额10%以下且</w:t>
            </w:r>
          </w:p>
          <w:p w14:paraId="44D748B1">
            <w:pPr>
              <w:widowControl/>
              <w:spacing w:line="320" w:lineRule="exact"/>
              <w:textAlignment w:val="center"/>
              <w:rPr>
                <w:rFonts w:hint="default" w:ascii="宋体" w:hAnsi="宋体" w:eastAsia="宋体" w:cs="宋体"/>
                <w:spacing w:val="-11"/>
                <w:kern w:val="0"/>
                <w:szCs w:val="21"/>
                <w:lang w:val="en-US" w:eastAsia="zh-CN" w:bidi="ar"/>
              </w:rPr>
            </w:pPr>
            <w:r>
              <w:rPr>
                <w:rFonts w:hint="default" w:ascii="宋体" w:hAnsi="宋体" w:eastAsia="宋体" w:cs="宋体"/>
                <w:spacing w:val="-11"/>
                <w:kern w:val="0"/>
                <w:szCs w:val="21"/>
                <w:lang w:val="en-US" w:eastAsia="zh-CN" w:bidi="ar"/>
              </w:rPr>
              <w:t>违法数额在5000万元以下并符合以下条件之一的：</w:t>
            </w:r>
          </w:p>
          <w:p w14:paraId="5D41AECD">
            <w:pPr>
              <w:widowControl/>
              <w:spacing w:line="320" w:lineRule="exact"/>
              <w:textAlignment w:val="center"/>
              <w:rPr>
                <w:rFonts w:hint="default" w:ascii="宋体" w:hAnsi="宋体" w:eastAsia="宋体" w:cs="宋体"/>
                <w:spacing w:val="-11"/>
                <w:kern w:val="0"/>
                <w:szCs w:val="21"/>
                <w:lang w:val="en-US" w:eastAsia="zh-CN" w:bidi="ar"/>
              </w:rPr>
            </w:pPr>
            <w:r>
              <w:rPr>
                <w:rFonts w:hint="default" w:ascii="宋体" w:hAnsi="宋体" w:eastAsia="宋体" w:cs="宋体"/>
                <w:spacing w:val="-11"/>
                <w:kern w:val="0"/>
                <w:szCs w:val="21"/>
                <w:lang w:val="en-US" w:eastAsia="zh-CN" w:bidi="ar"/>
              </w:rPr>
              <w:t>1.违法行为轻微并及时改正，没有造成危害后果的；</w:t>
            </w:r>
          </w:p>
          <w:p w14:paraId="1D11039A">
            <w:pPr>
              <w:widowControl/>
              <w:spacing w:line="320" w:lineRule="exact"/>
              <w:textAlignment w:val="center"/>
              <w:rPr>
                <w:rFonts w:hint="default" w:ascii="宋体" w:hAnsi="宋体" w:eastAsia="宋体" w:cs="宋体"/>
                <w:spacing w:val="-11"/>
                <w:kern w:val="0"/>
                <w:szCs w:val="21"/>
                <w:lang w:val="en-US" w:eastAsia="zh-CN" w:bidi="ar"/>
              </w:rPr>
            </w:pPr>
            <w:r>
              <w:rPr>
                <w:rFonts w:hint="default" w:ascii="宋体" w:hAnsi="宋体" w:eastAsia="宋体" w:cs="宋体"/>
                <w:spacing w:val="-11"/>
                <w:kern w:val="0"/>
                <w:szCs w:val="21"/>
                <w:lang w:val="en-US" w:eastAsia="zh-CN" w:bidi="ar"/>
              </w:rPr>
              <w:t>2.初次违法且危害后果轻微并及时改正的；</w:t>
            </w:r>
          </w:p>
          <w:p w14:paraId="2B662668">
            <w:pPr>
              <w:widowControl/>
              <w:spacing w:line="320" w:lineRule="exact"/>
              <w:textAlignment w:val="center"/>
              <w:rPr>
                <w:rFonts w:hint="default" w:ascii="宋体" w:hAnsi="宋体" w:eastAsia="宋体" w:cs="宋体"/>
                <w:spacing w:val="-11"/>
                <w:kern w:val="0"/>
                <w:szCs w:val="21"/>
                <w:lang w:val="en-US" w:eastAsia="zh-CN" w:bidi="ar"/>
              </w:rPr>
            </w:pPr>
            <w:r>
              <w:rPr>
                <w:rFonts w:hint="default" w:ascii="宋体" w:hAnsi="宋体" w:eastAsia="宋体" w:cs="宋体"/>
                <w:spacing w:val="-11"/>
                <w:kern w:val="0"/>
                <w:szCs w:val="21"/>
                <w:lang w:val="en-US" w:eastAsia="zh-CN" w:bidi="ar"/>
              </w:rPr>
              <w:t>3.当事人有证据足以证明没有主观过错的。</w:t>
            </w:r>
          </w:p>
        </w:tc>
        <w:tc>
          <w:tcPr>
            <w:tcW w:w="6975" w:type="dxa"/>
            <w:noWrap w:val="0"/>
            <w:vAlign w:val="top"/>
          </w:tcPr>
          <w:p w14:paraId="0C07A33D">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eastAsia="宋体" w:cs="宋体"/>
                <w:spacing w:val="-11"/>
                <w:kern w:val="0"/>
                <w:szCs w:val="21"/>
                <w:lang w:eastAsia="zh-CN" w:bidi="ar"/>
              </w:rPr>
              <w:t>《中华人民共和国行政处罚法》第三十三条：违法行为轻微并及时改正，没有造成危害后果的，不予行政处罚。初次违法且危害后果轻微并及时改正的，可以不予行政处罚。</w:t>
            </w:r>
          </w:p>
          <w:p w14:paraId="2DD15E92">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eastAsia="宋体" w:cs="宋体"/>
                <w:spacing w:val="-11"/>
                <w:kern w:val="0"/>
                <w:szCs w:val="21"/>
                <w:lang w:eastAsia="zh-CN" w:bidi="ar"/>
              </w:rPr>
              <w:t>当事人有证据足以证明没有主观过错的，不予行政处罚。法律、行政法规另有规定的，从其规定。</w:t>
            </w:r>
          </w:p>
          <w:p w14:paraId="734029AC">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eastAsia="宋体" w:cs="宋体"/>
                <w:spacing w:val="-11"/>
                <w:kern w:val="0"/>
                <w:szCs w:val="21"/>
                <w:lang w:eastAsia="zh-CN" w:bidi="ar"/>
              </w:rPr>
              <w:t>《江西省统计行政处罚自由裁量权适用规则》第六条：当事人有下列情形之一</w:t>
            </w:r>
          </w:p>
          <w:p w14:paraId="199D2141">
            <w:pPr>
              <w:widowControl/>
              <w:spacing w:line="320" w:lineRule="exact"/>
              <w:textAlignment w:val="center"/>
              <w:rPr>
                <w:rFonts w:hint="eastAsia" w:ascii="宋体" w:hAnsi="宋体" w:eastAsia="宋体" w:cs="宋体"/>
                <w:spacing w:val="-11"/>
                <w:kern w:val="0"/>
                <w:szCs w:val="21"/>
                <w:lang w:eastAsia="zh-CN" w:bidi="ar"/>
              </w:rPr>
            </w:pPr>
            <w:r>
              <w:rPr>
                <w:rFonts w:hint="eastAsia" w:ascii="宋体" w:hAnsi="宋体" w:eastAsia="宋体" w:cs="宋体"/>
                <w:spacing w:val="-11"/>
                <w:kern w:val="0"/>
                <w:szCs w:val="21"/>
                <w:lang w:eastAsia="zh-CN" w:bidi="ar"/>
              </w:rPr>
              <w:t>的，不予行政处罚：（一）违法行为轻微并及时纠正，没有造成危害后果的；（二）违法行为在二年内未被发现的，但法律另有规定的除外。</w:t>
            </w:r>
          </w:p>
        </w:tc>
      </w:tr>
    </w:tbl>
    <w:p w14:paraId="791C4075">
      <w:pPr>
        <w:widowControl/>
        <w:numPr>
          <w:ilvl w:val="0"/>
          <w:numId w:val="0"/>
        </w:numPr>
        <w:textAlignment w:val="center"/>
        <w:rPr>
          <w:rFonts w:hint="eastAsia" w:ascii="黑体" w:hAnsi="黑体" w:eastAsia="黑体" w:cs="黑体"/>
          <w:spacing w:val="-11"/>
          <w:kern w:val="0"/>
          <w:sz w:val="32"/>
          <w:szCs w:val="32"/>
          <w:highlight w:val="none"/>
          <w:lang w:bidi="ar"/>
        </w:rPr>
      </w:pPr>
    </w:p>
    <w:p w14:paraId="1435C036">
      <w:pPr>
        <w:widowControl/>
        <w:numPr>
          <w:ilvl w:val="0"/>
          <w:numId w:val="2"/>
        </w:numPr>
        <w:textAlignment w:val="center"/>
        <w:rPr>
          <w:rFonts w:hint="eastAsia" w:ascii="黑体" w:hAnsi="黑体" w:eastAsia="黑体" w:cs="黑体"/>
          <w:spacing w:val="-11"/>
          <w:kern w:val="0"/>
          <w:sz w:val="32"/>
          <w:szCs w:val="32"/>
          <w:highlight w:val="none"/>
          <w:lang w:eastAsia="zh-CN" w:bidi="ar"/>
        </w:rPr>
      </w:pPr>
      <w:r>
        <w:rPr>
          <w:rFonts w:hint="eastAsia" w:ascii="黑体" w:hAnsi="黑体" w:eastAsia="黑体" w:cs="黑体"/>
          <w:spacing w:val="-11"/>
          <w:kern w:val="0"/>
          <w:sz w:val="32"/>
          <w:szCs w:val="32"/>
          <w:highlight w:val="none"/>
          <w:lang w:eastAsia="zh-CN" w:bidi="ar"/>
        </w:rPr>
        <w:t>新余市金融监管领域轻微违法行为不予处罚清单</w:t>
      </w:r>
    </w:p>
    <w:tbl>
      <w:tblPr>
        <w:tblStyle w:val="9"/>
        <w:tblW w:w="14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
        <w:gridCol w:w="1242"/>
        <w:gridCol w:w="3960"/>
        <w:gridCol w:w="7888"/>
      </w:tblGrid>
      <w:tr w14:paraId="5AB5B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95" w:type="dxa"/>
            <w:noWrap w:val="0"/>
            <w:vAlign w:val="center"/>
          </w:tcPr>
          <w:p w14:paraId="6C1165BB">
            <w:pPr>
              <w:spacing w:line="320" w:lineRule="exact"/>
              <w:jc w:val="center"/>
              <w:rPr>
                <w:rFonts w:hint="eastAsia" w:ascii="宋体" w:hAnsi="宋体" w:eastAsia="宋体" w:cs="宋体"/>
                <w:b/>
                <w:w w:val="86"/>
                <w:sz w:val="21"/>
                <w:szCs w:val="21"/>
              </w:rPr>
            </w:pPr>
            <w:r>
              <w:rPr>
                <w:rFonts w:hint="eastAsia" w:ascii="宋体" w:hAnsi="宋体" w:eastAsia="宋体" w:cs="宋体"/>
                <w:b/>
                <w:w w:val="86"/>
                <w:sz w:val="21"/>
                <w:szCs w:val="21"/>
              </w:rPr>
              <w:t>序号</w:t>
            </w:r>
          </w:p>
        </w:tc>
        <w:tc>
          <w:tcPr>
            <w:tcW w:w="1242" w:type="dxa"/>
            <w:noWrap w:val="0"/>
            <w:vAlign w:val="center"/>
          </w:tcPr>
          <w:p w14:paraId="2CEDC1C9">
            <w:pPr>
              <w:spacing w:line="320" w:lineRule="exact"/>
              <w:jc w:val="center"/>
              <w:rPr>
                <w:rFonts w:hint="eastAsia" w:ascii="宋体" w:hAnsi="宋体" w:eastAsia="宋体" w:cs="宋体"/>
                <w:b/>
                <w:w w:val="86"/>
                <w:sz w:val="21"/>
                <w:szCs w:val="21"/>
              </w:rPr>
            </w:pPr>
            <w:r>
              <w:rPr>
                <w:rFonts w:hint="eastAsia" w:ascii="宋体" w:hAnsi="宋体" w:eastAsia="宋体" w:cs="宋体"/>
                <w:b/>
                <w:w w:val="86"/>
                <w:sz w:val="21"/>
                <w:szCs w:val="21"/>
              </w:rPr>
              <w:t>违法行为</w:t>
            </w:r>
          </w:p>
        </w:tc>
        <w:tc>
          <w:tcPr>
            <w:tcW w:w="3960" w:type="dxa"/>
            <w:noWrap w:val="0"/>
            <w:vAlign w:val="center"/>
          </w:tcPr>
          <w:p w14:paraId="3AF25E3C">
            <w:pPr>
              <w:spacing w:line="320" w:lineRule="exact"/>
              <w:jc w:val="center"/>
              <w:rPr>
                <w:rFonts w:hint="eastAsia" w:ascii="宋体" w:hAnsi="宋体" w:eastAsia="宋体" w:cs="宋体"/>
                <w:b/>
                <w:w w:val="86"/>
                <w:sz w:val="21"/>
                <w:szCs w:val="21"/>
              </w:rPr>
            </w:pPr>
            <w:r>
              <w:rPr>
                <w:rFonts w:hint="eastAsia" w:ascii="宋体" w:hAnsi="宋体" w:eastAsia="宋体" w:cs="宋体"/>
                <w:b/>
                <w:w w:val="86"/>
                <w:sz w:val="21"/>
                <w:szCs w:val="21"/>
              </w:rPr>
              <w:t>不予处罚条件</w:t>
            </w:r>
          </w:p>
        </w:tc>
        <w:tc>
          <w:tcPr>
            <w:tcW w:w="7888" w:type="dxa"/>
            <w:noWrap w:val="0"/>
            <w:vAlign w:val="center"/>
          </w:tcPr>
          <w:p w14:paraId="16009B42">
            <w:pPr>
              <w:spacing w:line="320" w:lineRule="exact"/>
              <w:jc w:val="center"/>
              <w:rPr>
                <w:rFonts w:hint="eastAsia" w:ascii="宋体" w:hAnsi="宋体" w:eastAsia="宋体" w:cs="宋体"/>
                <w:b/>
                <w:w w:val="86"/>
                <w:sz w:val="21"/>
                <w:szCs w:val="21"/>
              </w:rPr>
            </w:pPr>
            <w:r>
              <w:rPr>
                <w:rFonts w:hint="eastAsia" w:ascii="宋体" w:hAnsi="宋体" w:eastAsia="宋体" w:cs="宋体"/>
                <w:b/>
                <w:w w:val="86"/>
                <w:sz w:val="21"/>
                <w:szCs w:val="21"/>
              </w:rPr>
              <w:t>法律依据</w:t>
            </w:r>
          </w:p>
        </w:tc>
      </w:tr>
      <w:tr w14:paraId="5B7AA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995" w:type="dxa"/>
            <w:noWrap w:val="0"/>
            <w:vAlign w:val="center"/>
          </w:tcPr>
          <w:p w14:paraId="7337AC20">
            <w:pPr>
              <w:widowControl/>
              <w:spacing w:line="300" w:lineRule="exact"/>
              <w:jc w:val="left"/>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w:t>
            </w:r>
          </w:p>
        </w:tc>
        <w:tc>
          <w:tcPr>
            <w:tcW w:w="1242" w:type="dxa"/>
            <w:noWrap w:val="0"/>
            <w:vAlign w:val="center"/>
          </w:tcPr>
          <w:p w14:paraId="374CE7DD">
            <w:pPr>
              <w:widowControl/>
              <w:spacing w:line="300" w:lineRule="exact"/>
              <w:jc w:val="left"/>
              <w:textAlignment w:val="center"/>
              <w:rPr>
                <w:rFonts w:hint="eastAsia" w:ascii="宋体" w:hAnsi="宋体" w:eastAsia="宋体" w:cs="宋体"/>
                <w:color w:val="auto"/>
                <w:sz w:val="21"/>
                <w:szCs w:val="21"/>
                <w:lang w:bidi="ar"/>
              </w:rPr>
            </w:pPr>
            <w:r>
              <w:rPr>
                <w:rFonts w:hint="eastAsia" w:ascii="宋体" w:hAnsi="宋体" w:eastAsia="宋体" w:cs="宋体"/>
                <w:color w:val="auto"/>
                <w:sz w:val="21"/>
                <w:szCs w:val="21"/>
                <w:u w:val="none"/>
                <w:lang w:bidi="ar"/>
              </w:rPr>
              <w:t>对违反</w:t>
            </w:r>
            <w:r>
              <w:rPr>
                <w:rFonts w:hint="eastAsia" w:ascii="宋体" w:hAnsi="宋体" w:eastAsia="宋体" w:cs="宋体"/>
                <w:color w:val="auto"/>
                <w:sz w:val="21"/>
                <w:szCs w:val="21"/>
                <w:u w:val="none"/>
                <w:lang w:eastAsia="zh-CN" w:bidi="ar"/>
              </w:rPr>
              <w:t>地方金融监管</w:t>
            </w:r>
            <w:r>
              <w:rPr>
                <w:rFonts w:hint="eastAsia" w:ascii="宋体" w:hAnsi="宋体" w:eastAsia="宋体" w:cs="宋体"/>
                <w:color w:val="auto"/>
                <w:sz w:val="21"/>
                <w:szCs w:val="21"/>
                <w:u w:val="none"/>
                <w:lang w:bidi="ar"/>
              </w:rPr>
              <w:t>规定行为的处罚</w:t>
            </w:r>
          </w:p>
        </w:tc>
        <w:tc>
          <w:tcPr>
            <w:tcW w:w="3960" w:type="dxa"/>
            <w:noWrap w:val="0"/>
            <w:vAlign w:val="center"/>
          </w:tcPr>
          <w:p w14:paraId="0639F413">
            <w:pPr>
              <w:widowControl/>
              <w:spacing w:line="300" w:lineRule="exact"/>
              <w:jc w:val="left"/>
              <w:textAlignment w:val="center"/>
              <w:rPr>
                <w:rFonts w:hint="eastAsia" w:ascii="宋体" w:hAnsi="宋体" w:eastAsia="宋体" w:cs="宋体"/>
                <w:sz w:val="21"/>
                <w:szCs w:val="21"/>
              </w:rPr>
            </w:pPr>
            <w:r>
              <w:rPr>
                <w:rFonts w:hint="eastAsia" w:ascii="宋体" w:hAnsi="宋体" w:cs="宋体"/>
                <w:sz w:val="21"/>
                <w:szCs w:val="21"/>
                <w:lang w:eastAsia="zh-CN"/>
              </w:rPr>
              <w:t>（</w:t>
            </w:r>
            <w:r>
              <w:rPr>
                <w:rFonts w:hint="eastAsia" w:ascii="宋体" w:hAnsi="宋体" w:eastAsia="宋体" w:cs="宋体"/>
                <w:sz w:val="21"/>
                <w:szCs w:val="21"/>
              </w:rPr>
              <w:t>一</w:t>
            </w:r>
            <w:r>
              <w:rPr>
                <w:rFonts w:hint="eastAsia" w:ascii="宋体" w:hAnsi="宋体" w:cs="宋体"/>
                <w:sz w:val="21"/>
                <w:szCs w:val="21"/>
                <w:lang w:eastAsia="zh-CN"/>
              </w:rPr>
              <w:t>）</w:t>
            </w:r>
            <w:r>
              <w:rPr>
                <w:rFonts w:hint="eastAsia" w:ascii="宋体" w:hAnsi="宋体" w:eastAsia="宋体" w:cs="宋体"/>
                <w:sz w:val="21"/>
                <w:szCs w:val="21"/>
              </w:rPr>
              <w:t>法律规定不予处罚的主体</w:t>
            </w:r>
            <w:r>
              <w:rPr>
                <w:rFonts w:hint="eastAsia" w:ascii="宋体" w:hAnsi="宋体" w:cs="宋体"/>
                <w:sz w:val="21"/>
                <w:szCs w:val="21"/>
                <w:lang w:eastAsia="zh-CN"/>
              </w:rPr>
              <w:t>；</w:t>
            </w:r>
          </w:p>
          <w:p w14:paraId="1D7D7613">
            <w:pPr>
              <w:widowControl/>
              <w:spacing w:line="300" w:lineRule="exact"/>
              <w:jc w:val="left"/>
              <w:textAlignment w:val="center"/>
              <w:rPr>
                <w:rFonts w:hint="eastAsia" w:ascii="宋体" w:hAnsi="宋体" w:eastAsia="宋体" w:cs="宋体"/>
                <w:sz w:val="21"/>
                <w:szCs w:val="21"/>
              </w:rPr>
            </w:pPr>
            <w:r>
              <w:rPr>
                <w:rFonts w:hint="eastAsia" w:ascii="宋体" w:hAnsi="宋体" w:cs="宋体"/>
                <w:sz w:val="21"/>
                <w:szCs w:val="21"/>
                <w:lang w:eastAsia="zh-CN"/>
              </w:rPr>
              <w:t>（</w:t>
            </w:r>
            <w:r>
              <w:rPr>
                <w:rFonts w:hint="eastAsia" w:ascii="宋体" w:hAnsi="宋体" w:eastAsia="宋体" w:cs="宋体"/>
                <w:sz w:val="21"/>
                <w:szCs w:val="21"/>
              </w:rPr>
              <w:t>二</w:t>
            </w:r>
            <w:r>
              <w:rPr>
                <w:rFonts w:hint="eastAsia" w:ascii="宋体" w:hAnsi="宋体" w:cs="宋体"/>
                <w:sz w:val="21"/>
                <w:szCs w:val="21"/>
                <w:lang w:eastAsia="zh-CN"/>
              </w:rPr>
              <w:t>）</w:t>
            </w:r>
            <w:r>
              <w:rPr>
                <w:rFonts w:hint="eastAsia" w:ascii="宋体" w:hAnsi="宋体" w:eastAsia="宋体" w:cs="宋体"/>
                <w:sz w:val="21"/>
                <w:szCs w:val="21"/>
              </w:rPr>
              <w:t>违法事实不清、证据不足的</w:t>
            </w:r>
            <w:r>
              <w:rPr>
                <w:rFonts w:hint="eastAsia" w:ascii="宋体" w:hAnsi="宋体" w:cs="宋体"/>
                <w:sz w:val="21"/>
                <w:szCs w:val="21"/>
                <w:lang w:eastAsia="zh-CN"/>
              </w:rPr>
              <w:t>；</w:t>
            </w:r>
          </w:p>
          <w:p w14:paraId="2B0885D3">
            <w:pPr>
              <w:widowControl/>
              <w:spacing w:line="300" w:lineRule="exact"/>
              <w:jc w:val="left"/>
              <w:textAlignment w:val="center"/>
              <w:rPr>
                <w:rFonts w:hint="eastAsia" w:ascii="宋体" w:hAnsi="宋体" w:eastAsia="宋体" w:cs="宋体"/>
                <w:sz w:val="21"/>
                <w:szCs w:val="21"/>
              </w:rPr>
            </w:pPr>
            <w:r>
              <w:rPr>
                <w:rFonts w:hint="eastAsia" w:ascii="宋体" w:hAnsi="宋体" w:cs="宋体"/>
                <w:sz w:val="21"/>
                <w:szCs w:val="21"/>
                <w:lang w:eastAsia="zh-CN"/>
              </w:rPr>
              <w:t>（</w:t>
            </w:r>
            <w:r>
              <w:rPr>
                <w:rFonts w:hint="eastAsia" w:ascii="宋体" w:hAnsi="宋体" w:eastAsia="宋体" w:cs="宋体"/>
                <w:sz w:val="21"/>
                <w:szCs w:val="21"/>
              </w:rPr>
              <w:t>三</w:t>
            </w:r>
            <w:r>
              <w:rPr>
                <w:rFonts w:hint="eastAsia" w:ascii="宋体" w:hAnsi="宋体" w:cs="宋体"/>
                <w:sz w:val="21"/>
                <w:szCs w:val="21"/>
                <w:lang w:eastAsia="zh-CN"/>
              </w:rPr>
              <w:t>）</w:t>
            </w:r>
            <w:r>
              <w:rPr>
                <w:rFonts w:hint="eastAsia" w:ascii="宋体" w:hAnsi="宋体" w:eastAsia="宋体" w:cs="宋体"/>
                <w:sz w:val="21"/>
                <w:szCs w:val="21"/>
              </w:rPr>
              <w:t>违法行为轻微并及时纠正</w:t>
            </w:r>
            <w:r>
              <w:rPr>
                <w:rFonts w:hint="eastAsia" w:ascii="宋体" w:hAnsi="宋体" w:cs="宋体"/>
                <w:sz w:val="21"/>
                <w:szCs w:val="21"/>
                <w:lang w:eastAsia="zh-CN"/>
              </w:rPr>
              <w:t>，</w:t>
            </w:r>
            <w:r>
              <w:rPr>
                <w:rFonts w:hint="eastAsia" w:ascii="宋体" w:hAnsi="宋体" w:eastAsia="宋体" w:cs="宋体"/>
                <w:sz w:val="21"/>
                <w:szCs w:val="21"/>
              </w:rPr>
              <w:t>没有造成危害后果的</w:t>
            </w:r>
            <w:r>
              <w:rPr>
                <w:rFonts w:hint="eastAsia" w:ascii="宋体" w:hAnsi="宋体" w:cs="宋体"/>
                <w:sz w:val="21"/>
                <w:szCs w:val="21"/>
                <w:lang w:eastAsia="zh-CN"/>
              </w:rPr>
              <w:t>；</w:t>
            </w:r>
          </w:p>
          <w:p w14:paraId="3CBD1799">
            <w:pPr>
              <w:widowControl/>
              <w:spacing w:line="300" w:lineRule="exact"/>
              <w:jc w:val="left"/>
              <w:textAlignment w:val="center"/>
              <w:rPr>
                <w:rFonts w:hint="eastAsia" w:ascii="宋体" w:hAnsi="宋体" w:eastAsia="宋体" w:cs="宋体"/>
                <w:sz w:val="21"/>
                <w:szCs w:val="21"/>
              </w:rPr>
            </w:pPr>
            <w:r>
              <w:rPr>
                <w:rFonts w:hint="eastAsia" w:ascii="宋体" w:hAnsi="宋体" w:cs="宋体"/>
                <w:sz w:val="21"/>
                <w:szCs w:val="21"/>
                <w:lang w:eastAsia="zh-CN"/>
              </w:rPr>
              <w:t>（</w:t>
            </w:r>
            <w:r>
              <w:rPr>
                <w:rFonts w:hint="eastAsia" w:ascii="宋体" w:hAnsi="宋体" w:eastAsia="宋体" w:cs="宋体"/>
                <w:sz w:val="21"/>
                <w:szCs w:val="21"/>
              </w:rPr>
              <w:t>四</w:t>
            </w:r>
            <w:r>
              <w:rPr>
                <w:rFonts w:hint="eastAsia" w:ascii="宋体" w:hAnsi="宋体" w:cs="宋体"/>
                <w:sz w:val="21"/>
                <w:szCs w:val="21"/>
                <w:lang w:eastAsia="zh-CN"/>
              </w:rPr>
              <w:t>）</w:t>
            </w:r>
            <w:r>
              <w:rPr>
                <w:rFonts w:hint="eastAsia" w:ascii="宋体" w:hAnsi="宋体" w:eastAsia="宋体" w:cs="宋体"/>
                <w:sz w:val="21"/>
                <w:szCs w:val="21"/>
              </w:rPr>
              <w:t>违法行为在二年内未被发现或者违法行为涉及金融安全且有危害后果</w:t>
            </w:r>
          </w:p>
          <w:p w14:paraId="251B097E">
            <w:pPr>
              <w:widowControl/>
              <w:spacing w:line="300" w:lineRule="exact"/>
              <w:jc w:val="left"/>
              <w:textAlignment w:val="center"/>
              <w:rPr>
                <w:rFonts w:hint="eastAsia" w:ascii="宋体" w:hAnsi="宋体" w:eastAsia="宋体" w:cs="宋体"/>
                <w:sz w:val="21"/>
                <w:szCs w:val="21"/>
              </w:rPr>
            </w:pPr>
            <w:r>
              <w:rPr>
                <w:rFonts w:hint="eastAsia" w:ascii="宋体" w:hAnsi="宋体" w:eastAsia="宋体" w:cs="宋体"/>
                <w:sz w:val="21"/>
                <w:szCs w:val="21"/>
              </w:rPr>
              <w:t>的</w:t>
            </w:r>
            <w:r>
              <w:rPr>
                <w:rFonts w:hint="eastAsia" w:ascii="宋体" w:hAnsi="宋体" w:cs="宋体"/>
                <w:sz w:val="21"/>
                <w:szCs w:val="21"/>
                <w:lang w:eastAsia="zh-CN"/>
              </w:rPr>
              <w:t>，</w:t>
            </w:r>
            <w:r>
              <w:rPr>
                <w:rFonts w:hint="eastAsia" w:ascii="宋体" w:hAnsi="宋体" w:eastAsia="宋体" w:cs="宋体"/>
                <w:sz w:val="21"/>
                <w:szCs w:val="21"/>
              </w:rPr>
              <w:t>在五年内未被发现的</w:t>
            </w:r>
            <w:r>
              <w:rPr>
                <w:rFonts w:hint="eastAsia" w:ascii="宋体" w:hAnsi="宋体" w:cs="宋体"/>
                <w:sz w:val="21"/>
                <w:szCs w:val="21"/>
                <w:lang w:eastAsia="zh-CN"/>
              </w:rPr>
              <w:t>，</w:t>
            </w:r>
            <w:r>
              <w:rPr>
                <w:rFonts w:hint="eastAsia" w:ascii="宋体" w:hAnsi="宋体" w:eastAsia="宋体" w:cs="宋体"/>
                <w:sz w:val="21"/>
                <w:szCs w:val="21"/>
              </w:rPr>
              <w:t>但法律另有规定的除外</w:t>
            </w:r>
            <w:r>
              <w:rPr>
                <w:rFonts w:hint="eastAsia" w:ascii="宋体" w:hAnsi="宋体" w:cs="宋体"/>
                <w:sz w:val="21"/>
                <w:szCs w:val="21"/>
                <w:lang w:eastAsia="zh-CN"/>
              </w:rPr>
              <w:t>；</w:t>
            </w:r>
          </w:p>
          <w:p w14:paraId="66BD2EBE">
            <w:pPr>
              <w:widowControl/>
              <w:spacing w:line="300" w:lineRule="exact"/>
              <w:jc w:val="left"/>
              <w:textAlignment w:val="center"/>
              <w:rPr>
                <w:rFonts w:hint="eastAsia" w:ascii="宋体" w:hAnsi="宋体" w:eastAsia="宋体" w:cs="宋体"/>
                <w:sz w:val="21"/>
                <w:szCs w:val="21"/>
              </w:rPr>
            </w:pPr>
            <w:r>
              <w:rPr>
                <w:rFonts w:hint="eastAsia" w:ascii="宋体" w:hAnsi="宋体" w:cs="宋体"/>
                <w:sz w:val="21"/>
                <w:szCs w:val="21"/>
                <w:lang w:eastAsia="zh-CN"/>
              </w:rPr>
              <w:t>（</w:t>
            </w:r>
            <w:r>
              <w:rPr>
                <w:rFonts w:hint="eastAsia" w:ascii="宋体" w:hAnsi="宋体" w:eastAsia="宋体" w:cs="宋体"/>
                <w:sz w:val="21"/>
                <w:szCs w:val="21"/>
              </w:rPr>
              <w:t>五</w:t>
            </w:r>
            <w:r>
              <w:rPr>
                <w:rFonts w:hint="eastAsia" w:ascii="宋体" w:hAnsi="宋体" w:cs="宋体"/>
                <w:sz w:val="21"/>
                <w:szCs w:val="21"/>
                <w:lang w:eastAsia="zh-CN"/>
              </w:rPr>
              <w:t>）</w:t>
            </w:r>
            <w:r>
              <w:rPr>
                <w:rFonts w:hint="eastAsia" w:ascii="宋体" w:hAnsi="宋体" w:eastAsia="宋体" w:cs="宋体"/>
                <w:sz w:val="21"/>
                <w:szCs w:val="21"/>
              </w:rPr>
              <w:t>当事人有证据足以证明没有主观过错的</w:t>
            </w:r>
            <w:r>
              <w:rPr>
                <w:rFonts w:hint="eastAsia" w:ascii="宋体" w:hAnsi="宋体" w:cs="宋体"/>
                <w:sz w:val="21"/>
                <w:szCs w:val="21"/>
                <w:lang w:eastAsia="zh-CN"/>
              </w:rPr>
              <w:t>，</w:t>
            </w:r>
            <w:r>
              <w:rPr>
                <w:rFonts w:hint="eastAsia" w:ascii="宋体" w:hAnsi="宋体" w:eastAsia="宋体" w:cs="宋体"/>
                <w:sz w:val="21"/>
                <w:szCs w:val="21"/>
              </w:rPr>
              <w:t>但法律、行政法规另有规定</w:t>
            </w:r>
          </w:p>
          <w:p w14:paraId="05EC68BC">
            <w:pPr>
              <w:widowControl/>
              <w:spacing w:line="300" w:lineRule="exact"/>
              <w:jc w:val="left"/>
              <w:textAlignment w:val="center"/>
              <w:rPr>
                <w:rFonts w:hint="eastAsia" w:ascii="宋体" w:hAnsi="宋体" w:eastAsia="宋体" w:cs="宋体"/>
                <w:sz w:val="21"/>
                <w:szCs w:val="21"/>
              </w:rPr>
            </w:pPr>
            <w:r>
              <w:rPr>
                <w:rFonts w:hint="eastAsia" w:ascii="宋体" w:hAnsi="宋体" w:eastAsia="宋体" w:cs="宋体"/>
                <w:sz w:val="21"/>
                <w:szCs w:val="21"/>
              </w:rPr>
              <w:t>的除外</w:t>
            </w:r>
            <w:r>
              <w:rPr>
                <w:rFonts w:hint="eastAsia" w:ascii="宋体" w:hAnsi="宋体" w:cs="宋体"/>
                <w:sz w:val="21"/>
                <w:szCs w:val="21"/>
                <w:lang w:eastAsia="zh-CN"/>
              </w:rPr>
              <w:t>；</w:t>
            </w:r>
          </w:p>
          <w:p w14:paraId="1ECAA57A">
            <w:pPr>
              <w:widowControl/>
              <w:spacing w:line="300" w:lineRule="exact"/>
              <w:jc w:val="left"/>
              <w:textAlignment w:val="center"/>
              <w:rPr>
                <w:rFonts w:hint="eastAsia" w:ascii="宋体" w:hAnsi="宋体" w:eastAsia="宋体" w:cs="宋体"/>
                <w:sz w:val="21"/>
                <w:szCs w:val="21"/>
              </w:rPr>
            </w:pPr>
            <w:r>
              <w:rPr>
                <w:rFonts w:hint="eastAsia" w:ascii="宋体" w:hAnsi="宋体" w:cs="宋体"/>
                <w:sz w:val="21"/>
                <w:szCs w:val="21"/>
                <w:lang w:eastAsia="zh-CN"/>
              </w:rPr>
              <w:t>（</w:t>
            </w:r>
            <w:r>
              <w:rPr>
                <w:rFonts w:hint="eastAsia" w:ascii="宋体" w:hAnsi="宋体" w:eastAsia="宋体" w:cs="宋体"/>
                <w:sz w:val="21"/>
                <w:szCs w:val="21"/>
              </w:rPr>
              <w:t>六</w:t>
            </w:r>
            <w:r>
              <w:rPr>
                <w:rFonts w:hint="eastAsia" w:ascii="宋体" w:hAnsi="宋体" w:cs="宋体"/>
                <w:sz w:val="21"/>
                <w:szCs w:val="21"/>
                <w:lang w:eastAsia="zh-CN"/>
              </w:rPr>
              <w:t>）</w:t>
            </w:r>
            <w:r>
              <w:rPr>
                <w:rFonts w:hint="eastAsia" w:ascii="宋体" w:hAnsi="宋体" w:eastAsia="宋体" w:cs="宋体"/>
                <w:sz w:val="21"/>
                <w:szCs w:val="21"/>
              </w:rPr>
              <w:t>其他依法不予行政处罚的。</w:t>
            </w:r>
          </w:p>
        </w:tc>
        <w:tc>
          <w:tcPr>
            <w:tcW w:w="7888" w:type="dxa"/>
            <w:noWrap w:val="0"/>
            <w:vAlign w:val="center"/>
          </w:tcPr>
          <w:p w14:paraId="69870165">
            <w:pPr>
              <w:widowControl/>
              <w:spacing w:line="300" w:lineRule="exact"/>
              <w:jc w:val="left"/>
              <w:textAlignment w:val="center"/>
              <w:rPr>
                <w:rFonts w:hint="eastAsia" w:ascii="宋体" w:hAnsi="宋体" w:eastAsia="宋体" w:cs="宋体"/>
                <w:color w:val="auto"/>
                <w:sz w:val="21"/>
                <w:szCs w:val="21"/>
                <w:lang w:bidi="ar"/>
              </w:rPr>
            </w:pPr>
            <w:r>
              <w:rPr>
                <w:rFonts w:hint="eastAsia" w:ascii="宋体" w:hAnsi="宋体" w:eastAsia="宋体" w:cs="宋体"/>
                <w:color w:val="auto"/>
                <w:sz w:val="21"/>
                <w:szCs w:val="21"/>
                <w:u w:val="none"/>
                <w:lang w:bidi="ar"/>
              </w:rPr>
              <w:t>江西省地方金融监管行政处罚裁量权适用规则</w:t>
            </w:r>
          </w:p>
        </w:tc>
      </w:tr>
    </w:tbl>
    <w:p w14:paraId="6DD7996F">
      <w:pPr>
        <w:widowControl/>
        <w:numPr>
          <w:ilvl w:val="0"/>
          <w:numId w:val="0"/>
        </w:numPr>
        <w:textAlignment w:val="center"/>
        <w:rPr>
          <w:rFonts w:hint="eastAsia" w:ascii="黑体" w:hAnsi="黑体" w:eastAsia="黑体" w:cs="黑体"/>
          <w:spacing w:val="-11"/>
          <w:kern w:val="0"/>
          <w:sz w:val="32"/>
          <w:szCs w:val="32"/>
          <w:highlight w:val="none"/>
          <w:lang w:bidi="ar"/>
        </w:rPr>
      </w:pPr>
    </w:p>
    <w:p w14:paraId="1C37A484">
      <w:pPr>
        <w:widowControl/>
        <w:numPr>
          <w:ilvl w:val="0"/>
          <w:numId w:val="2"/>
        </w:numPr>
        <w:textAlignment w:val="center"/>
        <w:rPr>
          <w:rFonts w:hint="eastAsia" w:ascii="黑体" w:hAnsi="黑体" w:eastAsia="黑体" w:cs="黑体"/>
          <w:spacing w:val="-11"/>
          <w:kern w:val="0"/>
          <w:sz w:val="32"/>
          <w:szCs w:val="32"/>
          <w:highlight w:val="none"/>
          <w:lang w:bidi="ar"/>
        </w:rPr>
      </w:pPr>
      <w:r>
        <w:rPr>
          <w:rFonts w:hint="eastAsia" w:ascii="黑体" w:hAnsi="黑体" w:eastAsia="黑体" w:cs="黑体"/>
          <w:spacing w:val="-11"/>
          <w:kern w:val="0"/>
          <w:sz w:val="32"/>
          <w:szCs w:val="32"/>
          <w:highlight w:val="none"/>
          <w:lang w:bidi="ar"/>
        </w:rPr>
        <w:t>新余市</w:t>
      </w:r>
      <w:r>
        <w:rPr>
          <w:rFonts w:hint="eastAsia" w:ascii="黑体" w:hAnsi="黑体" w:eastAsia="黑体" w:cs="黑体"/>
          <w:spacing w:val="-11"/>
          <w:kern w:val="0"/>
          <w:sz w:val="32"/>
          <w:szCs w:val="32"/>
          <w:highlight w:val="none"/>
          <w:lang w:eastAsia="zh-CN" w:bidi="ar"/>
        </w:rPr>
        <w:t>教育</w:t>
      </w:r>
      <w:r>
        <w:rPr>
          <w:rFonts w:hint="eastAsia" w:ascii="黑体" w:hAnsi="黑体" w:eastAsia="黑体" w:cs="黑体"/>
          <w:spacing w:val="-11"/>
          <w:kern w:val="0"/>
          <w:sz w:val="32"/>
          <w:szCs w:val="32"/>
          <w:highlight w:val="none"/>
          <w:lang w:bidi="ar"/>
        </w:rPr>
        <w:t>领域轻微违法行为不予处罚清单</w:t>
      </w:r>
    </w:p>
    <w:tbl>
      <w:tblPr>
        <w:tblStyle w:val="9"/>
        <w:tblW w:w="14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0"/>
        <w:gridCol w:w="1995"/>
        <w:gridCol w:w="3207"/>
        <w:gridCol w:w="7888"/>
      </w:tblGrid>
      <w:tr w14:paraId="384D3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80" w:type="dxa"/>
            <w:noWrap w:val="0"/>
            <w:vAlign w:val="center"/>
          </w:tcPr>
          <w:p w14:paraId="7C518132">
            <w:pPr>
              <w:spacing w:line="320" w:lineRule="exact"/>
              <w:jc w:val="center"/>
              <w:rPr>
                <w:rFonts w:hint="eastAsia" w:ascii="宋体" w:hAnsi="宋体" w:eastAsia="宋体" w:cs="宋体"/>
                <w:b/>
                <w:w w:val="86"/>
                <w:sz w:val="21"/>
                <w:szCs w:val="21"/>
              </w:rPr>
            </w:pPr>
            <w:r>
              <w:rPr>
                <w:rFonts w:hint="eastAsia" w:ascii="宋体" w:hAnsi="宋体" w:eastAsia="宋体" w:cs="宋体"/>
                <w:b/>
                <w:w w:val="86"/>
                <w:sz w:val="21"/>
                <w:szCs w:val="21"/>
              </w:rPr>
              <w:t>序号</w:t>
            </w:r>
          </w:p>
        </w:tc>
        <w:tc>
          <w:tcPr>
            <w:tcW w:w="1995" w:type="dxa"/>
            <w:noWrap w:val="0"/>
            <w:vAlign w:val="center"/>
          </w:tcPr>
          <w:p w14:paraId="366C353A">
            <w:pPr>
              <w:spacing w:line="320" w:lineRule="exact"/>
              <w:jc w:val="center"/>
              <w:rPr>
                <w:rFonts w:hint="eastAsia" w:ascii="宋体" w:hAnsi="宋体" w:eastAsia="宋体" w:cs="宋体"/>
                <w:b/>
                <w:w w:val="86"/>
                <w:sz w:val="21"/>
                <w:szCs w:val="21"/>
              </w:rPr>
            </w:pPr>
            <w:r>
              <w:rPr>
                <w:rFonts w:hint="eastAsia" w:ascii="宋体" w:hAnsi="宋体" w:eastAsia="宋体" w:cs="宋体"/>
                <w:b/>
                <w:w w:val="86"/>
                <w:sz w:val="21"/>
                <w:szCs w:val="21"/>
              </w:rPr>
              <w:t>违法行为</w:t>
            </w:r>
          </w:p>
        </w:tc>
        <w:tc>
          <w:tcPr>
            <w:tcW w:w="3207" w:type="dxa"/>
            <w:noWrap w:val="0"/>
            <w:vAlign w:val="center"/>
          </w:tcPr>
          <w:p w14:paraId="1093F834">
            <w:pPr>
              <w:spacing w:line="320" w:lineRule="exact"/>
              <w:jc w:val="center"/>
              <w:rPr>
                <w:rFonts w:hint="eastAsia" w:ascii="宋体" w:hAnsi="宋体" w:eastAsia="宋体" w:cs="宋体"/>
                <w:b/>
                <w:w w:val="86"/>
                <w:sz w:val="21"/>
                <w:szCs w:val="21"/>
              </w:rPr>
            </w:pPr>
            <w:r>
              <w:rPr>
                <w:rFonts w:hint="eastAsia" w:ascii="宋体" w:hAnsi="宋体" w:eastAsia="宋体" w:cs="宋体"/>
                <w:b/>
                <w:w w:val="86"/>
                <w:sz w:val="21"/>
                <w:szCs w:val="21"/>
              </w:rPr>
              <w:t>不予处罚条件</w:t>
            </w:r>
          </w:p>
        </w:tc>
        <w:tc>
          <w:tcPr>
            <w:tcW w:w="7888" w:type="dxa"/>
            <w:noWrap w:val="0"/>
            <w:vAlign w:val="center"/>
          </w:tcPr>
          <w:p w14:paraId="4A69097D">
            <w:pPr>
              <w:spacing w:line="320" w:lineRule="exact"/>
              <w:jc w:val="center"/>
              <w:rPr>
                <w:rFonts w:hint="eastAsia" w:ascii="宋体" w:hAnsi="宋体" w:eastAsia="宋体" w:cs="宋体"/>
                <w:b/>
                <w:w w:val="86"/>
                <w:sz w:val="21"/>
                <w:szCs w:val="21"/>
              </w:rPr>
            </w:pPr>
            <w:r>
              <w:rPr>
                <w:rFonts w:hint="eastAsia" w:ascii="宋体" w:hAnsi="宋体" w:eastAsia="宋体" w:cs="宋体"/>
                <w:b/>
                <w:w w:val="86"/>
                <w:sz w:val="21"/>
                <w:szCs w:val="21"/>
              </w:rPr>
              <w:t>法律依据</w:t>
            </w:r>
          </w:p>
        </w:tc>
      </w:tr>
      <w:tr w14:paraId="3BEF7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980" w:type="dxa"/>
            <w:noWrap w:val="0"/>
            <w:vAlign w:val="center"/>
          </w:tcPr>
          <w:p w14:paraId="49BB9FE4">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1</w:t>
            </w:r>
          </w:p>
        </w:tc>
        <w:tc>
          <w:tcPr>
            <w:tcW w:w="1995" w:type="dxa"/>
            <w:noWrap w:val="0"/>
            <w:vAlign w:val="center"/>
          </w:tcPr>
          <w:p w14:paraId="3409A52F">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违反国家有关规定举办学校或其他教育机构</w:t>
            </w:r>
          </w:p>
        </w:tc>
        <w:tc>
          <w:tcPr>
            <w:tcW w:w="3207" w:type="dxa"/>
            <w:noWrap w:val="0"/>
            <w:vAlign w:val="center"/>
          </w:tcPr>
          <w:p w14:paraId="24C1FF45">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初次违法且立案前改正，未造成重大后果也无违法所得。</w:t>
            </w:r>
          </w:p>
          <w:p w14:paraId="3FEF184D">
            <w:pPr>
              <w:widowControl/>
              <w:spacing w:line="300" w:lineRule="exact"/>
              <w:jc w:val="both"/>
              <w:textAlignment w:val="center"/>
              <w:rPr>
                <w:rFonts w:hint="eastAsia" w:ascii="宋体" w:hAnsi="宋体" w:eastAsia="宋体" w:cs="宋体"/>
                <w:sz w:val="21"/>
                <w:szCs w:val="21"/>
              </w:rPr>
            </w:pPr>
          </w:p>
        </w:tc>
        <w:tc>
          <w:tcPr>
            <w:tcW w:w="7888" w:type="dxa"/>
            <w:noWrap w:val="0"/>
            <w:vAlign w:val="center"/>
          </w:tcPr>
          <w:p w14:paraId="6FF9A940">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中华人民共和国教育法》第七十五条：违反国家有关规定，举办学校或者其他教育机构的，由教育行政部门或者其他有关行政部门予以撤销；有违法所得的，没收违法所得；对直接负责的主管人员和其他直接责任人员，依法给予处分。</w:t>
            </w:r>
          </w:p>
          <w:p w14:paraId="7E3B5BF2">
            <w:pPr>
              <w:widowControl/>
              <w:spacing w:line="300" w:lineRule="exact"/>
              <w:jc w:val="both"/>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华人民共和国民办教育促进法》第六十四条：违反国家有关规定擅自举办民办学校的，由所在地县级以上地方人民政府教育行政部门或者人力资源社会保障行政部门会同同级公安、民政或者工商行政管理等有关部门责令停止办学、退还所收费用，并对举办者处违法所得一倍以上五倍以下罚款；构成违反治安管理行为的，由公安机关依法给予治安管理处罚；构成犯罪的，依法追究刑事责任。</w:t>
            </w:r>
          </w:p>
          <w:p w14:paraId="53D2CD30">
            <w:pPr>
              <w:widowControl/>
              <w:spacing w:line="300" w:lineRule="exact"/>
              <w:jc w:val="both"/>
              <w:textAlignment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《中华人民共和国行政处罚法》</w:t>
            </w:r>
            <w:r>
              <w:rPr>
                <w:rFonts w:hint="eastAsia" w:ascii="宋体" w:hAnsi="宋体" w:eastAsia="宋体" w:cs="宋体"/>
                <w:sz w:val="21"/>
                <w:szCs w:val="21"/>
                <w:lang w:val="en-US" w:eastAsia="zh-CN"/>
              </w:rPr>
              <w:t>第三十三条第一款：违法行为轻微并及时改正，没有造成危害后果的，不予行政处罚。初次违法且危害后果轻微并及时改正的，可以不予行政处罚。</w:t>
            </w:r>
          </w:p>
          <w:p w14:paraId="76DD329D">
            <w:pPr>
              <w:widowControl/>
              <w:spacing w:line="300" w:lineRule="exact"/>
              <w:jc w:val="both"/>
              <w:textAlignment w:val="center"/>
              <w:rPr>
                <w:rFonts w:hint="eastAsia" w:ascii="宋体" w:hAnsi="宋体" w:eastAsia="宋体" w:cs="宋体"/>
                <w:sz w:val="21"/>
                <w:szCs w:val="21"/>
              </w:rPr>
            </w:pPr>
          </w:p>
        </w:tc>
      </w:tr>
      <w:tr w14:paraId="23DB0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980" w:type="dxa"/>
            <w:noWrap w:val="0"/>
            <w:vAlign w:val="center"/>
          </w:tcPr>
          <w:p w14:paraId="7C630271">
            <w:pPr>
              <w:widowControl/>
              <w:spacing w:line="300" w:lineRule="exact"/>
              <w:jc w:val="both"/>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995" w:type="dxa"/>
            <w:noWrap w:val="0"/>
            <w:vAlign w:val="center"/>
          </w:tcPr>
          <w:p w14:paraId="772BF0F2">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民办学校举办者及实际控制人、决策</w:t>
            </w:r>
          </w:p>
          <w:p w14:paraId="349A3502">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机构或者监督机构组成人员出租、出</w:t>
            </w:r>
          </w:p>
          <w:p w14:paraId="7B17D1BD">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借办学许可证</w:t>
            </w:r>
          </w:p>
        </w:tc>
        <w:tc>
          <w:tcPr>
            <w:tcW w:w="3207" w:type="dxa"/>
            <w:noWrap w:val="0"/>
            <w:vAlign w:val="center"/>
          </w:tcPr>
          <w:p w14:paraId="21692A18">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初次违法且立案前改正，未造成重大后果也无违法所得。</w:t>
            </w:r>
          </w:p>
        </w:tc>
        <w:tc>
          <w:tcPr>
            <w:tcW w:w="7888" w:type="dxa"/>
            <w:noWrap w:val="0"/>
            <w:vAlign w:val="center"/>
          </w:tcPr>
          <w:p w14:paraId="1E006DDC">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中华人民共和国民办教育促进法》第六十二条：民办学校有下列行为之一的，由县级以上人民政府教育行政部门、人力资源社会保障行政部门或其他有关部门责令限期改正，并予以警告；有违法所得的，退还所收费用后没收违法所得；情节严重的，责令停止招生、吊销办学许可证；构成犯罪的，依法追究刑事责任：（七）伪造、变造、买卖、出租、出借办学许可证的；</w:t>
            </w:r>
          </w:p>
          <w:p w14:paraId="6517E3FB">
            <w:pPr>
              <w:widowControl/>
              <w:spacing w:line="300" w:lineRule="exact"/>
              <w:jc w:val="both"/>
              <w:textAlignment w:val="center"/>
              <w:rPr>
                <w:rFonts w:hint="eastAsia" w:ascii="宋体" w:hAnsi="宋体" w:eastAsia="宋体" w:cs="宋体"/>
                <w:sz w:val="21"/>
                <w:szCs w:val="21"/>
              </w:rPr>
            </w:pPr>
            <w:r>
              <w:rPr>
                <w:rFonts w:hint="eastAsia" w:ascii="宋体" w:hAnsi="宋体" w:cs="宋体"/>
                <w:sz w:val="21"/>
                <w:szCs w:val="21"/>
                <w:lang w:val="en-US" w:eastAsia="zh-CN"/>
              </w:rPr>
              <w:t>《中华人民共和国行政处罚法》</w:t>
            </w:r>
            <w:r>
              <w:rPr>
                <w:rFonts w:hint="eastAsia" w:ascii="宋体" w:hAnsi="宋体" w:eastAsia="宋体" w:cs="宋体"/>
                <w:sz w:val="21"/>
                <w:szCs w:val="21"/>
                <w:lang w:val="en-US" w:eastAsia="zh-CN"/>
              </w:rPr>
              <w:t>第三十三条第一款：违法行为轻微并及时改正，没有造成危害后果的，不予行政处罚。初次违法且危害后果轻微并及时改正的，可以不予行政处罚。</w:t>
            </w:r>
          </w:p>
        </w:tc>
      </w:tr>
      <w:tr w14:paraId="0CA65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980" w:type="dxa"/>
            <w:noWrap w:val="0"/>
            <w:vAlign w:val="center"/>
          </w:tcPr>
          <w:p w14:paraId="25AFD754">
            <w:pPr>
              <w:widowControl/>
              <w:spacing w:line="300" w:lineRule="exact"/>
              <w:jc w:val="both"/>
              <w:textAlignment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995" w:type="dxa"/>
            <w:noWrap w:val="0"/>
            <w:vAlign w:val="center"/>
          </w:tcPr>
          <w:p w14:paraId="4E759F14">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民办学校举办者及实际控制人、决策机构或者监督机构组成人员擅自变更学校名称、层次、类型和举办者</w:t>
            </w:r>
          </w:p>
        </w:tc>
        <w:tc>
          <w:tcPr>
            <w:tcW w:w="3207" w:type="dxa"/>
            <w:noWrap w:val="0"/>
            <w:vAlign w:val="center"/>
          </w:tcPr>
          <w:p w14:paraId="10053B7C">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初次违法且立案前改正，未造成重大后果也无违法所得。</w:t>
            </w:r>
          </w:p>
        </w:tc>
        <w:tc>
          <w:tcPr>
            <w:tcW w:w="7888" w:type="dxa"/>
            <w:noWrap w:val="0"/>
            <w:vAlign w:val="center"/>
          </w:tcPr>
          <w:p w14:paraId="0482ECB6">
            <w:pPr>
              <w:widowControl/>
              <w:spacing w:line="300" w:lineRule="exact"/>
              <w:jc w:val="both"/>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华人民共和国民办教育促进法实施条例》第六十二条：民办学校举办者及实际控制人、决策机构或者监督机构组成人员有下列情形之一的，由县级以上人民政府教育行政部门、人力资源社会保障行政部门或者其他有关部门依据职责分工</w:t>
            </w:r>
          </w:p>
          <w:p w14:paraId="419EA65F">
            <w:pPr>
              <w:widowControl/>
              <w:spacing w:line="300" w:lineRule="exact"/>
              <w:jc w:val="both"/>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责令限期改正，有违法所得的，退还所收费用后没收违法所得；情节严重的，1至5年内不得新成为民办学校举办者或实际控制人、决策机构或者监督机构组成人员；情节特别严重、社会影响恶劣的，永久不得新成为民办学校举办者或实际</w:t>
            </w:r>
          </w:p>
          <w:p w14:paraId="01FEED30">
            <w:pPr>
              <w:widowControl/>
              <w:spacing w:line="300" w:lineRule="exact"/>
              <w:jc w:val="both"/>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控制人、决策机构或者监督机构组成人员；构成违反治安管理行为的，由公安机关依法给予治安管理处罚；构成犯罪的，依法追究刑事责任：</w:t>
            </w:r>
          </w:p>
          <w:p w14:paraId="7F5C8873">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lang w:val="en-US" w:eastAsia="zh-CN"/>
              </w:rPr>
              <w:t>擅自变更学校名称、层次、类型和举办者的；</w:t>
            </w:r>
          </w:p>
          <w:p w14:paraId="06D47A20">
            <w:pPr>
              <w:widowControl/>
              <w:spacing w:line="300" w:lineRule="exact"/>
              <w:jc w:val="both"/>
              <w:textAlignment w:val="center"/>
              <w:rPr>
                <w:rFonts w:hint="eastAsia" w:ascii="宋体" w:hAnsi="宋体" w:eastAsia="宋体" w:cs="宋体"/>
                <w:sz w:val="21"/>
                <w:szCs w:val="21"/>
              </w:rPr>
            </w:pPr>
            <w:r>
              <w:rPr>
                <w:rFonts w:hint="eastAsia" w:ascii="宋体" w:hAnsi="宋体" w:cs="宋体"/>
                <w:sz w:val="21"/>
                <w:szCs w:val="21"/>
                <w:lang w:eastAsia="zh-CN"/>
              </w:rPr>
              <w:t>《中华人民共和国行政处罚法》</w:t>
            </w:r>
            <w:r>
              <w:rPr>
                <w:rFonts w:hint="eastAsia" w:ascii="宋体" w:hAnsi="宋体" w:eastAsia="宋体" w:cs="宋体"/>
                <w:sz w:val="21"/>
                <w:szCs w:val="21"/>
              </w:rPr>
              <w:t>第三十三条第一款：违法行为轻微并及时改正，没有造成危害后果的，不予行政处罚。初次违法且危害后果轻微并及时改正的，可以不予行政处罚。</w:t>
            </w:r>
          </w:p>
        </w:tc>
      </w:tr>
      <w:tr w14:paraId="08DEE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980" w:type="dxa"/>
            <w:noWrap w:val="0"/>
            <w:vAlign w:val="center"/>
          </w:tcPr>
          <w:p w14:paraId="39A438E9">
            <w:pPr>
              <w:widowControl/>
              <w:spacing w:line="300" w:lineRule="exact"/>
              <w:jc w:val="both"/>
              <w:textAlignment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1995" w:type="dxa"/>
            <w:noWrap w:val="0"/>
            <w:vAlign w:val="center"/>
          </w:tcPr>
          <w:p w14:paraId="180DAA6E">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集团化办学的举办者或实际控制人对所举办或者实际控制的民办学校疏于管理，造成恶劣影响</w:t>
            </w:r>
          </w:p>
        </w:tc>
        <w:tc>
          <w:tcPr>
            <w:tcW w:w="3207" w:type="dxa"/>
            <w:noWrap w:val="0"/>
            <w:vAlign w:val="center"/>
          </w:tcPr>
          <w:p w14:paraId="3C89FB2B">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初次违法且立案前改正，未造</w:t>
            </w:r>
          </w:p>
          <w:p w14:paraId="47121A3D">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成重大后果也无违法所得。</w:t>
            </w:r>
          </w:p>
        </w:tc>
        <w:tc>
          <w:tcPr>
            <w:tcW w:w="7888" w:type="dxa"/>
            <w:noWrap w:val="0"/>
            <w:vAlign w:val="center"/>
          </w:tcPr>
          <w:p w14:paraId="4E21BED2">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中华人民共和国民办教育促进法实施条例》第六十四条：同时举办或者实际控制多所民办学校的举办者或者实际控制人违反本条例规定，对所举办或者实际控制的民办学校疏于管理，造成恶劣影响的，由县级以上教育行政部门、人力资源</w:t>
            </w:r>
          </w:p>
          <w:p w14:paraId="0C93EC6F">
            <w:pPr>
              <w:widowControl/>
              <w:spacing w:line="300" w:lineRule="exact"/>
              <w:jc w:val="both"/>
              <w:textAlignment w:val="center"/>
              <w:rPr>
                <w:rFonts w:hint="eastAsia" w:ascii="宋体" w:hAnsi="宋体" w:eastAsia="宋体" w:cs="宋体"/>
                <w:sz w:val="21"/>
                <w:szCs w:val="21"/>
              </w:rPr>
            </w:pPr>
            <w:r>
              <w:rPr>
                <w:rFonts w:hint="eastAsia" w:ascii="宋体" w:hAnsi="宋体" w:eastAsia="宋体" w:cs="宋体"/>
                <w:sz w:val="21"/>
                <w:szCs w:val="21"/>
              </w:rPr>
              <w:t>社会保障行政部门或者其他有关部门依据职责分工责令限期整顿；拒不整改或者整改后仍发生同类问题的，1至5年内不得举办新的民办学校，情节严重的， 10年内不得举办新的民办学校。</w:t>
            </w:r>
          </w:p>
        </w:tc>
      </w:tr>
    </w:tbl>
    <w:p w14:paraId="63935174">
      <w:pPr>
        <w:widowControl/>
        <w:spacing w:line="300" w:lineRule="exact"/>
        <w:jc w:val="left"/>
        <w:textAlignment w:val="center"/>
        <w:rPr>
          <w:rFonts w:hint="eastAsia" w:ascii="宋体" w:hAnsi="宋体" w:eastAsia="宋体" w:cs="宋体"/>
          <w:sz w:val="21"/>
          <w:szCs w:val="21"/>
        </w:rPr>
      </w:pPr>
    </w:p>
    <w:p w14:paraId="0DBF6F0E">
      <w:pPr>
        <w:widowControl/>
        <w:spacing w:line="300" w:lineRule="exact"/>
        <w:jc w:val="left"/>
        <w:textAlignment w:val="center"/>
        <w:rPr>
          <w:rFonts w:hint="eastAsia" w:ascii="宋体" w:hAnsi="宋体" w:eastAsia="宋体" w:cs="宋体"/>
          <w:sz w:val="21"/>
          <w:szCs w:val="21"/>
        </w:rPr>
      </w:pPr>
    </w:p>
    <w:p w14:paraId="3B1B9587"/>
    <w:sectPr>
      <w:footerReference r:id="rId3"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46FE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2786FB">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C2786FB">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CE29DA"/>
    <w:multiLevelType w:val="singleLevel"/>
    <w:tmpl w:val="AFCE29DA"/>
    <w:lvl w:ilvl="0" w:tentative="0">
      <w:start w:val="15"/>
      <w:numFmt w:val="chineseCounting"/>
      <w:suff w:val="nothing"/>
      <w:lvlText w:val="%1、"/>
      <w:lvlJc w:val="left"/>
      <w:rPr>
        <w:rFonts w:hint="eastAsia"/>
      </w:rPr>
    </w:lvl>
  </w:abstractNum>
  <w:abstractNum w:abstractNumId="1">
    <w:nsid w:val="DE75042E"/>
    <w:multiLevelType w:val="singleLevel"/>
    <w:tmpl w:val="DE75042E"/>
    <w:lvl w:ilvl="0" w:tentative="0">
      <w:start w:val="1"/>
      <w:numFmt w:val="chineseCounting"/>
      <w:suff w:val="nothing"/>
      <w:lvlText w:val="（%1）"/>
      <w:lvlJc w:val="left"/>
      <w:rPr>
        <w:rFonts w:hint="eastAsia"/>
      </w:rPr>
    </w:lvl>
  </w:abstractNum>
  <w:abstractNum w:abstractNumId="2">
    <w:nsid w:val="6CB63F65"/>
    <w:multiLevelType w:val="singleLevel"/>
    <w:tmpl w:val="6CB63F65"/>
    <w:lvl w:ilvl="0" w:tentative="0">
      <w:start w:val="10"/>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ZWMzYjg4YmJjMTM2M2RlYTIwNjc3ZWIxNWIyYzcifQ=="/>
  </w:docVars>
  <w:rsids>
    <w:rsidRoot w:val="1EF173F5"/>
    <w:rsid w:val="04DB2FF0"/>
    <w:rsid w:val="0F2D5D06"/>
    <w:rsid w:val="13BF0D7F"/>
    <w:rsid w:val="163446B4"/>
    <w:rsid w:val="1D6F52D7"/>
    <w:rsid w:val="1EF173F5"/>
    <w:rsid w:val="209D5735"/>
    <w:rsid w:val="30653DF6"/>
    <w:rsid w:val="5BEE2D3A"/>
    <w:rsid w:val="5FEF2F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5"/>
    <w:basedOn w:val="1"/>
    <w:next w:val="1"/>
    <w:qFormat/>
    <w:uiPriority w:val="0"/>
    <w:pPr>
      <w:keepNext/>
      <w:keepLines/>
      <w:spacing w:before="280" w:after="290" w:line="376" w:lineRule="auto"/>
      <w:outlineLvl w:val="4"/>
    </w:pPr>
    <w:rPr>
      <w:rFonts w:ascii="Times New Roman" w:hAnsi="Times New Roman" w:eastAsia="宋体"/>
      <w:b/>
      <w:bCs/>
      <w:sz w:val="28"/>
      <w:szCs w:val="28"/>
    </w:rPr>
  </w:style>
  <w:style w:type="character" w:default="1" w:styleId="11">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unhideWhenUsed/>
    <w:qFormat/>
    <w:uiPriority w:val="99"/>
    <w:pPr>
      <w:widowControl w:val="0"/>
      <w:autoSpaceDE w:val="0"/>
      <w:autoSpaceDN w:val="0"/>
      <w:adjustRightInd w:val="0"/>
    </w:pPr>
    <w:rPr>
      <w:rFonts w:hint="eastAsia" w:ascii="方正小标宋_GBK" w:hAnsi="方正小标宋_GBK" w:eastAsia="方正小标宋_GBK" w:cs="Times New Roman"/>
      <w:color w:val="000000"/>
      <w:sz w:val="24"/>
      <w:szCs w:val="22"/>
      <w:lang w:val="en-US" w:eastAsia="zh-CN" w:bidi="ar-SA"/>
    </w:rPr>
  </w:style>
  <w:style w:type="paragraph" w:styleId="4">
    <w:name w:val="Normal Indent"/>
    <w:autoRedefine/>
    <w:qFormat/>
    <w:uiPriority w:val="0"/>
    <w:pPr>
      <w:widowControl w:val="0"/>
      <w:ind w:firstLine="200" w:firstLineChars="200"/>
      <w:jc w:val="both"/>
    </w:pPr>
    <w:rPr>
      <w:rFonts w:ascii="Calibri" w:hAnsi="Calibri" w:eastAsia="宋体" w:cs="Times New Roman"/>
      <w:kern w:val="2"/>
      <w:sz w:val="21"/>
      <w:szCs w:val="24"/>
      <w:lang w:val="en-US" w:eastAsia="zh-CN" w:bidi="ar-SA"/>
    </w:rPr>
  </w:style>
  <w:style w:type="paragraph" w:styleId="5">
    <w:name w:val="footer"/>
    <w:basedOn w:val="1"/>
    <w:autoRedefine/>
    <w:qFormat/>
    <w:uiPriority w:val="0"/>
    <w:pPr>
      <w:widowControl w:val="0"/>
      <w:tabs>
        <w:tab w:val="center" w:pos="4153"/>
        <w:tab w:val="right" w:pos="8306"/>
      </w:tabs>
      <w:snapToGrid w:val="0"/>
      <w:jc w:val="left"/>
    </w:pPr>
    <w:rPr>
      <w:rFonts w:ascii="Calibri" w:hAnsi="Calibri" w:eastAsia="宋体" w:cs="Times New Roman"/>
      <w:kern w:val="2"/>
      <w:sz w:val="18"/>
      <w:szCs w:val="24"/>
      <w:lang w:val="en-US" w:eastAsia="zh-CN" w:bidi="ar-SA"/>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autoRedefine/>
    <w:semiHidden/>
    <w:unhideWhenUsed/>
    <w:qFormat/>
    <w:uiPriority w:val="99"/>
    <w:rPr>
      <w:color w:val="0000FF"/>
      <w:u w:val="single"/>
    </w:rPr>
  </w:style>
  <w:style w:type="character" w:customStyle="1" w:styleId="13">
    <w:name w:val="font01"/>
    <w:basedOn w:val="11"/>
    <w:qFormat/>
    <w:uiPriority w:val="0"/>
    <w:rPr>
      <w:rFonts w:hint="eastAsia" w:ascii="宋体" w:hAnsi="宋体" w:eastAsia="宋体" w:cs="宋体"/>
      <w:color w:val="000000"/>
      <w:sz w:val="24"/>
      <w:szCs w:val="24"/>
      <w:u w:val="none"/>
      <w:lang w:bidi="ar-SA"/>
    </w:rPr>
  </w:style>
  <w:style w:type="paragraph" w:customStyle="1" w:styleId="14">
    <w:name w:val="Heading3"/>
    <w:basedOn w:val="1"/>
    <w:next w:val="1"/>
    <w:autoRedefine/>
    <w:qFormat/>
    <w:uiPriority w:val="0"/>
    <w:pPr>
      <w:keepNext/>
      <w:keepLines/>
      <w:spacing w:line="560" w:lineRule="exact"/>
      <w:textAlignment w:val="baseline"/>
    </w:pPr>
    <w:rPr>
      <w:b/>
    </w:rPr>
  </w:style>
  <w:style w:type="character" w:customStyle="1" w:styleId="15">
    <w:name w:val="font61"/>
    <w:basedOn w:val="11"/>
    <w:autoRedefine/>
    <w:qFormat/>
    <w:uiPriority w:val="0"/>
    <w:rPr>
      <w:rFonts w:hint="eastAsia" w:ascii="仿宋" w:hAnsi="仿宋" w:eastAsia="仿宋" w:cs="仿宋"/>
      <w:color w:val="000000"/>
      <w:sz w:val="24"/>
      <w:szCs w:val="24"/>
      <w:u w:val="none"/>
    </w:rPr>
  </w:style>
  <w:style w:type="character" w:customStyle="1" w:styleId="16">
    <w:name w:val="font81"/>
    <w:basedOn w:val="11"/>
    <w:autoRedefine/>
    <w:qFormat/>
    <w:uiPriority w:val="0"/>
    <w:rPr>
      <w:rFonts w:ascii="Arial" w:hAnsi="Arial" w:cs="Arial"/>
      <w:color w:val="000000"/>
      <w:sz w:val="24"/>
      <w:szCs w:val="24"/>
      <w:u w:val="none"/>
    </w:rPr>
  </w:style>
  <w:style w:type="character" w:customStyle="1" w:styleId="17">
    <w:name w:val="font41"/>
    <w:basedOn w:val="11"/>
    <w:qFormat/>
    <w:uiPriority w:val="0"/>
    <w:rPr>
      <w:rFonts w:hint="eastAsia" w:ascii="宋体" w:hAnsi="宋体" w:eastAsia="宋体" w:cs="宋体"/>
      <w:color w:val="000000"/>
      <w:sz w:val="20"/>
      <w:szCs w:val="20"/>
      <w:u w:val="none"/>
    </w:rPr>
  </w:style>
  <w:style w:type="character" w:customStyle="1" w:styleId="18">
    <w:name w:val="text-tag"/>
    <w:basedOn w:val="11"/>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98</Pages>
  <Words>26976</Words>
  <Characters>27170</Characters>
  <Lines>0</Lines>
  <Paragraphs>0</Paragraphs>
  <TotalTime>10</TotalTime>
  <ScaleCrop>false</ScaleCrop>
  <LinksUpToDate>false</LinksUpToDate>
  <CharactersWithSpaces>27349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2022-08-29T15:07:00Z</dcterms:created>
  <dc:creator>张青</dc:creator>
  <cp:lastModifiedBy>Zhou dongquan</cp:lastModifiedBy>
  <dcterms:modified xsi:type="dcterms:W3CDTF">2024-10-28T07:47:12Z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F1E6C511F08446F3831C356561D5DBDF_13</vt:lpwstr>
  </property>
</Properties>
</file>