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Cs/>
          <w:spacing w:val="-1"/>
          <w:sz w:val="44"/>
          <w:szCs w:val="44"/>
        </w:rPr>
        <w:t>《</w:t>
      </w:r>
      <w:r>
        <w:rPr>
          <w:rFonts w:hint="eastAsia" w:ascii="方正小标宋简体" w:hAnsi="方正小标宋简体" w:eastAsia="方正小标宋简体" w:cs="方正小标宋简体"/>
          <w:b w:val="0"/>
          <w:bCs w:val="0"/>
          <w:color w:val="auto"/>
          <w:sz w:val="44"/>
          <w:szCs w:val="44"/>
          <w:lang w:eastAsia="zh-CN"/>
        </w:rPr>
        <w:pict>
          <v:shape id="_x0000_s1026" o:spid="_x0000_s1026" o:spt="202" type="#_x0000_t202" style="position:absolute;left:0pt;margin-left:-27pt;margin-top:-46.8pt;height:39pt;width:99pt;z-index:251658240;mso-width-relative:page;mso-height-relative:page;" stroked="f" coordsize="21600,21600">
            <v:path/>
            <v:fill focussize="0,0"/>
            <v:stroke on="f"/>
            <v:imagedata o:title=""/>
            <o:lock v:ext="edit"/>
            <v:textbox>
              <w:txbxContent>
                <w:p>
                  <w:pPr>
                    <w:rPr>
                      <w:rFonts w:hint="eastAsia"/>
                    </w:rPr>
                  </w:pPr>
                </w:p>
              </w:txbxContent>
            </v:textbox>
          </v:shape>
        </w:pict>
      </w:r>
      <w:r>
        <w:rPr>
          <w:rFonts w:hint="eastAsia" w:ascii="方正小标宋简体" w:hAnsi="方正小标宋简体" w:eastAsia="方正小标宋简体" w:cs="方正小标宋简体"/>
          <w:b w:val="0"/>
          <w:bCs w:val="0"/>
          <w:color w:val="auto"/>
          <w:sz w:val="44"/>
          <w:szCs w:val="44"/>
          <w:lang w:eastAsia="zh-CN"/>
        </w:rPr>
        <w:t>新余市被征地农民参加基本养老保险</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Cs/>
          <w:spacing w:val="-1"/>
          <w:sz w:val="44"/>
          <w:szCs w:val="44"/>
        </w:rPr>
      </w:pPr>
      <w:bookmarkStart w:id="0" w:name="_GoBack"/>
      <w:bookmarkEnd w:id="0"/>
      <w:r>
        <w:rPr>
          <w:rFonts w:hint="eastAsia" w:ascii="方正小标宋简体" w:hAnsi="方正小标宋简体" w:eastAsia="方正小标宋简体" w:cs="方正小标宋简体"/>
          <w:b w:val="0"/>
          <w:bCs w:val="0"/>
          <w:color w:val="auto"/>
          <w:sz w:val="44"/>
          <w:szCs w:val="44"/>
          <w:lang w:eastAsia="zh-CN"/>
        </w:rPr>
        <w:t>实施办法</w:t>
      </w:r>
      <w:r>
        <w:rPr>
          <w:rFonts w:hint="eastAsia" w:ascii="方正小标宋简体" w:hAnsi="方正小标宋简体" w:eastAsia="方正小标宋简体" w:cs="方正小标宋简体"/>
          <w:bCs/>
          <w:spacing w:val="-1"/>
          <w:sz w:val="44"/>
          <w:szCs w:val="44"/>
        </w:rPr>
        <w:t>》的起草说明</w:t>
      </w:r>
    </w:p>
    <w:p>
      <w:pPr>
        <w:keepNext w:val="0"/>
        <w:keepLines w:val="0"/>
        <w:pageBreakBefore w:val="0"/>
        <w:widowControl/>
        <w:kinsoku w:val="0"/>
        <w:wordWrap/>
        <w:overflowPunct/>
        <w:topLinePunct w:val="0"/>
        <w:autoSpaceDE w:val="0"/>
        <w:autoSpaceDN w:val="0"/>
        <w:bidi w:val="0"/>
        <w:adjustRightInd w:val="0"/>
        <w:snapToGrid w:val="0"/>
        <w:spacing w:before="101" w:line="600" w:lineRule="exact"/>
        <w:ind w:left="9" w:right="93" w:firstLine="634"/>
        <w:jc w:val="both"/>
        <w:textAlignment w:val="baseline"/>
        <w:rPr>
          <w:rFonts w:hint="eastAsia" w:ascii="仿宋" w:hAnsi="仿宋" w:cs="仿宋"/>
          <w:b/>
          <w:spacing w:val="-1"/>
          <w:sz w:val="31"/>
          <w:szCs w:val="31"/>
        </w:rPr>
      </w:pPr>
    </w:p>
    <w:p>
      <w:pPr>
        <w:keepNext w:val="0"/>
        <w:keepLines w:val="0"/>
        <w:pageBreakBefore w:val="0"/>
        <w:widowControl/>
        <w:kinsoku w:val="0"/>
        <w:wordWrap/>
        <w:overflowPunct/>
        <w:topLinePunct w:val="0"/>
        <w:autoSpaceDE w:val="0"/>
        <w:autoSpaceDN w:val="0"/>
        <w:bidi w:val="0"/>
        <w:adjustRightInd w:val="0"/>
        <w:snapToGrid w:val="0"/>
        <w:spacing w:before="160" w:line="600" w:lineRule="exact"/>
        <w:ind w:left="74" w:right="108" w:firstLine="641"/>
        <w:jc w:val="both"/>
        <w:textAlignment w:val="baseline"/>
        <w:rPr>
          <w:rFonts w:hint="eastAsia" w:ascii="仿宋_GB2312" w:hAnsi="仿宋" w:eastAsia="仿宋_GB2312" w:cs="仿宋"/>
          <w:spacing w:val="5"/>
          <w:sz w:val="32"/>
          <w:szCs w:val="32"/>
          <w:lang w:eastAsia="zh-CN"/>
        </w:rPr>
      </w:pPr>
      <w:r>
        <w:rPr>
          <w:rFonts w:hint="eastAsia" w:ascii="仿宋_GB2312" w:hAnsi="仿宋" w:eastAsia="仿宋_GB2312" w:cs="仿宋"/>
          <w:spacing w:val="5"/>
          <w:sz w:val="32"/>
          <w:szCs w:val="32"/>
          <w:lang w:eastAsia="zh-CN"/>
        </w:rPr>
        <w:t>现就《新余市被征地农民参加基本养老保险实施办法》的起草情况作个简要汇报。</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53"/>
        <w:jc w:val="both"/>
        <w:textAlignment w:val="baseline"/>
        <w:rPr>
          <w:rFonts w:ascii="黑体" w:hAnsi="黑体" w:eastAsia="黑体" w:cs="黑体"/>
          <w:sz w:val="32"/>
          <w:szCs w:val="32"/>
        </w:rPr>
      </w:pPr>
      <w:r>
        <w:rPr>
          <w:rFonts w:ascii="黑体" w:hAnsi="黑体" w:eastAsia="黑体" w:cs="黑体"/>
          <w:spacing w:val="13"/>
          <w:sz w:val="32"/>
          <w:szCs w:val="32"/>
        </w:rPr>
        <w:t>一</w:t>
      </w:r>
      <w:r>
        <w:rPr>
          <w:rFonts w:ascii="黑体" w:hAnsi="黑体" w:eastAsia="黑体" w:cs="黑体"/>
          <w:spacing w:val="7"/>
          <w:sz w:val="32"/>
          <w:szCs w:val="32"/>
        </w:rPr>
        <w:t>、起草背景和过程</w:t>
      </w:r>
    </w:p>
    <w:p>
      <w:pPr>
        <w:keepNext w:val="0"/>
        <w:keepLines w:val="0"/>
        <w:pageBreakBefore w:val="0"/>
        <w:widowControl/>
        <w:kinsoku w:val="0"/>
        <w:wordWrap/>
        <w:overflowPunct/>
        <w:topLinePunct w:val="0"/>
        <w:autoSpaceDE w:val="0"/>
        <w:autoSpaceDN w:val="0"/>
        <w:bidi w:val="0"/>
        <w:adjustRightInd w:val="0"/>
        <w:snapToGrid w:val="0"/>
        <w:spacing w:before="160" w:line="600" w:lineRule="exact"/>
        <w:ind w:left="74" w:right="108" w:firstLine="641"/>
        <w:jc w:val="both"/>
        <w:textAlignment w:val="baseline"/>
        <w:rPr>
          <w:rFonts w:hint="eastAsia" w:ascii="仿宋_GB2312" w:hAnsi="仿宋" w:eastAsia="仿宋_GB2312" w:cs="仿宋"/>
          <w:spacing w:val="5"/>
          <w:sz w:val="32"/>
          <w:szCs w:val="32"/>
          <w:lang w:val="en-US" w:eastAsia="zh-CN"/>
        </w:rPr>
      </w:pPr>
      <w:r>
        <w:rPr>
          <w:rFonts w:hint="eastAsia" w:ascii="仿宋_GB2312" w:hAnsi="仿宋" w:eastAsia="仿宋_GB2312" w:cs="仿宋"/>
          <w:spacing w:val="5"/>
          <w:sz w:val="32"/>
          <w:szCs w:val="32"/>
          <w:lang w:eastAsia="zh-CN"/>
        </w:rPr>
        <w:t>201</w:t>
      </w:r>
      <w:r>
        <w:rPr>
          <w:rFonts w:hint="eastAsia" w:ascii="仿宋_GB2312" w:hAnsi="仿宋" w:eastAsia="仿宋_GB2312" w:cs="仿宋"/>
          <w:spacing w:val="5"/>
          <w:sz w:val="32"/>
          <w:szCs w:val="32"/>
          <w:lang w:val="en-US" w:eastAsia="zh-CN"/>
        </w:rPr>
        <w:t>5</w:t>
      </w:r>
      <w:r>
        <w:rPr>
          <w:rFonts w:hint="eastAsia" w:ascii="仿宋_GB2312" w:hAnsi="仿宋" w:eastAsia="仿宋_GB2312" w:cs="仿宋"/>
          <w:spacing w:val="5"/>
          <w:sz w:val="32"/>
          <w:szCs w:val="32"/>
          <w:lang w:eastAsia="zh-CN"/>
        </w:rPr>
        <w:t>年</w:t>
      </w:r>
      <w:r>
        <w:rPr>
          <w:rFonts w:hint="eastAsia" w:ascii="仿宋_GB2312" w:hAnsi="仿宋" w:eastAsia="仿宋_GB2312" w:cs="仿宋"/>
          <w:spacing w:val="5"/>
          <w:sz w:val="32"/>
          <w:szCs w:val="32"/>
          <w:lang w:val="en-US" w:eastAsia="zh-CN"/>
        </w:rPr>
        <w:t>3</w:t>
      </w:r>
      <w:r>
        <w:rPr>
          <w:rFonts w:hint="eastAsia" w:ascii="仿宋_GB2312" w:hAnsi="仿宋" w:eastAsia="仿宋_GB2312" w:cs="仿宋"/>
          <w:spacing w:val="5"/>
          <w:sz w:val="32"/>
          <w:szCs w:val="32"/>
          <w:lang w:eastAsia="zh-CN"/>
        </w:rPr>
        <w:t>月，新余</w:t>
      </w:r>
      <w:r>
        <w:rPr>
          <w:rFonts w:hint="eastAsia" w:ascii="仿宋_GB2312" w:hAnsi="仿宋" w:eastAsia="仿宋_GB2312" w:cs="仿宋"/>
          <w:spacing w:val="5"/>
          <w:sz w:val="32"/>
          <w:szCs w:val="32"/>
          <w:lang w:val="en-US" w:eastAsia="zh-CN"/>
        </w:rPr>
        <w:t>市</w:t>
      </w:r>
      <w:r>
        <w:rPr>
          <w:rFonts w:hint="eastAsia" w:ascii="仿宋_GB2312" w:hAnsi="仿宋" w:eastAsia="仿宋_GB2312" w:cs="仿宋"/>
          <w:spacing w:val="5"/>
          <w:sz w:val="32"/>
          <w:szCs w:val="32"/>
          <w:lang w:eastAsia="zh-CN"/>
        </w:rPr>
        <w:t>出台了《新余市人民政府办公室</w:t>
      </w:r>
      <w:r>
        <w:rPr>
          <w:rFonts w:hint="eastAsia" w:ascii="仿宋_GB2312" w:hAnsi="仿宋" w:eastAsia="仿宋_GB2312" w:cs="仿宋"/>
          <w:spacing w:val="5"/>
          <w:sz w:val="32"/>
          <w:szCs w:val="32"/>
          <w:lang w:val="en-US" w:eastAsia="zh-CN"/>
        </w:rPr>
        <w:t>关于印</w:t>
      </w:r>
      <w:r>
        <w:rPr>
          <w:rFonts w:hint="eastAsia" w:ascii="仿宋_GB2312" w:hAnsi="仿宋" w:eastAsia="仿宋_GB2312" w:cs="仿宋"/>
          <w:spacing w:val="5"/>
          <w:sz w:val="32"/>
          <w:szCs w:val="32"/>
          <w:lang w:eastAsia="zh-CN"/>
        </w:rPr>
        <w:t>发新余市被征地农民参加基本养老保险办法的通知》（余府办发〔201</w:t>
      </w:r>
      <w:r>
        <w:rPr>
          <w:rFonts w:hint="eastAsia" w:ascii="仿宋_GB2312" w:hAnsi="仿宋" w:eastAsia="仿宋_GB2312" w:cs="仿宋"/>
          <w:spacing w:val="5"/>
          <w:sz w:val="32"/>
          <w:szCs w:val="32"/>
          <w:lang w:val="en-US" w:eastAsia="zh-CN"/>
        </w:rPr>
        <w:t>5</w:t>
      </w:r>
      <w:r>
        <w:rPr>
          <w:rFonts w:hint="eastAsia" w:ascii="仿宋_GB2312" w:hAnsi="仿宋" w:eastAsia="仿宋_GB2312" w:cs="仿宋"/>
          <w:spacing w:val="5"/>
          <w:sz w:val="32"/>
          <w:szCs w:val="32"/>
          <w:lang w:eastAsia="zh-CN"/>
        </w:rPr>
        <w:t>〕</w:t>
      </w:r>
      <w:r>
        <w:rPr>
          <w:rFonts w:hint="eastAsia" w:ascii="仿宋_GB2312" w:hAnsi="仿宋" w:eastAsia="仿宋_GB2312" w:cs="仿宋"/>
          <w:spacing w:val="5"/>
          <w:sz w:val="32"/>
          <w:szCs w:val="32"/>
          <w:lang w:val="en-US" w:eastAsia="zh-CN"/>
        </w:rPr>
        <w:t>10</w:t>
      </w:r>
      <w:r>
        <w:rPr>
          <w:rFonts w:hint="eastAsia" w:ascii="仿宋_GB2312" w:hAnsi="仿宋" w:eastAsia="仿宋_GB2312" w:cs="仿宋"/>
          <w:spacing w:val="5"/>
          <w:sz w:val="32"/>
          <w:szCs w:val="32"/>
          <w:lang w:eastAsia="zh-CN"/>
        </w:rPr>
        <w:t>号），较好地解决</w:t>
      </w:r>
      <w:r>
        <w:rPr>
          <w:rFonts w:hint="eastAsia" w:ascii="仿宋_GB2312" w:hAnsi="仿宋" w:eastAsia="仿宋_GB2312" w:cs="仿宋"/>
          <w:spacing w:val="5"/>
          <w:sz w:val="32"/>
          <w:szCs w:val="32"/>
          <w:lang w:val="en-US" w:eastAsia="zh-CN"/>
        </w:rPr>
        <w:t>了被征地农民</w:t>
      </w:r>
      <w:r>
        <w:rPr>
          <w:rFonts w:hint="eastAsia" w:ascii="仿宋_GB2312" w:hAnsi="仿宋" w:eastAsia="仿宋_GB2312" w:cs="仿宋"/>
          <w:spacing w:val="5"/>
          <w:sz w:val="32"/>
          <w:szCs w:val="32"/>
          <w:lang w:eastAsia="zh-CN"/>
        </w:rPr>
        <w:t>“老有所养、长远保障”问题。</w:t>
      </w:r>
      <w:r>
        <w:rPr>
          <w:rFonts w:hint="eastAsia" w:ascii="仿宋_GB2312" w:hAnsi="仿宋" w:eastAsia="仿宋_GB2312" w:cs="仿宋"/>
          <w:spacing w:val="5"/>
          <w:sz w:val="32"/>
          <w:szCs w:val="32"/>
          <w:lang w:val="en-US" w:eastAsia="zh-CN"/>
        </w:rPr>
        <w:t>2022年6月1日，修订后的</w:t>
      </w:r>
      <w:r>
        <w:rPr>
          <w:rFonts w:hint="eastAsia" w:ascii="仿宋_GB2312" w:hAnsi="仿宋" w:eastAsia="仿宋_GB2312" w:cs="仿宋"/>
          <w:spacing w:val="5"/>
          <w:sz w:val="32"/>
          <w:szCs w:val="32"/>
          <w:lang w:eastAsia="zh-CN"/>
        </w:rPr>
        <w:t>《江西省征收土地管理办法》</w:t>
      </w:r>
      <w:r>
        <w:rPr>
          <w:rFonts w:hint="eastAsia" w:ascii="仿宋_GB2312" w:hAnsi="仿宋" w:eastAsia="仿宋_GB2312" w:cs="仿宋"/>
          <w:spacing w:val="5"/>
          <w:sz w:val="32"/>
          <w:szCs w:val="32"/>
          <w:lang w:val="en-US" w:eastAsia="zh-CN"/>
        </w:rPr>
        <w:t>多个条款涉及被征地农民参加基本养老保险。近年来，江西省先后出台了</w:t>
      </w:r>
      <w:r>
        <w:rPr>
          <w:rFonts w:hint="eastAsia" w:ascii="仿宋_GB2312" w:hAnsi="仿宋" w:eastAsia="仿宋_GB2312" w:cs="仿宋"/>
          <w:spacing w:val="5"/>
          <w:sz w:val="32"/>
          <w:szCs w:val="32"/>
          <w:lang w:eastAsia="zh-CN"/>
        </w:rPr>
        <w:t>《江西省人民政府办公厅关于切实做好被征地农民参加基本养老保险相关工作的通知》（赣府厅字〔2022〕56号）</w:t>
      </w:r>
      <w:r>
        <w:rPr>
          <w:rFonts w:hint="eastAsia" w:ascii="仿宋_GB2312" w:hAnsi="仿宋" w:eastAsia="仿宋_GB2312" w:cs="仿宋"/>
          <w:spacing w:val="5"/>
          <w:sz w:val="32"/>
          <w:szCs w:val="32"/>
          <w:lang w:val="en-US" w:eastAsia="zh-CN"/>
        </w:rPr>
        <w:t>等政策文件，对被征地农民参加基本养老保险提出了新要求。我市原有文件适用范围为市本级被征地农民，大部分条款或废止或过时，已无保留必要。为贯彻落实好上级政策法规要求，理顺好工作，需要进一步规范全</w:t>
      </w:r>
      <w:r>
        <w:rPr>
          <w:rFonts w:hint="default" w:ascii="仿宋_GB2312" w:hAnsi="仿宋" w:eastAsia="仿宋_GB2312" w:cs="仿宋"/>
          <w:spacing w:val="5"/>
          <w:sz w:val="32"/>
          <w:szCs w:val="32"/>
          <w:lang w:val="en-US" w:eastAsia="zh-CN"/>
        </w:rPr>
        <w:t>市被征地农民参加基本养老保险</w:t>
      </w:r>
      <w:r>
        <w:rPr>
          <w:rFonts w:hint="eastAsia" w:ascii="仿宋_GB2312" w:hAnsi="仿宋" w:eastAsia="仿宋_GB2312" w:cs="仿宋"/>
          <w:spacing w:val="5"/>
          <w:sz w:val="32"/>
          <w:szCs w:val="32"/>
          <w:lang w:val="en-US" w:eastAsia="zh-CN"/>
        </w:rPr>
        <w:t>政策，本次出台《</w:t>
      </w:r>
      <w:r>
        <w:rPr>
          <w:rFonts w:hint="eastAsia" w:ascii="仿宋_GB2312" w:hAnsi="仿宋" w:eastAsia="仿宋_GB2312" w:cs="仿宋"/>
          <w:spacing w:val="5"/>
          <w:sz w:val="32"/>
          <w:szCs w:val="32"/>
          <w:lang w:eastAsia="zh-CN"/>
        </w:rPr>
        <w:t>新余市被征地农民参加基本养老保险实施办法</w:t>
      </w:r>
      <w:r>
        <w:rPr>
          <w:rFonts w:hint="eastAsia" w:ascii="仿宋_GB2312" w:hAnsi="仿宋" w:eastAsia="仿宋_GB2312" w:cs="仿宋"/>
          <w:spacing w:val="5"/>
          <w:sz w:val="32"/>
          <w:szCs w:val="32"/>
          <w:lang w:val="en-US" w:eastAsia="zh-CN"/>
        </w:rPr>
        <w:t>》予以响应。2023年10月10日，</w:t>
      </w:r>
      <w:r>
        <w:rPr>
          <w:rFonts w:hint="eastAsia" w:ascii="仿宋_GB2312" w:hAnsi="仿宋" w:eastAsia="仿宋_GB2312" w:cs="仿宋"/>
          <w:spacing w:val="5"/>
          <w:sz w:val="32"/>
          <w:szCs w:val="32"/>
          <w:lang w:eastAsia="zh-CN"/>
        </w:rPr>
        <w:t>新余市人社局起草《新余市被征地农民参加基本养老保险实施办法(征求意见稿)》，征求了相关部门</w:t>
      </w:r>
      <w:r>
        <w:rPr>
          <w:rFonts w:hint="eastAsia" w:ascii="仿宋_GB2312" w:hAnsi="仿宋" w:eastAsia="仿宋_GB2312" w:cs="仿宋"/>
          <w:color w:val="000000" w:themeColor="text1"/>
          <w:spacing w:val="5"/>
          <w:sz w:val="32"/>
          <w:szCs w:val="32"/>
          <w:lang w:eastAsia="zh-CN"/>
        </w:rPr>
        <w:t>意见，将各部门提出的意见吸纳进了文稿，</w:t>
      </w:r>
      <w:r>
        <w:rPr>
          <w:rFonts w:hint="eastAsia" w:ascii="仿宋_GB2312" w:hAnsi="仿宋" w:eastAsia="仿宋_GB2312" w:cs="仿宋"/>
          <w:spacing w:val="5"/>
          <w:sz w:val="32"/>
          <w:szCs w:val="32"/>
          <w:lang w:eastAsia="zh-CN"/>
        </w:rPr>
        <w:t>最终形成了《新余市被征地农民参加基本养老保险实施办法》。</w:t>
      </w:r>
    </w:p>
    <w:p>
      <w:pPr>
        <w:keepNext w:val="0"/>
        <w:keepLines w:val="0"/>
        <w:pageBreakBefore w:val="0"/>
        <w:widowControl/>
        <w:kinsoku w:val="0"/>
        <w:wordWrap/>
        <w:overflowPunct/>
        <w:topLinePunct w:val="0"/>
        <w:autoSpaceDE w:val="0"/>
        <w:autoSpaceDN w:val="0"/>
        <w:bidi w:val="0"/>
        <w:adjustRightInd w:val="0"/>
        <w:snapToGrid w:val="0"/>
        <w:spacing w:before="1" w:line="600" w:lineRule="exact"/>
        <w:ind w:left="654"/>
        <w:jc w:val="both"/>
        <w:textAlignment w:val="baseline"/>
        <w:rPr>
          <w:rFonts w:ascii="黑体" w:hAnsi="黑体" w:eastAsia="黑体" w:cs="黑体"/>
          <w:sz w:val="32"/>
          <w:szCs w:val="32"/>
        </w:rPr>
      </w:pPr>
      <w:r>
        <w:rPr>
          <w:rFonts w:ascii="黑体" w:hAnsi="黑体" w:eastAsia="黑体" w:cs="黑体"/>
          <w:spacing w:val="9"/>
          <w:sz w:val="32"/>
          <w:szCs w:val="32"/>
        </w:rPr>
        <w:t>二</w:t>
      </w:r>
      <w:r>
        <w:rPr>
          <w:rFonts w:ascii="黑体" w:hAnsi="黑体" w:eastAsia="黑体" w:cs="黑体"/>
          <w:spacing w:val="6"/>
          <w:sz w:val="32"/>
          <w:szCs w:val="32"/>
        </w:rPr>
        <w:t>、主要内容</w:t>
      </w:r>
    </w:p>
    <w:p>
      <w:pPr>
        <w:keepNext w:val="0"/>
        <w:keepLines w:val="0"/>
        <w:pageBreakBefore w:val="0"/>
        <w:widowControl/>
        <w:kinsoku w:val="0"/>
        <w:wordWrap/>
        <w:overflowPunct/>
        <w:topLinePunct w:val="0"/>
        <w:autoSpaceDE w:val="0"/>
        <w:autoSpaceDN w:val="0"/>
        <w:bidi w:val="0"/>
        <w:adjustRightInd w:val="0"/>
        <w:snapToGrid w:val="0"/>
        <w:spacing w:before="160" w:line="600" w:lineRule="exact"/>
        <w:ind w:left="74" w:right="108" w:firstLine="641"/>
        <w:jc w:val="both"/>
        <w:textAlignment w:val="baseline"/>
        <w:rPr>
          <w:rFonts w:hint="eastAsia" w:ascii="仿宋_GB2312" w:hAnsi="仿宋" w:eastAsia="仿宋_GB2312" w:cs="仿宋"/>
          <w:spacing w:val="5"/>
          <w:sz w:val="32"/>
          <w:szCs w:val="32"/>
          <w:lang w:eastAsia="zh-CN"/>
        </w:rPr>
      </w:pPr>
      <w:r>
        <w:rPr>
          <w:rFonts w:hint="eastAsia" w:ascii="仿宋_GB2312" w:hAnsi="仿宋" w:eastAsia="仿宋_GB2312" w:cs="仿宋"/>
          <w:spacing w:val="5"/>
          <w:sz w:val="32"/>
          <w:szCs w:val="32"/>
          <w:lang w:eastAsia="zh-CN"/>
        </w:rPr>
        <w:t>《新余市被征地农民参加基本养老保险实施办法》共分为七章、</w:t>
      </w:r>
      <w:r>
        <w:rPr>
          <w:rFonts w:hint="eastAsia" w:ascii="仿宋_GB2312" w:hAnsi="仿宋" w:eastAsia="仿宋_GB2312" w:cs="仿宋"/>
          <w:spacing w:val="5"/>
          <w:sz w:val="32"/>
          <w:szCs w:val="32"/>
          <w:lang w:val="en-US" w:eastAsia="zh-CN"/>
        </w:rPr>
        <w:t>19</w:t>
      </w:r>
      <w:r>
        <w:rPr>
          <w:rFonts w:hint="eastAsia" w:ascii="仿宋_GB2312" w:hAnsi="仿宋" w:eastAsia="仿宋_GB2312" w:cs="仿宋"/>
          <w:spacing w:val="5"/>
          <w:sz w:val="32"/>
          <w:szCs w:val="32"/>
          <w:lang w:eastAsia="zh-CN"/>
        </w:rPr>
        <w:t>条，分别对该实施办法的制定依据、遵循原则、保障对象及认定程序、参保办法和补贴标准、资金筹集和管理、审核制度、工作要求与职责、启动实施时间等问题进行了阐述和规范。</w:t>
      </w:r>
    </w:p>
    <w:p>
      <w:pPr>
        <w:keepNext w:val="0"/>
        <w:keepLines w:val="0"/>
        <w:pageBreakBefore w:val="0"/>
        <w:widowControl/>
        <w:kinsoku w:val="0"/>
        <w:wordWrap/>
        <w:overflowPunct/>
        <w:topLinePunct w:val="0"/>
        <w:autoSpaceDE w:val="0"/>
        <w:autoSpaceDN w:val="0"/>
        <w:bidi w:val="0"/>
        <w:adjustRightInd w:val="0"/>
        <w:snapToGrid w:val="0"/>
        <w:spacing w:before="160" w:line="600" w:lineRule="exact"/>
        <w:ind w:left="74" w:right="108" w:firstLine="641"/>
        <w:jc w:val="both"/>
        <w:textAlignment w:val="baseline"/>
        <w:rPr>
          <w:rFonts w:hint="default" w:ascii="仿宋_GB2312" w:hAnsi="仿宋" w:eastAsia="仿宋_GB2312" w:cs="仿宋"/>
          <w:spacing w:val="5"/>
          <w:sz w:val="32"/>
          <w:szCs w:val="32"/>
          <w:lang w:val="en-US" w:eastAsia="zh-CN"/>
        </w:rPr>
      </w:pPr>
      <w:r>
        <w:rPr>
          <w:rFonts w:hint="eastAsia" w:ascii="仿宋_GB2312" w:hAnsi="仿宋" w:eastAsia="仿宋_GB2312" w:cs="仿宋"/>
          <w:spacing w:val="5"/>
          <w:sz w:val="32"/>
          <w:szCs w:val="32"/>
          <w:lang w:eastAsia="zh-CN"/>
        </w:rPr>
        <w:t>本《实施办法》共七章十九条，</w:t>
      </w:r>
      <w:r>
        <w:rPr>
          <w:rFonts w:hint="eastAsia" w:ascii="仿宋_GB2312" w:hAnsi="仿宋" w:eastAsia="仿宋_GB2312" w:cs="仿宋"/>
          <w:spacing w:val="5"/>
          <w:sz w:val="32"/>
          <w:szCs w:val="32"/>
          <w:lang w:val="en-US" w:eastAsia="zh-CN"/>
        </w:rPr>
        <w:t>主要包括：</w:t>
      </w:r>
    </w:p>
    <w:p>
      <w:pPr>
        <w:keepNext w:val="0"/>
        <w:keepLines w:val="0"/>
        <w:pageBreakBefore w:val="0"/>
        <w:widowControl/>
        <w:kinsoku w:val="0"/>
        <w:wordWrap/>
        <w:overflowPunct/>
        <w:topLinePunct w:val="0"/>
        <w:autoSpaceDE w:val="0"/>
        <w:autoSpaceDN w:val="0"/>
        <w:bidi w:val="0"/>
        <w:adjustRightInd w:val="0"/>
        <w:snapToGrid w:val="0"/>
        <w:spacing w:before="160" w:line="600" w:lineRule="exact"/>
        <w:ind w:left="74" w:right="108" w:firstLine="641"/>
        <w:jc w:val="both"/>
        <w:textAlignment w:val="baseline"/>
        <w:rPr>
          <w:rFonts w:hint="eastAsia" w:ascii="仿宋_GB2312" w:hAnsi="仿宋" w:eastAsia="仿宋_GB2312" w:cs="仿宋"/>
          <w:spacing w:val="5"/>
          <w:sz w:val="32"/>
          <w:szCs w:val="32"/>
          <w:lang w:eastAsia="zh-CN"/>
        </w:rPr>
      </w:pPr>
      <w:r>
        <w:rPr>
          <w:rFonts w:hint="eastAsia" w:ascii="仿宋_GB2312" w:hAnsi="仿宋" w:eastAsia="仿宋_GB2312" w:cs="仿宋"/>
          <w:spacing w:val="5"/>
          <w:sz w:val="32"/>
          <w:szCs w:val="32"/>
          <w:lang w:eastAsia="zh-CN"/>
        </w:rPr>
        <w:t>一是保障对象。新余市市行政区域内，因市、县（区）人民政府（管委会）依法统一征收农村集体土地而导致失去全部或大部分土地（征地后人均耕地面积不足0.3亩），且在征地时享有农村集体土地承包权的农户中16周岁（含）以上具有本市户籍的在册农民。</w:t>
      </w:r>
    </w:p>
    <w:p>
      <w:pPr>
        <w:keepNext w:val="0"/>
        <w:keepLines w:val="0"/>
        <w:pageBreakBefore w:val="0"/>
        <w:widowControl/>
        <w:kinsoku w:val="0"/>
        <w:wordWrap/>
        <w:overflowPunct/>
        <w:topLinePunct w:val="0"/>
        <w:autoSpaceDE w:val="0"/>
        <w:autoSpaceDN w:val="0"/>
        <w:bidi w:val="0"/>
        <w:adjustRightInd w:val="0"/>
        <w:snapToGrid w:val="0"/>
        <w:spacing w:before="160" w:line="600" w:lineRule="exact"/>
        <w:ind w:left="74" w:right="108" w:firstLine="641"/>
        <w:jc w:val="both"/>
        <w:textAlignment w:val="baseline"/>
        <w:rPr>
          <w:rFonts w:hint="eastAsia" w:ascii="仿宋_GB2312" w:hAnsi="仿宋" w:eastAsia="仿宋_GB2312" w:cs="仿宋"/>
          <w:spacing w:val="5"/>
          <w:sz w:val="32"/>
          <w:szCs w:val="32"/>
          <w:lang w:eastAsia="zh-CN"/>
        </w:rPr>
      </w:pPr>
      <w:r>
        <w:rPr>
          <w:rFonts w:hint="eastAsia" w:ascii="仿宋_GB2312" w:hAnsi="仿宋" w:eastAsia="仿宋_GB2312" w:cs="仿宋"/>
          <w:spacing w:val="5"/>
          <w:sz w:val="32"/>
          <w:szCs w:val="32"/>
          <w:lang w:eastAsia="zh-CN"/>
        </w:rPr>
        <w:t>二是参保办法。符合条件的被征地农民，根据个人意愿自主确定，选择按现行国家统一的城镇职工基本养老保险或城乡居民基本养老保险制度参保，不单独建制度。其中，参加城镇职工基本养老保险的，以灵活就业人员形式，按政策规定从参保时开始向后逐年缴费，不允许</w:t>
      </w:r>
      <w:r>
        <w:rPr>
          <w:rFonts w:hint="eastAsia" w:ascii="仿宋_GB2312" w:hAnsi="仿宋" w:eastAsia="仿宋_GB2312" w:cs="仿宋"/>
          <w:spacing w:val="5"/>
          <w:sz w:val="32"/>
          <w:szCs w:val="32"/>
          <w:lang w:val="en-US" w:eastAsia="zh-CN"/>
        </w:rPr>
        <w:t>往前补缴</w:t>
      </w:r>
      <w:r>
        <w:rPr>
          <w:rFonts w:hint="eastAsia" w:ascii="仿宋_GB2312" w:hAnsi="仿宋" w:eastAsia="仿宋_GB2312" w:cs="仿宋"/>
          <w:spacing w:val="5"/>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60" w:line="600" w:lineRule="exact"/>
        <w:ind w:left="74" w:right="108" w:firstLine="641"/>
        <w:jc w:val="both"/>
        <w:textAlignment w:val="baseline"/>
        <w:rPr>
          <w:rFonts w:hint="eastAsia" w:ascii="仿宋_GB2312" w:hAnsi="仿宋" w:eastAsia="仿宋_GB2312" w:cs="仿宋"/>
          <w:spacing w:val="5"/>
          <w:sz w:val="32"/>
          <w:szCs w:val="32"/>
          <w:lang w:eastAsia="zh-CN"/>
        </w:rPr>
      </w:pPr>
      <w:r>
        <w:rPr>
          <w:rFonts w:hint="eastAsia" w:ascii="仿宋_GB2312" w:hAnsi="仿宋" w:eastAsia="仿宋_GB2312" w:cs="仿宋"/>
          <w:spacing w:val="5"/>
          <w:sz w:val="32"/>
          <w:szCs w:val="32"/>
          <w:lang w:eastAsia="zh-CN"/>
        </w:rPr>
        <w:t>三是政府补贴标准。对于符合条件的被征地农民，给予补贴，帮助参保。</w:t>
      </w:r>
      <w:r>
        <w:rPr>
          <w:rFonts w:hint="eastAsia" w:ascii="仿宋_GB2312" w:hAnsi="仿宋" w:eastAsia="仿宋_GB2312" w:cs="仿宋"/>
          <w:spacing w:val="5"/>
          <w:sz w:val="32"/>
          <w:szCs w:val="32"/>
          <w:lang w:val="en-US" w:eastAsia="zh-CN"/>
        </w:rPr>
        <w:t>政府</w:t>
      </w:r>
      <w:r>
        <w:rPr>
          <w:rFonts w:hint="eastAsia" w:ascii="仿宋_GB2312" w:hAnsi="仿宋" w:eastAsia="仿宋_GB2312" w:cs="仿宋"/>
          <w:spacing w:val="5"/>
          <w:sz w:val="32"/>
          <w:szCs w:val="32"/>
          <w:lang w:eastAsia="zh-CN"/>
        </w:rPr>
        <w:t>缴费补贴只用于补贴被征地农民参保缴费，缴费补贴年限统一为最长不超过15年。缴费补贴金额按年核定，标准按</w:t>
      </w:r>
      <w:r>
        <w:rPr>
          <w:rFonts w:hint="eastAsia" w:ascii="仿宋_GB2312" w:hAnsi="仿宋" w:eastAsia="仿宋_GB2312" w:cs="仿宋"/>
          <w:spacing w:val="5"/>
          <w:sz w:val="32"/>
          <w:szCs w:val="32"/>
          <w:lang w:val="en-US" w:eastAsia="zh-CN"/>
        </w:rPr>
        <w:t>当年</w:t>
      </w:r>
      <w:r>
        <w:rPr>
          <w:rFonts w:hint="eastAsia" w:ascii="仿宋_GB2312" w:hAnsi="仿宋" w:eastAsia="仿宋_GB2312" w:cs="仿宋"/>
          <w:spacing w:val="5"/>
          <w:sz w:val="32"/>
          <w:szCs w:val="32"/>
          <w:lang w:eastAsia="zh-CN"/>
        </w:rPr>
        <w:t>执行的全省</w:t>
      </w:r>
      <w:r>
        <w:rPr>
          <w:rFonts w:hint="eastAsia" w:ascii="仿宋_GB2312" w:hAnsi="仿宋" w:eastAsia="仿宋_GB2312" w:cs="仿宋"/>
          <w:spacing w:val="5"/>
          <w:sz w:val="32"/>
          <w:szCs w:val="32"/>
          <w:lang w:val="en-US" w:eastAsia="zh-CN"/>
        </w:rPr>
        <w:t>全口径</w:t>
      </w:r>
      <w:r>
        <w:rPr>
          <w:rFonts w:hint="eastAsia" w:ascii="仿宋_GB2312" w:hAnsi="仿宋" w:eastAsia="仿宋_GB2312" w:cs="仿宋"/>
          <w:spacing w:val="5"/>
          <w:sz w:val="32"/>
          <w:szCs w:val="32"/>
          <w:lang w:eastAsia="zh-CN"/>
        </w:rPr>
        <w:t>城镇单位就业人员平均工资的60%为基数，再乘以12%比例计算。无论选择</w:t>
      </w:r>
      <w:r>
        <w:rPr>
          <w:rFonts w:hint="eastAsia" w:ascii="仿宋_GB2312" w:hAnsi="仿宋" w:eastAsia="仿宋_GB2312" w:cs="仿宋"/>
          <w:spacing w:val="5"/>
          <w:sz w:val="32"/>
          <w:szCs w:val="32"/>
          <w:lang w:val="en-US" w:eastAsia="zh-CN"/>
        </w:rPr>
        <w:t>哪种制度参保</w:t>
      </w:r>
      <w:r>
        <w:rPr>
          <w:rFonts w:hint="eastAsia" w:ascii="仿宋_GB2312" w:hAnsi="仿宋" w:eastAsia="仿宋_GB2312" w:cs="仿宋"/>
          <w:spacing w:val="5"/>
          <w:sz w:val="32"/>
          <w:szCs w:val="32"/>
          <w:lang w:eastAsia="zh-CN"/>
        </w:rPr>
        <w:t>，均享受同等标准的政府缴费补贴。</w:t>
      </w:r>
    </w:p>
    <w:p>
      <w:pPr>
        <w:keepNext w:val="0"/>
        <w:keepLines w:val="0"/>
        <w:pageBreakBefore w:val="0"/>
        <w:widowControl/>
        <w:kinsoku w:val="0"/>
        <w:wordWrap/>
        <w:overflowPunct/>
        <w:topLinePunct w:val="0"/>
        <w:autoSpaceDE w:val="0"/>
        <w:autoSpaceDN w:val="0"/>
        <w:bidi w:val="0"/>
        <w:adjustRightInd w:val="0"/>
        <w:snapToGrid w:val="0"/>
        <w:spacing w:before="160" w:line="600" w:lineRule="exact"/>
        <w:ind w:left="74" w:right="108" w:firstLine="641"/>
        <w:jc w:val="both"/>
        <w:textAlignment w:val="baseline"/>
        <w:rPr>
          <w:rFonts w:hint="eastAsia" w:ascii="仿宋_GB2312" w:hAnsi="仿宋" w:eastAsia="仿宋_GB2312" w:cs="仿宋"/>
          <w:spacing w:val="5"/>
          <w:sz w:val="32"/>
          <w:szCs w:val="32"/>
          <w:lang w:eastAsia="zh-CN"/>
        </w:rPr>
      </w:pPr>
      <w:r>
        <w:rPr>
          <w:rFonts w:hint="eastAsia" w:ascii="仿宋_GB2312" w:hAnsi="仿宋" w:eastAsia="仿宋_GB2312" w:cs="仿宋"/>
          <w:spacing w:val="5"/>
          <w:sz w:val="32"/>
          <w:szCs w:val="32"/>
          <w:lang w:eastAsia="zh-CN"/>
        </w:rPr>
        <w:t>四是补贴资金筹集</w:t>
      </w:r>
      <w:r>
        <w:rPr>
          <w:rFonts w:hint="eastAsia" w:ascii="仿宋_GB2312" w:hAnsi="仿宋" w:eastAsia="仿宋_GB2312" w:cs="仿宋"/>
          <w:spacing w:val="5"/>
          <w:sz w:val="32"/>
          <w:szCs w:val="32"/>
          <w:lang w:val="en-US" w:eastAsia="zh-CN"/>
        </w:rPr>
        <w:t>与</w:t>
      </w:r>
      <w:r>
        <w:rPr>
          <w:rFonts w:hint="eastAsia" w:ascii="仿宋_GB2312" w:hAnsi="仿宋" w:eastAsia="仿宋_GB2312" w:cs="仿宋"/>
          <w:spacing w:val="5"/>
          <w:sz w:val="32"/>
          <w:szCs w:val="32"/>
          <w:lang w:eastAsia="zh-CN"/>
        </w:rPr>
        <w:t>管理。明确政府缴费补贴所需资金从国有土地有偿使用收入提取、上级奖励资金、当地财政补助资金等统筹安排。各</w:t>
      </w:r>
      <w:r>
        <w:rPr>
          <w:rFonts w:hint="eastAsia" w:ascii="仿宋_GB2312" w:hAnsi="仿宋" w:eastAsia="仿宋_GB2312" w:cs="仿宋"/>
          <w:spacing w:val="5"/>
          <w:sz w:val="32"/>
          <w:szCs w:val="32"/>
          <w:lang w:val="en-US" w:eastAsia="zh-CN"/>
        </w:rPr>
        <w:t>地</w:t>
      </w:r>
      <w:r>
        <w:rPr>
          <w:rFonts w:hint="eastAsia" w:ascii="仿宋_GB2312" w:hAnsi="仿宋" w:eastAsia="仿宋_GB2312" w:cs="仿宋"/>
          <w:spacing w:val="5"/>
          <w:sz w:val="32"/>
          <w:szCs w:val="32"/>
          <w:lang w:eastAsia="zh-CN"/>
        </w:rPr>
        <w:t>组织用地报批时，</w:t>
      </w:r>
      <w:r>
        <w:rPr>
          <w:rFonts w:hint="eastAsia" w:ascii="仿宋_GB2312" w:hAnsi="仿宋" w:eastAsia="仿宋_GB2312" w:cs="仿宋"/>
          <w:spacing w:val="5"/>
          <w:sz w:val="32"/>
          <w:szCs w:val="32"/>
          <w:lang w:val="en-US" w:eastAsia="zh-CN"/>
        </w:rPr>
        <w:t>社会保障资金统一预存</w:t>
      </w:r>
      <w:r>
        <w:rPr>
          <w:rFonts w:hint="eastAsia" w:ascii="仿宋_GB2312" w:hAnsi="仿宋" w:eastAsia="仿宋_GB2312" w:cs="仿宋"/>
          <w:spacing w:val="5"/>
          <w:sz w:val="32"/>
          <w:szCs w:val="32"/>
          <w:lang w:eastAsia="zh-CN"/>
        </w:rPr>
        <w:t>市级人社部门，预存资金不足以支付政府缴费补贴的，</w:t>
      </w:r>
      <w:r>
        <w:rPr>
          <w:rFonts w:hint="eastAsia" w:ascii="仿宋_GB2312" w:hAnsi="仿宋" w:eastAsia="仿宋_GB2312" w:cs="仿宋"/>
          <w:spacing w:val="5"/>
          <w:sz w:val="32"/>
          <w:szCs w:val="32"/>
          <w:lang w:val="en-US" w:eastAsia="zh-CN"/>
        </w:rPr>
        <w:t>缺口</w:t>
      </w:r>
      <w:r>
        <w:rPr>
          <w:rFonts w:hint="eastAsia" w:ascii="仿宋_GB2312" w:hAnsi="仿宋" w:eastAsia="仿宋_GB2312" w:cs="仿宋"/>
          <w:spacing w:val="5"/>
          <w:sz w:val="32"/>
          <w:szCs w:val="32"/>
          <w:lang w:eastAsia="zh-CN"/>
        </w:rPr>
        <w:t>由</w:t>
      </w:r>
      <w:r>
        <w:rPr>
          <w:rFonts w:hint="eastAsia" w:ascii="仿宋_GB2312" w:hAnsi="仿宋" w:eastAsia="仿宋_GB2312" w:cs="仿宋"/>
          <w:spacing w:val="5"/>
          <w:sz w:val="32"/>
          <w:szCs w:val="32"/>
          <w:lang w:val="en-US" w:eastAsia="zh-CN"/>
        </w:rPr>
        <w:t>各级</w:t>
      </w:r>
      <w:r>
        <w:rPr>
          <w:rFonts w:hint="eastAsia" w:ascii="仿宋_GB2312" w:hAnsi="仿宋" w:eastAsia="仿宋_GB2312" w:cs="仿宋"/>
          <w:spacing w:val="5"/>
          <w:sz w:val="32"/>
          <w:szCs w:val="32"/>
          <w:lang w:eastAsia="zh-CN"/>
        </w:rPr>
        <w:t>政府承担。同时明确被征地农民基本养老保险缴费补贴纳入征地成本，并作为征地的前置条件。</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黑体" w:hAnsi="黑体" w:eastAsia="黑体" w:cs="黑体"/>
          <w:color w:val="auto"/>
          <w:sz w:val="32"/>
          <w:szCs w:val="32"/>
          <w:lang w:val="en-US" w:eastAsia="zh-CN"/>
        </w:rPr>
        <w:t>三</w:t>
      </w:r>
      <w:r>
        <w:rPr>
          <w:rFonts w:hint="eastAsia" w:ascii="黑体" w:hAnsi="黑体" w:eastAsia="黑体" w:cs="黑体"/>
          <w:color w:val="auto"/>
          <w:sz w:val="32"/>
          <w:szCs w:val="32"/>
        </w:rPr>
        <w:t>、</w:t>
      </w:r>
      <w:r>
        <w:rPr>
          <w:rFonts w:hint="eastAsia" w:ascii="黑体" w:hAnsi="黑体" w:eastAsia="黑体" w:cs="黑体"/>
          <w:color w:val="auto"/>
          <w:sz w:val="32"/>
          <w:szCs w:val="32"/>
          <w:lang w:val="en-US" w:eastAsia="zh-CN"/>
        </w:rPr>
        <w:t>基本原则</w:t>
      </w:r>
    </w:p>
    <w:p>
      <w:pPr>
        <w:keepNext w:val="0"/>
        <w:keepLines w:val="0"/>
        <w:pageBreakBefore w:val="0"/>
        <w:widowControl/>
        <w:kinsoku w:val="0"/>
        <w:wordWrap/>
        <w:overflowPunct/>
        <w:topLinePunct w:val="0"/>
        <w:autoSpaceDE w:val="0"/>
        <w:autoSpaceDN w:val="0"/>
        <w:bidi w:val="0"/>
        <w:adjustRightInd w:val="0"/>
        <w:snapToGrid w:val="0"/>
        <w:spacing w:before="160" w:line="600" w:lineRule="exact"/>
        <w:ind w:left="74" w:right="108" w:firstLine="641"/>
        <w:jc w:val="both"/>
        <w:textAlignment w:val="baseline"/>
        <w:rPr>
          <w:rFonts w:hint="eastAsia" w:ascii="仿宋_GB2312" w:hAnsi="仿宋" w:eastAsia="仿宋_GB2312" w:cs="仿宋"/>
          <w:spacing w:val="5"/>
          <w:sz w:val="32"/>
          <w:szCs w:val="32"/>
          <w:lang w:eastAsia="zh-CN"/>
        </w:rPr>
      </w:pPr>
      <w:r>
        <w:rPr>
          <w:rFonts w:hint="eastAsia" w:ascii="仿宋_GB2312" w:hAnsi="仿宋" w:eastAsia="仿宋_GB2312" w:cs="仿宋"/>
          <w:spacing w:val="5"/>
          <w:sz w:val="32"/>
          <w:szCs w:val="32"/>
          <w:lang w:val="en-US" w:eastAsia="zh-CN"/>
        </w:rPr>
        <w:t>一是</w:t>
      </w:r>
      <w:r>
        <w:rPr>
          <w:rFonts w:hint="eastAsia" w:ascii="仿宋_GB2312" w:hAnsi="仿宋" w:eastAsia="仿宋_GB2312" w:cs="仿宋"/>
          <w:spacing w:val="5"/>
          <w:sz w:val="32"/>
          <w:szCs w:val="32"/>
          <w:lang w:eastAsia="zh-CN"/>
        </w:rPr>
        <w:t>制度可持续性原则。全面对接现行国家基本养老保险政策，不单独建立被征地农民养老保险制度，从而做到政策有依据，办法管长远，待遇可持续，被征地农民权益有保障。</w:t>
      </w:r>
    </w:p>
    <w:p>
      <w:pPr>
        <w:keepNext w:val="0"/>
        <w:keepLines w:val="0"/>
        <w:pageBreakBefore w:val="0"/>
        <w:widowControl/>
        <w:kinsoku w:val="0"/>
        <w:wordWrap/>
        <w:overflowPunct/>
        <w:topLinePunct w:val="0"/>
        <w:autoSpaceDE w:val="0"/>
        <w:autoSpaceDN w:val="0"/>
        <w:bidi w:val="0"/>
        <w:adjustRightInd w:val="0"/>
        <w:snapToGrid w:val="0"/>
        <w:spacing w:before="160" w:line="600" w:lineRule="exact"/>
        <w:ind w:left="74" w:right="108" w:firstLine="641"/>
        <w:jc w:val="both"/>
        <w:textAlignment w:val="baseline"/>
        <w:rPr>
          <w:rFonts w:hint="eastAsia" w:ascii="仿宋_GB2312" w:hAnsi="仿宋" w:eastAsia="仿宋_GB2312" w:cs="仿宋"/>
          <w:spacing w:val="5"/>
          <w:sz w:val="32"/>
          <w:szCs w:val="32"/>
          <w:lang w:eastAsia="zh-CN"/>
        </w:rPr>
      </w:pPr>
      <w:r>
        <w:rPr>
          <w:rFonts w:hint="eastAsia" w:ascii="仿宋_GB2312" w:hAnsi="仿宋" w:eastAsia="仿宋_GB2312" w:cs="仿宋"/>
          <w:spacing w:val="5"/>
          <w:sz w:val="32"/>
          <w:szCs w:val="32"/>
          <w:lang w:val="en-US" w:eastAsia="zh-CN"/>
        </w:rPr>
        <w:t>二是个</w:t>
      </w:r>
      <w:r>
        <w:rPr>
          <w:rFonts w:hint="eastAsia" w:ascii="仿宋_GB2312" w:hAnsi="仿宋" w:eastAsia="仿宋_GB2312" w:cs="仿宋"/>
          <w:spacing w:val="5"/>
          <w:sz w:val="32"/>
          <w:szCs w:val="32"/>
          <w:lang w:eastAsia="zh-CN"/>
        </w:rPr>
        <w:t>人自愿选择原则。被征地农民参加城镇职工</w:t>
      </w:r>
      <w:r>
        <w:rPr>
          <w:rFonts w:hint="eastAsia" w:ascii="仿宋_GB2312" w:hAnsi="仿宋" w:eastAsia="仿宋_GB2312" w:cs="仿宋"/>
          <w:spacing w:val="5"/>
          <w:sz w:val="32"/>
          <w:szCs w:val="32"/>
          <w:lang w:val="en-US" w:eastAsia="zh-CN"/>
        </w:rPr>
        <w:t>基本</w:t>
      </w:r>
      <w:r>
        <w:rPr>
          <w:rFonts w:hint="eastAsia" w:ascii="仿宋_GB2312" w:hAnsi="仿宋" w:eastAsia="仿宋_GB2312" w:cs="仿宋"/>
          <w:spacing w:val="5"/>
          <w:sz w:val="32"/>
          <w:szCs w:val="32"/>
          <w:lang w:eastAsia="zh-CN"/>
        </w:rPr>
        <w:t>养老保险或城乡居民</w:t>
      </w:r>
      <w:r>
        <w:rPr>
          <w:rFonts w:hint="eastAsia" w:ascii="仿宋_GB2312" w:hAnsi="仿宋" w:eastAsia="仿宋_GB2312" w:cs="仿宋"/>
          <w:spacing w:val="5"/>
          <w:sz w:val="32"/>
          <w:szCs w:val="32"/>
          <w:lang w:val="en-US" w:eastAsia="zh-CN"/>
        </w:rPr>
        <w:t>基本</w:t>
      </w:r>
      <w:r>
        <w:rPr>
          <w:rFonts w:hint="eastAsia" w:ascii="仿宋_GB2312" w:hAnsi="仿宋" w:eastAsia="仿宋_GB2312" w:cs="仿宋"/>
          <w:spacing w:val="5"/>
          <w:sz w:val="32"/>
          <w:szCs w:val="32"/>
          <w:lang w:eastAsia="zh-CN"/>
        </w:rPr>
        <w:t>养老保险，完全根据个人意愿来确定，切实满足被征地农民的实际需求，有利于实现</w:t>
      </w:r>
      <w:r>
        <w:rPr>
          <w:rFonts w:hint="eastAsia" w:ascii="仿宋_GB2312" w:hAnsi="仿宋" w:eastAsia="仿宋_GB2312" w:cs="仿宋"/>
          <w:spacing w:val="5"/>
          <w:sz w:val="32"/>
          <w:szCs w:val="32"/>
          <w:lang w:val="en-US" w:eastAsia="zh-CN"/>
        </w:rPr>
        <w:t>制度和人员全覆盖</w:t>
      </w:r>
      <w:r>
        <w:rPr>
          <w:rFonts w:hint="eastAsia" w:ascii="仿宋_GB2312" w:hAnsi="仿宋" w:eastAsia="仿宋_GB2312" w:cs="仿宋"/>
          <w:spacing w:val="5"/>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60" w:line="600" w:lineRule="exact"/>
        <w:ind w:left="74" w:right="108" w:firstLine="641"/>
        <w:jc w:val="both"/>
        <w:textAlignment w:val="baseline"/>
        <w:rPr>
          <w:rFonts w:hint="eastAsia" w:ascii="仿宋_GB2312" w:hAnsi="仿宋" w:eastAsia="仿宋_GB2312" w:cs="仿宋"/>
          <w:spacing w:val="5"/>
          <w:sz w:val="32"/>
          <w:szCs w:val="32"/>
          <w:lang w:eastAsia="zh-CN"/>
        </w:rPr>
      </w:pPr>
      <w:r>
        <w:rPr>
          <w:rFonts w:hint="eastAsia" w:ascii="仿宋_GB2312" w:hAnsi="仿宋" w:eastAsia="仿宋_GB2312" w:cs="仿宋"/>
          <w:spacing w:val="5"/>
          <w:sz w:val="32"/>
          <w:szCs w:val="32"/>
          <w:lang w:val="en-US" w:eastAsia="zh-CN"/>
        </w:rPr>
        <w:t>三是</w:t>
      </w:r>
      <w:r>
        <w:rPr>
          <w:rFonts w:hint="eastAsia" w:ascii="仿宋_GB2312" w:hAnsi="仿宋" w:eastAsia="仿宋_GB2312" w:cs="仿宋"/>
          <w:spacing w:val="5"/>
          <w:sz w:val="32"/>
          <w:szCs w:val="32"/>
          <w:lang w:eastAsia="zh-CN"/>
        </w:rPr>
        <w:t>实行政府补贴与个人缴费相结合的原则。政府通过缴费补贴承担起大部分60%的缴费责任，帮助和促进被征地农民参保。同时，缴费补贴资金的功能定位是帮助缴费个人必须按暂行办法规定参保缴费，否则不给予补贴。</w:t>
      </w:r>
    </w:p>
    <w:p>
      <w:pPr>
        <w:keepNext w:val="0"/>
        <w:keepLines w:val="0"/>
        <w:pageBreakBefore w:val="0"/>
        <w:widowControl/>
        <w:kinsoku w:val="0"/>
        <w:wordWrap/>
        <w:overflowPunct/>
        <w:topLinePunct w:val="0"/>
        <w:autoSpaceDE w:val="0"/>
        <w:autoSpaceDN w:val="0"/>
        <w:bidi w:val="0"/>
        <w:adjustRightInd w:val="0"/>
        <w:snapToGrid w:val="0"/>
        <w:spacing w:before="160" w:line="600" w:lineRule="exact"/>
        <w:ind w:left="74" w:right="108" w:firstLine="641"/>
        <w:jc w:val="both"/>
        <w:textAlignment w:val="baseline"/>
        <w:rPr>
          <w:rFonts w:hint="eastAsia" w:ascii="仿宋_GB2312" w:hAnsi="仿宋_GB2312" w:cs="仿宋_GB2312"/>
          <w:color w:val="auto"/>
          <w:sz w:val="32"/>
          <w:szCs w:val="32"/>
          <w:lang w:val="en-US" w:eastAsia="zh-CN"/>
        </w:rPr>
      </w:pPr>
      <w:r>
        <w:rPr>
          <w:rFonts w:hint="eastAsia" w:ascii="仿宋_GB2312" w:hAnsi="仿宋" w:eastAsia="仿宋_GB2312" w:cs="仿宋"/>
          <w:spacing w:val="5"/>
          <w:sz w:val="32"/>
          <w:szCs w:val="32"/>
          <w:lang w:eastAsia="zh-CN"/>
        </w:rPr>
        <w:t>四</w:t>
      </w:r>
      <w:r>
        <w:rPr>
          <w:rFonts w:hint="eastAsia" w:ascii="仿宋_GB2312" w:hAnsi="仿宋" w:eastAsia="仿宋_GB2312" w:cs="仿宋"/>
          <w:spacing w:val="5"/>
          <w:sz w:val="32"/>
          <w:szCs w:val="32"/>
          <w:lang w:val="en-US" w:eastAsia="zh-CN"/>
        </w:rPr>
        <w:t>是</w:t>
      </w:r>
      <w:r>
        <w:rPr>
          <w:rFonts w:hint="eastAsia" w:ascii="仿宋_GB2312" w:hAnsi="仿宋" w:eastAsia="仿宋_GB2312" w:cs="仿宋"/>
          <w:spacing w:val="5"/>
          <w:sz w:val="32"/>
          <w:szCs w:val="32"/>
          <w:lang w:eastAsia="zh-CN"/>
        </w:rPr>
        <w:t>公平性原则。被征地农民无论选择参加哪种养老保险制度，均按照相同标准给予最长不超过15年的缴费补贴。</w:t>
      </w:r>
      <w:r>
        <w:rPr>
          <w:rFonts w:hint="eastAsia" w:ascii="仿宋_GB2312" w:hAnsi="仿宋" w:eastAsia="仿宋_GB2312" w:cs="仿宋"/>
          <w:spacing w:val="5"/>
          <w:sz w:val="32"/>
          <w:szCs w:val="32"/>
          <w:lang w:val="en-US" w:eastAsia="zh-CN"/>
        </w:rPr>
        <w:t xml:space="preserve"> </w:t>
      </w:r>
      <w:r>
        <w:rPr>
          <w:rFonts w:hint="eastAsia" w:ascii="仿宋_GB2312" w:hAnsi="仿宋_GB2312" w:cs="仿宋_GB2312"/>
          <w:color w:val="auto"/>
          <w:sz w:val="32"/>
          <w:szCs w:val="32"/>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60" w:line="600" w:lineRule="exact"/>
        <w:ind w:left="74" w:right="108" w:firstLine="641"/>
        <w:jc w:val="both"/>
        <w:textAlignment w:val="baseline"/>
        <w:rPr>
          <w:rFonts w:ascii="仿宋_GB2312" w:hAnsi="仿宋" w:eastAsia="仿宋_GB2312" w:cs="仿宋"/>
          <w:color w:val="000000" w:themeColor="text1"/>
          <w:spacing w:val="5"/>
          <w:sz w:val="32"/>
          <w:szCs w:val="32"/>
        </w:rPr>
      </w:pPr>
    </w:p>
    <w:sectPr>
      <w:footerReference r:id="rId3" w:type="default"/>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000" w:usb1="00000000" w:usb2="00000010"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中宋"/>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roma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right="97"/>
      <w:jc w:val="both"/>
      <w:rPr>
        <w:rFonts w:ascii="宋体" w:hAnsi="宋体" w:eastAsia="宋体" w:cs="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FlZjlhYjc2OTFkYTU1YmNmZDI3Y2U4YTBmMjkzYTcifQ=="/>
  </w:docVars>
  <w:rsids>
    <w:rsidRoot w:val="007F2767"/>
    <w:rsid w:val="00061646"/>
    <w:rsid w:val="00070130"/>
    <w:rsid w:val="000F4AED"/>
    <w:rsid w:val="00133820"/>
    <w:rsid w:val="00142EC9"/>
    <w:rsid w:val="00167558"/>
    <w:rsid w:val="001C3F47"/>
    <w:rsid w:val="001E5478"/>
    <w:rsid w:val="0020433C"/>
    <w:rsid w:val="002A4D44"/>
    <w:rsid w:val="002C44C6"/>
    <w:rsid w:val="003444F9"/>
    <w:rsid w:val="00361F00"/>
    <w:rsid w:val="00362F67"/>
    <w:rsid w:val="00372D13"/>
    <w:rsid w:val="003F7B08"/>
    <w:rsid w:val="00411E55"/>
    <w:rsid w:val="00475B16"/>
    <w:rsid w:val="00492A23"/>
    <w:rsid w:val="00572D08"/>
    <w:rsid w:val="005841F2"/>
    <w:rsid w:val="005A7106"/>
    <w:rsid w:val="005D3B64"/>
    <w:rsid w:val="00627E28"/>
    <w:rsid w:val="006610E2"/>
    <w:rsid w:val="00677881"/>
    <w:rsid w:val="00732089"/>
    <w:rsid w:val="00777F5B"/>
    <w:rsid w:val="007F16DF"/>
    <w:rsid w:val="007F2767"/>
    <w:rsid w:val="00802B5B"/>
    <w:rsid w:val="00811789"/>
    <w:rsid w:val="008578EA"/>
    <w:rsid w:val="008832DB"/>
    <w:rsid w:val="008C7FE4"/>
    <w:rsid w:val="00916012"/>
    <w:rsid w:val="00935D7D"/>
    <w:rsid w:val="00942CA9"/>
    <w:rsid w:val="00A50EFE"/>
    <w:rsid w:val="00A73361"/>
    <w:rsid w:val="00A97329"/>
    <w:rsid w:val="00AA71DB"/>
    <w:rsid w:val="00AD4723"/>
    <w:rsid w:val="00AE099A"/>
    <w:rsid w:val="00B2401D"/>
    <w:rsid w:val="00B24CD0"/>
    <w:rsid w:val="00B75E36"/>
    <w:rsid w:val="00B94C32"/>
    <w:rsid w:val="00BE7272"/>
    <w:rsid w:val="00C43CA0"/>
    <w:rsid w:val="00C55A43"/>
    <w:rsid w:val="00CA79BD"/>
    <w:rsid w:val="00CC33B2"/>
    <w:rsid w:val="00CE1E31"/>
    <w:rsid w:val="00D111F1"/>
    <w:rsid w:val="00D8644D"/>
    <w:rsid w:val="00D92095"/>
    <w:rsid w:val="00DC6596"/>
    <w:rsid w:val="00DC7075"/>
    <w:rsid w:val="00DF34BB"/>
    <w:rsid w:val="00E145A9"/>
    <w:rsid w:val="00E33F90"/>
    <w:rsid w:val="00E66AAE"/>
    <w:rsid w:val="00F31627"/>
    <w:rsid w:val="00F526CB"/>
    <w:rsid w:val="00F81D35"/>
    <w:rsid w:val="00FA07ED"/>
    <w:rsid w:val="00FB6A82"/>
    <w:rsid w:val="07861A4A"/>
    <w:rsid w:val="09012726"/>
    <w:rsid w:val="13D513AD"/>
    <w:rsid w:val="1F0F6CF3"/>
    <w:rsid w:val="1FB83001"/>
    <w:rsid w:val="1FF8D903"/>
    <w:rsid w:val="233F4124"/>
    <w:rsid w:val="2D5F6C64"/>
    <w:rsid w:val="2FFC2C4F"/>
    <w:rsid w:val="37FFAAA4"/>
    <w:rsid w:val="3F6BDD0F"/>
    <w:rsid w:val="3F80388E"/>
    <w:rsid w:val="50930D14"/>
    <w:rsid w:val="57BF6134"/>
    <w:rsid w:val="5B9A63B3"/>
    <w:rsid w:val="5C1D5B1C"/>
    <w:rsid w:val="62ED4D4A"/>
    <w:rsid w:val="65BBF0D2"/>
    <w:rsid w:val="67DF576E"/>
    <w:rsid w:val="68765789"/>
    <w:rsid w:val="6F0E3466"/>
    <w:rsid w:val="6FFA40D9"/>
    <w:rsid w:val="73DF59B6"/>
    <w:rsid w:val="77F6F5BD"/>
    <w:rsid w:val="77FB59A5"/>
    <w:rsid w:val="77FEC2A9"/>
    <w:rsid w:val="77FFB121"/>
    <w:rsid w:val="79F7F8BF"/>
    <w:rsid w:val="7B7C1CEC"/>
    <w:rsid w:val="7C7503CF"/>
    <w:rsid w:val="7D77D807"/>
    <w:rsid w:val="7DBF62C3"/>
    <w:rsid w:val="7DE94BEB"/>
    <w:rsid w:val="7DFCDC4A"/>
    <w:rsid w:val="7E3FEE7F"/>
    <w:rsid w:val="7F4B4975"/>
    <w:rsid w:val="7F5FFA51"/>
    <w:rsid w:val="7FDF3CD1"/>
    <w:rsid w:val="AE7357D1"/>
    <w:rsid w:val="B5FF037B"/>
    <w:rsid w:val="BDFBF23F"/>
    <w:rsid w:val="CBF3E10B"/>
    <w:rsid w:val="CEFC9F9D"/>
    <w:rsid w:val="CFFE8AFC"/>
    <w:rsid w:val="DAFF93A8"/>
    <w:rsid w:val="DCFFD961"/>
    <w:rsid w:val="EFFF17C7"/>
    <w:rsid w:val="F55F6948"/>
    <w:rsid w:val="F5FF5D0F"/>
    <w:rsid w:val="F97DDD4F"/>
    <w:rsid w:val="FAFD3639"/>
    <w:rsid w:val="FBB6E18C"/>
    <w:rsid w:val="FDFE9CF3"/>
    <w:rsid w:val="FEE7A463"/>
    <w:rsid w:val="FFFDDB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afterLines="0"/>
    </w:pPr>
  </w:style>
  <w:style w:type="paragraph" w:styleId="3">
    <w:name w:val="footer"/>
    <w:basedOn w:val="1"/>
    <w:link w:val="8"/>
    <w:unhideWhenUsed/>
    <w:qFormat/>
    <w:uiPriority w:val="99"/>
    <w:pPr>
      <w:tabs>
        <w:tab w:val="center" w:pos="4153"/>
        <w:tab w:val="right" w:pos="8306"/>
      </w:tabs>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jc w:val="center"/>
    </w:pPr>
    <w:rPr>
      <w:sz w:val="18"/>
      <w:szCs w:val="18"/>
    </w:rPr>
  </w:style>
  <w:style w:type="character" w:customStyle="1" w:styleId="7">
    <w:name w:val="页眉 字符"/>
    <w:basedOn w:val="6"/>
    <w:link w:val="4"/>
    <w:qFormat/>
    <w:uiPriority w:val="99"/>
    <w:rPr>
      <w:rFonts w:ascii="Arial" w:hAnsi="Arial" w:cs="Arial"/>
      <w:snapToGrid w:val="0"/>
      <w:color w:val="000000"/>
      <w:kern w:val="0"/>
      <w:sz w:val="18"/>
      <w:szCs w:val="18"/>
    </w:rPr>
  </w:style>
  <w:style w:type="character" w:customStyle="1" w:styleId="8">
    <w:name w:val="页脚 字符"/>
    <w:basedOn w:val="6"/>
    <w:link w:val="3"/>
    <w:qFormat/>
    <w:uiPriority w:val="99"/>
    <w:rPr>
      <w:rFonts w:ascii="Arial" w:hAnsi="Arial" w:cs="Arial"/>
      <w:snapToGrid w:val="0"/>
      <w:color w:val="000000"/>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3565</Words>
  <Characters>3641</Characters>
  <Lines>30</Lines>
  <Paragraphs>8</Paragraphs>
  <TotalTime>63</TotalTime>
  <ScaleCrop>false</ScaleCrop>
  <LinksUpToDate>false</LinksUpToDate>
  <CharactersWithSpaces>3641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2023-04-12T08:51:00Z</dcterms:created>
  <dc:creator>晏瑜真</dc:creator>
  <cp:lastModifiedBy>user</cp:lastModifiedBy>
  <cp:lastPrinted>2023-05-16T09:33:00Z</cp:lastPrinted>
  <dcterms:modified xsi:type="dcterms:W3CDTF">2023-11-29T09:40:06Z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421CA3D8941E4D3DB9C86C1778528C84_12</vt:lpwstr>
  </property>
</Properties>
</file>