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3FAE65">
      <w:pPr>
        <w:spacing w:line="520" w:lineRule="exact"/>
        <w:jc w:val="center"/>
        <w:rPr>
          <w:rFonts w:ascii="方正小标宋简体" w:eastAsia="方正小标宋简体"/>
          <w:sz w:val="44"/>
          <w:szCs w:val="44"/>
        </w:rPr>
      </w:pPr>
      <w:r>
        <w:rPr>
          <w:rFonts w:hint="eastAsia" w:ascii="方正小标宋简体" w:eastAsia="方正小标宋简体"/>
          <w:sz w:val="44"/>
          <w:szCs w:val="44"/>
        </w:rPr>
        <w:t>《新余市公共数据授权运营管理办法（征求意见稿）》起草说明</w:t>
      </w:r>
    </w:p>
    <w:p w14:paraId="79515AA8">
      <w:pPr>
        <w:spacing w:line="520" w:lineRule="exact"/>
        <w:ind w:firstLine="640" w:firstLineChars="200"/>
        <w:rPr>
          <w:rFonts w:ascii="仿宋_GB2312" w:eastAsia="仿宋_GB2312"/>
          <w:sz w:val="32"/>
          <w:szCs w:val="32"/>
        </w:rPr>
      </w:pPr>
    </w:p>
    <w:p w14:paraId="2608753E">
      <w:pPr>
        <w:spacing w:line="520" w:lineRule="exact"/>
        <w:ind w:firstLine="640" w:firstLineChars="200"/>
        <w:rPr>
          <w:rFonts w:ascii="仿宋_GB2312" w:eastAsia="仿宋_GB2312"/>
          <w:sz w:val="32"/>
          <w:szCs w:val="32"/>
        </w:rPr>
      </w:pPr>
      <w:r>
        <w:rPr>
          <w:rFonts w:hint="eastAsia" w:ascii="仿宋_GB2312" w:eastAsia="仿宋_GB2312"/>
          <w:sz w:val="32"/>
          <w:szCs w:val="32"/>
        </w:rPr>
        <w:t>为贯彻落实党中央国务院和省委省政府关于加快公共数据资源开发利用、推进数据要素市场化配置改革的有关要求，解决公共数据运营过程中因缺少规范性依据所导致的职责不明确、流程不规范、保障不到位等问题，新余市数据局在积极调研全国公共数据授权运营实践经验，深入分析我市公共数据运营现状，以及征求有关部门意见的基础上，结合我市实际，起草了《新余市公共数据授权运营管理办法（征求意见稿）》（以下简称《管理办法》），现将有关情况说明如下：</w:t>
      </w:r>
    </w:p>
    <w:p w14:paraId="7857AA9C">
      <w:pPr>
        <w:spacing w:line="520" w:lineRule="exact"/>
        <w:ind w:firstLine="640" w:firstLineChars="200"/>
        <w:outlineLvl w:val="0"/>
        <w:rPr>
          <w:rFonts w:ascii="黑体" w:hAnsi="黑体" w:eastAsia="黑体"/>
          <w:sz w:val="32"/>
          <w:szCs w:val="32"/>
        </w:rPr>
      </w:pPr>
      <w:r>
        <w:rPr>
          <w:rFonts w:hint="eastAsia" w:ascii="黑体" w:hAnsi="黑体" w:eastAsia="黑体"/>
          <w:sz w:val="32"/>
          <w:szCs w:val="32"/>
        </w:rPr>
        <w:t>一、起草背景</w:t>
      </w:r>
    </w:p>
    <w:p w14:paraId="1EB197C8">
      <w:pPr>
        <w:spacing w:line="520" w:lineRule="exact"/>
        <w:ind w:firstLine="643" w:firstLineChars="200"/>
        <w:outlineLvl w:val="1"/>
        <w:rPr>
          <w:rFonts w:ascii="楷体_GB2312" w:eastAsia="楷体_GB2312"/>
          <w:b/>
          <w:sz w:val="32"/>
          <w:szCs w:val="32"/>
        </w:rPr>
      </w:pPr>
      <w:r>
        <w:rPr>
          <w:rFonts w:hint="eastAsia" w:ascii="楷体_GB2312" w:eastAsia="楷体_GB2312"/>
          <w:b/>
          <w:sz w:val="32"/>
          <w:szCs w:val="32"/>
        </w:rPr>
        <w:t>1.国家和省政策要求</w:t>
      </w:r>
    </w:p>
    <w:p w14:paraId="16E213F5">
      <w:pPr>
        <w:spacing w:line="520" w:lineRule="exact"/>
        <w:ind w:firstLine="640" w:firstLineChars="200"/>
        <w:rPr>
          <w:rFonts w:ascii="仿宋_GB2312" w:eastAsia="仿宋_GB2312"/>
          <w:sz w:val="32"/>
          <w:szCs w:val="32"/>
        </w:rPr>
      </w:pPr>
      <w:r>
        <w:rPr>
          <w:rFonts w:hint="eastAsia" w:ascii="仿宋_GB2312" w:eastAsia="仿宋_GB2312"/>
          <w:sz w:val="32"/>
          <w:szCs w:val="32"/>
        </w:rPr>
        <w:t>《中华人民共和国国民经济和社会发展第十四个五年规划和2035年远景目标纲要》明确提出“开展政府数据授权运营试点，鼓励第三方深化对公共数据的挖掘利用”。</w:t>
      </w:r>
    </w:p>
    <w:p w14:paraId="6772C5B6">
      <w:pPr>
        <w:spacing w:line="520" w:lineRule="exact"/>
        <w:ind w:firstLine="640" w:firstLineChars="200"/>
        <w:rPr>
          <w:rFonts w:ascii="仿宋_GB2312" w:eastAsia="仿宋_GB2312"/>
          <w:sz w:val="32"/>
          <w:szCs w:val="32"/>
        </w:rPr>
      </w:pPr>
      <w:r>
        <w:rPr>
          <w:rFonts w:hint="eastAsia" w:ascii="仿宋_GB2312" w:eastAsia="仿宋_GB2312"/>
          <w:sz w:val="32"/>
          <w:szCs w:val="32"/>
        </w:rPr>
        <w:t>中央深改委第二十六次会议明确提出“要完善数据要素市场化配置机制，推进公共数据、企业数据、个人数据分类分级确权授权使用”。</w:t>
      </w:r>
    </w:p>
    <w:p w14:paraId="0B33319E">
      <w:pPr>
        <w:spacing w:line="520" w:lineRule="exact"/>
        <w:ind w:firstLine="640" w:firstLineChars="200"/>
        <w:rPr>
          <w:rFonts w:ascii="仿宋_GB2312" w:eastAsia="仿宋_GB2312"/>
          <w:sz w:val="32"/>
          <w:szCs w:val="32"/>
        </w:rPr>
      </w:pPr>
      <w:r>
        <w:rPr>
          <w:rFonts w:hint="eastAsia" w:ascii="仿宋_GB2312" w:eastAsia="仿宋_GB2312"/>
          <w:sz w:val="32"/>
          <w:szCs w:val="32"/>
        </w:rPr>
        <w:t>《中共中央 国务院关于构建数据基础制度更好发挥数据要素作用的意见》提出“加强公共数据汇聚共享和开放开发，强化统筹授权使用和管理”，“按照‘原始数据不出域、数据可用不可见’的要求，以模型、核验等产品和服务等形式向社会提供”。</w:t>
      </w:r>
    </w:p>
    <w:p w14:paraId="4BDB9CB6">
      <w:pPr>
        <w:spacing w:line="520" w:lineRule="exact"/>
        <w:ind w:firstLine="640" w:firstLineChars="200"/>
        <w:rPr>
          <w:rFonts w:ascii="仿宋_GB2312" w:eastAsia="仿宋_GB2312"/>
          <w:sz w:val="32"/>
          <w:szCs w:val="32"/>
        </w:rPr>
      </w:pPr>
      <w:r>
        <w:rPr>
          <w:rFonts w:hint="eastAsia" w:ascii="仿宋_GB2312" w:eastAsia="仿宋_GB2312"/>
          <w:sz w:val="32"/>
          <w:szCs w:val="32"/>
        </w:rPr>
        <w:t>国家数据局等17部门联合印发《“数据要素×”三年行动计划（2024—2026年）》，提出要扩大公共数据资源供给，在重点领域、相关区域组织开展公共数据授权运营。</w:t>
      </w:r>
    </w:p>
    <w:p w14:paraId="4C4AC1AD">
      <w:pPr>
        <w:spacing w:line="520" w:lineRule="exact"/>
        <w:ind w:firstLine="640" w:firstLineChars="200"/>
        <w:rPr>
          <w:rFonts w:ascii="仿宋_GB2312" w:eastAsia="仿宋_GB2312"/>
          <w:sz w:val="32"/>
          <w:szCs w:val="32"/>
        </w:rPr>
      </w:pPr>
      <w:r>
        <w:rPr>
          <w:rFonts w:hint="eastAsia" w:ascii="仿宋_GB2312" w:eastAsia="仿宋_GB2312"/>
          <w:sz w:val="32"/>
          <w:szCs w:val="32"/>
        </w:rPr>
        <w:t>《中共中央办公厅、国务院办公厅关于加快公共数据资源开发利用的意见》提出要破除公共数据流通使用的体制性障碍、机制性梗阻，激发共享开放动力，优化公共数据资源配置，释放市场创新活力。</w:t>
      </w:r>
    </w:p>
    <w:p w14:paraId="3CD85CF1">
      <w:pPr>
        <w:spacing w:line="520" w:lineRule="exact"/>
        <w:ind w:firstLine="640" w:firstLineChars="200"/>
        <w:rPr>
          <w:rFonts w:ascii="仿宋_GB2312" w:eastAsia="仿宋_GB2312"/>
          <w:sz w:val="32"/>
          <w:szCs w:val="32"/>
        </w:rPr>
      </w:pPr>
      <w:r>
        <w:rPr>
          <w:rFonts w:hint="eastAsia" w:ascii="仿宋_GB2312" w:eastAsia="仿宋_GB2312"/>
          <w:sz w:val="32"/>
          <w:szCs w:val="32"/>
        </w:rPr>
        <w:t>《江西省关于落实数据基础制度激活数据要素价值促进数字经济高质量发展的实施意见》提出“加快推动数据汇聚共享和开发利用，建立健全数据制度体制机制。”</w:t>
      </w:r>
    </w:p>
    <w:p w14:paraId="6D0B3E87">
      <w:pPr>
        <w:spacing w:line="520" w:lineRule="exact"/>
        <w:ind w:firstLine="643" w:firstLineChars="200"/>
        <w:outlineLvl w:val="1"/>
        <w:rPr>
          <w:rFonts w:ascii="楷体_GB2312" w:eastAsia="楷体_GB2312"/>
          <w:b/>
          <w:sz w:val="32"/>
          <w:szCs w:val="32"/>
        </w:rPr>
      </w:pPr>
      <w:r>
        <w:rPr>
          <w:rFonts w:hint="eastAsia" w:ascii="楷体_GB2312" w:eastAsia="楷体_GB2312"/>
          <w:b/>
          <w:sz w:val="32"/>
          <w:szCs w:val="32"/>
        </w:rPr>
        <w:t>2.数字经济发展支撑</w:t>
      </w:r>
    </w:p>
    <w:p w14:paraId="7BA28AA3">
      <w:pPr>
        <w:spacing w:line="520" w:lineRule="exact"/>
        <w:ind w:firstLine="640" w:firstLineChars="200"/>
        <w:rPr>
          <w:rFonts w:ascii="仿宋_GB2312" w:eastAsia="仿宋_GB2312"/>
          <w:sz w:val="32"/>
          <w:szCs w:val="32"/>
        </w:rPr>
      </w:pPr>
      <w:r>
        <w:rPr>
          <w:rFonts w:hint="eastAsia" w:ascii="仿宋_GB2312" w:eastAsia="仿宋_GB2312"/>
          <w:sz w:val="32"/>
          <w:szCs w:val="32"/>
        </w:rPr>
        <w:t>数据作为新型生产要素，具有重要的价值，公共数据作为数据要素的重要组成部分，是国家重要的基础性战略资源。通过公共数据市场化配置改革，打破政府与市场之间的数据壁垒，促进数据资源的共享和流通，更好发挥数据价值，对改善公共服务、优化营商环境和促进数字经济发展</w:t>
      </w:r>
      <w:r>
        <w:rPr>
          <w:rFonts w:hint="eastAsia" w:ascii="仿宋_GB2312" w:eastAsia="仿宋_GB2312"/>
          <w:sz w:val="32"/>
          <w:szCs w:val="32"/>
          <w:lang w:val="en-US" w:eastAsia="zh-CN"/>
        </w:rPr>
        <w:t>等</w:t>
      </w:r>
      <w:bookmarkStart w:id="0" w:name="_GoBack"/>
      <w:bookmarkEnd w:id="0"/>
      <w:r>
        <w:rPr>
          <w:rFonts w:hint="eastAsia" w:ascii="仿宋_GB2312" w:eastAsia="仿宋_GB2312"/>
          <w:sz w:val="32"/>
          <w:szCs w:val="32"/>
        </w:rPr>
        <w:t>方面发挥重要作用。</w:t>
      </w:r>
    </w:p>
    <w:p w14:paraId="112C1461">
      <w:pPr>
        <w:spacing w:line="520" w:lineRule="exact"/>
        <w:ind w:firstLine="643" w:firstLineChars="200"/>
        <w:outlineLvl w:val="1"/>
        <w:rPr>
          <w:rFonts w:ascii="楷体_GB2312" w:eastAsia="楷体_GB2312"/>
          <w:b/>
          <w:sz w:val="32"/>
          <w:szCs w:val="32"/>
        </w:rPr>
      </w:pPr>
      <w:r>
        <w:rPr>
          <w:rFonts w:hint="eastAsia" w:ascii="楷体_GB2312" w:eastAsia="楷体_GB2312"/>
          <w:b/>
          <w:sz w:val="32"/>
          <w:szCs w:val="32"/>
        </w:rPr>
        <w:t>3</w:t>
      </w:r>
      <w:r>
        <w:rPr>
          <w:rFonts w:ascii="楷体_GB2312" w:eastAsia="楷体_GB2312"/>
          <w:b/>
          <w:sz w:val="32"/>
          <w:szCs w:val="32"/>
        </w:rPr>
        <w:t>.</w:t>
      </w:r>
      <w:r>
        <w:rPr>
          <w:rFonts w:hint="eastAsia" w:ascii="楷体_GB2312" w:eastAsia="楷体_GB2312"/>
          <w:b/>
          <w:sz w:val="32"/>
          <w:szCs w:val="32"/>
        </w:rPr>
        <w:t>数字化转型需要</w:t>
      </w:r>
    </w:p>
    <w:p w14:paraId="2C679F00">
      <w:pPr>
        <w:spacing w:line="520" w:lineRule="exact"/>
        <w:ind w:firstLine="640" w:firstLineChars="200"/>
        <w:rPr>
          <w:rFonts w:ascii="仿宋_GB2312" w:eastAsia="仿宋_GB2312"/>
          <w:sz w:val="32"/>
          <w:szCs w:val="32"/>
        </w:rPr>
      </w:pPr>
      <w:r>
        <w:rPr>
          <w:rFonts w:hint="eastAsia" w:ascii="仿宋_GB2312" w:eastAsia="仿宋_GB2312"/>
          <w:sz w:val="32"/>
          <w:szCs w:val="32"/>
        </w:rPr>
        <w:t>目前，北京、杭州、广州、武汉、济南等地已出台公共数据授权运营管理办法或实施方案，明确公共数据授权运营的内容、模式和安全监督规范，制度建设上已先行一步，并在公共数据管理探索实践中取得显著成效，打造了大批量标杆式应用场景，对标先进地区，我市应该积极借鉴、迎头追赶。</w:t>
      </w:r>
    </w:p>
    <w:p w14:paraId="6AA9AF63">
      <w:pPr>
        <w:spacing w:line="520" w:lineRule="exact"/>
        <w:ind w:firstLine="640" w:firstLineChars="200"/>
        <w:outlineLvl w:val="0"/>
        <w:rPr>
          <w:rFonts w:ascii="黑体" w:hAnsi="黑体" w:eastAsia="黑体"/>
          <w:sz w:val="32"/>
          <w:szCs w:val="32"/>
        </w:rPr>
      </w:pPr>
      <w:r>
        <w:rPr>
          <w:rFonts w:hint="eastAsia" w:ascii="黑体" w:hAnsi="黑体" w:eastAsia="黑体"/>
          <w:sz w:val="32"/>
          <w:szCs w:val="32"/>
        </w:rPr>
        <w:t>二、起草过程</w:t>
      </w:r>
    </w:p>
    <w:p w14:paraId="73ED2FB1">
      <w:pPr>
        <w:spacing w:line="520" w:lineRule="exact"/>
        <w:ind w:firstLine="643" w:firstLineChars="200"/>
        <w:rPr>
          <w:rFonts w:ascii="仿宋_GB2312" w:eastAsia="仿宋_GB2312"/>
          <w:sz w:val="32"/>
          <w:szCs w:val="32"/>
        </w:rPr>
      </w:pPr>
      <w:r>
        <w:rPr>
          <w:rFonts w:hint="eastAsia" w:ascii="楷体_GB2312" w:eastAsia="楷体_GB2312"/>
          <w:b/>
          <w:sz w:val="32"/>
          <w:szCs w:val="32"/>
        </w:rPr>
        <w:t>一是</w:t>
      </w:r>
      <w:r>
        <w:rPr>
          <w:rFonts w:hint="eastAsia" w:ascii="仿宋_GB2312" w:eastAsia="仿宋_GB2312"/>
          <w:sz w:val="32"/>
          <w:szCs w:val="32"/>
        </w:rPr>
        <w:t>收集汇编国家部委、我省和其他省市公共数据授权运营政策，形成基础资料认真研讨分析。</w:t>
      </w:r>
      <w:r>
        <w:rPr>
          <w:rFonts w:hint="eastAsia" w:ascii="楷体_GB2312" w:eastAsia="楷体_GB2312"/>
          <w:b/>
          <w:sz w:val="32"/>
          <w:szCs w:val="32"/>
        </w:rPr>
        <w:t>二是</w:t>
      </w:r>
      <w:r>
        <w:rPr>
          <w:rFonts w:hint="eastAsia" w:ascii="仿宋_GB2312" w:eastAsia="仿宋_GB2312"/>
          <w:sz w:val="32"/>
          <w:szCs w:val="32"/>
        </w:rPr>
        <w:t>深入调研我市公共数据运营现状，发现问题、找到短板、总结经验，针对性地进行条文设计。</w:t>
      </w:r>
      <w:r>
        <w:rPr>
          <w:rFonts w:hint="eastAsia" w:ascii="楷体_GB2312" w:eastAsia="楷体_GB2312"/>
          <w:b/>
          <w:sz w:val="32"/>
          <w:szCs w:val="32"/>
        </w:rPr>
        <w:t>三是</w:t>
      </w:r>
      <w:r>
        <w:rPr>
          <w:rFonts w:hint="eastAsia" w:ascii="仿宋_GB2312" w:eastAsia="仿宋_GB2312"/>
          <w:sz w:val="32"/>
          <w:szCs w:val="32"/>
        </w:rPr>
        <w:t>赴杭州等地开展实地交流，了解当地公共数据授权运营的体制机制、制度设计、特色亮点等，学习先行经验，基于我市数据基础、产业禀赋等现状研究本地模式。</w:t>
      </w:r>
      <w:r>
        <w:rPr>
          <w:rFonts w:hint="eastAsia" w:ascii="楷体_GB2312" w:eastAsia="楷体_GB2312"/>
          <w:b/>
          <w:sz w:val="32"/>
          <w:szCs w:val="32"/>
        </w:rPr>
        <w:t>四是</w:t>
      </w:r>
      <w:r>
        <w:rPr>
          <w:rFonts w:hint="eastAsia" w:ascii="仿宋_GB2312" w:eastAsia="仿宋_GB2312"/>
          <w:sz w:val="32"/>
          <w:szCs w:val="32"/>
        </w:rPr>
        <w:t>征求部门意见建议，组织相关专家和企业代表评审，不断迭代，修订完善。</w:t>
      </w:r>
    </w:p>
    <w:p w14:paraId="3A2E4E28">
      <w:pPr>
        <w:spacing w:line="520" w:lineRule="exact"/>
        <w:ind w:firstLine="640" w:firstLineChars="200"/>
        <w:outlineLvl w:val="0"/>
        <w:rPr>
          <w:rFonts w:ascii="黑体" w:hAnsi="黑体" w:eastAsia="黑体"/>
          <w:sz w:val="32"/>
          <w:szCs w:val="32"/>
        </w:rPr>
      </w:pPr>
      <w:r>
        <w:rPr>
          <w:rFonts w:hint="eastAsia" w:ascii="黑体" w:hAnsi="黑体" w:eastAsia="黑体"/>
          <w:sz w:val="32"/>
          <w:szCs w:val="32"/>
        </w:rPr>
        <w:t>三、《管理办法》起草考虑重点</w:t>
      </w:r>
    </w:p>
    <w:p w14:paraId="362436B4">
      <w:pPr>
        <w:spacing w:line="520" w:lineRule="exact"/>
        <w:ind w:firstLine="640" w:firstLineChars="200"/>
        <w:rPr>
          <w:rFonts w:ascii="仿宋_GB2312" w:eastAsia="仿宋_GB2312"/>
          <w:sz w:val="32"/>
          <w:szCs w:val="32"/>
        </w:rPr>
      </w:pPr>
      <w:r>
        <w:rPr>
          <w:rFonts w:hint="eastAsia" w:ascii="仿宋_GB2312" w:eastAsia="仿宋_GB2312"/>
          <w:sz w:val="32"/>
          <w:szCs w:val="32"/>
        </w:rPr>
        <w:t>《管理办法》整体字数控制在3000字左右，起草过程中考虑了以下</w:t>
      </w:r>
      <w:r>
        <w:rPr>
          <w:rFonts w:ascii="仿宋_GB2312" w:eastAsia="仿宋_GB2312"/>
          <w:sz w:val="32"/>
          <w:szCs w:val="32"/>
        </w:rPr>
        <w:t>5</w:t>
      </w:r>
      <w:r>
        <w:rPr>
          <w:rFonts w:hint="eastAsia" w:ascii="仿宋_GB2312" w:eastAsia="仿宋_GB2312"/>
          <w:sz w:val="32"/>
          <w:szCs w:val="32"/>
        </w:rPr>
        <w:t>个重点：</w:t>
      </w:r>
    </w:p>
    <w:p w14:paraId="11EA2733">
      <w:pPr>
        <w:spacing w:line="520" w:lineRule="exact"/>
        <w:ind w:firstLine="643" w:firstLineChars="200"/>
        <w:outlineLvl w:val="1"/>
        <w:rPr>
          <w:rFonts w:ascii="仿宋_GB2312" w:eastAsia="仿宋_GB2312" w:cs="仿宋_GB2312"/>
          <w:sz w:val="32"/>
          <w:szCs w:val="32"/>
        </w:rPr>
      </w:pPr>
      <w:r>
        <w:rPr>
          <w:rFonts w:hint="eastAsia" w:ascii="楷体_GB2312" w:eastAsia="楷体_GB2312"/>
          <w:b/>
          <w:sz w:val="32"/>
          <w:szCs w:val="32"/>
        </w:rPr>
        <w:t>1</w:t>
      </w:r>
      <w:r>
        <w:rPr>
          <w:rFonts w:ascii="楷体_GB2312" w:eastAsia="楷体_GB2312"/>
          <w:b/>
          <w:sz w:val="32"/>
          <w:szCs w:val="32"/>
        </w:rPr>
        <w:t>.</w:t>
      </w:r>
      <w:r>
        <w:rPr>
          <w:rFonts w:hint="eastAsia" w:ascii="楷体_GB2312" w:eastAsia="楷体_GB2312"/>
          <w:b/>
          <w:sz w:val="32"/>
          <w:szCs w:val="32"/>
        </w:rPr>
        <w:t>明确实施机构。</w:t>
      </w:r>
      <w:r>
        <w:rPr>
          <w:rFonts w:hint="eastAsia" w:ascii="仿宋_GB2312" w:eastAsia="仿宋_GB2312"/>
          <w:sz w:val="32"/>
          <w:szCs w:val="32"/>
        </w:rPr>
        <w:t>结合市、县级实际，确定由</w:t>
      </w:r>
      <w:r>
        <w:rPr>
          <w:rFonts w:hint="eastAsia" w:ascii="仿宋_GB2312" w:eastAsia="仿宋_GB2312" w:cs="仿宋_GB2312"/>
          <w:sz w:val="32"/>
          <w:szCs w:val="32"/>
        </w:rPr>
        <w:t>本级人民政府指定本级数据主管部门作为实施机构。</w:t>
      </w:r>
    </w:p>
    <w:p w14:paraId="702019D9">
      <w:pPr>
        <w:spacing w:line="520" w:lineRule="exact"/>
        <w:ind w:firstLine="643" w:firstLineChars="200"/>
        <w:outlineLvl w:val="1"/>
        <w:rPr>
          <w:rFonts w:ascii="仿宋_GB2312" w:eastAsia="仿宋_GB2312"/>
          <w:sz w:val="32"/>
          <w:szCs w:val="32"/>
        </w:rPr>
      </w:pPr>
      <w:r>
        <w:rPr>
          <w:rFonts w:hint="eastAsia" w:ascii="楷体_GB2312" w:eastAsia="楷体_GB2312"/>
          <w:b/>
          <w:sz w:val="32"/>
          <w:szCs w:val="32"/>
        </w:rPr>
        <w:t>2</w:t>
      </w:r>
      <w:r>
        <w:rPr>
          <w:rFonts w:ascii="楷体_GB2312" w:eastAsia="楷体_GB2312"/>
          <w:b/>
          <w:sz w:val="32"/>
          <w:szCs w:val="32"/>
        </w:rPr>
        <w:t>.</w:t>
      </w:r>
      <w:r>
        <w:rPr>
          <w:rFonts w:hint="eastAsia" w:ascii="楷体_GB2312" w:eastAsia="楷体_GB2312"/>
          <w:b/>
          <w:sz w:val="32"/>
          <w:szCs w:val="32"/>
        </w:rPr>
        <w:t>明确不采用整体授权。</w:t>
      </w:r>
      <w:r>
        <w:rPr>
          <w:rFonts w:hint="eastAsia" w:ascii="仿宋_GB2312" w:eastAsia="仿宋_GB2312"/>
          <w:sz w:val="32"/>
          <w:szCs w:val="32"/>
        </w:rPr>
        <w:t>采用分领域授权和依场景授权相结合的运营方式，打造公平竞争市场，充分释放数据价值，实施机构对不同领域、不同场景依法按程序选择最符合条件的运营机构，运营机构可引入符合条件的数据产品开发机构合作开发数据产品。</w:t>
      </w:r>
    </w:p>
    <w:p w14:paraId="5F2CA0C9">
      <w:pPr>
        <w:spacing w:line="520" w:lineRule="exact"/>
        <w:ind w:firstLine="643" w:firstLineChars="200"/>
        <w:outlineLvl w:val="1"/>
        <w:rPr>
          <w:rFonts w:ascii="仿宋_GB2312" w:eastAsia="仿宋_GB2312"/>
          <w:sz w:val="32"/>
          <w:szCs w:val="32"/>
        </w:rPr>
      </w:pPr>
      <w:r>
        <w:rPr>
          <w:rFonts w:hint="eastAsia" w:ascii="楷体_GB2312" w:eastAsia="楷体_GB2312"/>
          <w:b/>
          <w:sz w:val="32"/>
          <w:szCs w:val="32"/>
        </w:rPr>
        <w:t>3</w:t>
      </w:r>
      <w:r>
        <w:rPr>
          <w:rFonts w:ascii="楷体_GB2312" w:eastAsia="楷体_GB2312"/>
          <w:b/>
          <w:sz w:val="32"/>
          <w:szCs w:val="32"/>
        </w:rPr>
        <w:t>.</w:t>
      </w:r>
      <w:r>
        <w:rPr>
          <w:rFonts w:hint="eastAsia" w:ascii="楷体_GB2312" w:eastAsia="楷体_GB2312"/>
          <w:b/>
          <w:sz w:val="32"/>
          <w:szCs w:val="32"/>
        </w:rPr>
        <w:t>建设和运维公共数据授权运营域。</w:t>
      </w:r>
      <w:r>
        <w:rPr>
          <w:rFonts w:hint="eastAsia" w:ascii="仿宋_GB2312" w:eastAsia="仿宋_GB2312"/>
          <w:sz w:val="32"/>
          <w:szCs w:val="32"/>
        </w:rPr>
        <w:t>采用统一基础底座进行运营和监管，实施机构通过授权运营域向运营机构提供符合法律规范要求且已授权的公共数据,运营机构和开发机构通过授权运营域进行数据加工处理、产品开发交易，各主体工作高效协同。</w:t>
      </w:r>
    </w:p>
    <w:p w14:paraId="02EE4F2B">
      <w:pPr>
        <w:spacing w:line="520" w:lineRule="exact"/>
        <w:ind w:firstLine="643" w:firstLineChars="200"/>
        <w:outlineLvl w:val="1"/>
        <w:rPr>
          <w:rFonts w:ascii="楷体_GB2312" w:eastAsia="楷体_GB2312"/>
          <w:b/>
          <w:sz w:val="32"/>
          <w:szCs w:val="32"/>
        </w:rPr>
      </w:pPr>
      <w:r>
        <w:rPr>
          <w:rFonts w:hint="eastAsia" w:ascii="楷体_GB2312" w:eastAsia="楷体_GB2312"/>
          <w:b/>
          <w:sz w:val="32"/>
          <w:szCs w:val="32"/>
        </w:rPr>
        <w:t>4</w:t>
      </w:r>
      <w:r>
        <w:rPr>
          <w:rFonts w:ascii="楷体_GB2312" w:eastAsia="楷体_GB2312"/>
          <w:b/>
          <w:sz w:val="32"/>
          <w:szCs w:val="32"/>
        </w:rPr>
        <w:t>.</w:t>
      </w:r>
      <w:r>
        <w:rPr>
          <w:rFonts w:hint="eastAsia" w:ascii="楷体_GB2312" w:eastAsia="楷体_GB2312"/>
          <w:b/>
          <w:sz w:val="32"/>
          <w:szCs w:val="32"/>
        </w:rPr>
        <w:t>建立市级公共数据授权运营管理工作协调推进机制。</w:t>
      </w:r>
      <w:r>
        <w:rPr>
          <w:rFonts w:hint="eastAsia" w:ascii="仿宋_GB2312" w:eastAsia="仿宋_GB2312"/>
          <w:sz w:val="32"/>
          <w:szCs w:val="32"/>
        </w:rPr>
        <w:t>由数据主管部门会同相关单位组成，共同推动公共数据授权运营工作顺利开展。</w:t>
      </w:r>
    </w:p>
    <w:p w14:paraId="0EE6F0F2">
      <w:pPr>
        <w:spacing w:line="520" w:lineRule="exact"/>
        <w:ind w:firstLine="643" w:firstLineChars="200"/>
        <w:outlineLvl w:val="1"/>
        <w:rPr>
          <w:rFonts w:ascii="仿宋_GB2312" w:eastAsia="仿宋_GB2312"/>
          <w:sz w:val="32"/>
          <w:szCs w:val="32"/>
        </w:rPr>
      </w:pPr>
      <w:r>
        <w:rPr>
          <w:rFonts w:hint="eastAsia" w:ascii="楷体_GB2312" w:eastAsia="楷体_GB2312"/>
          <w:b/>
          <w:sz w:val="32"/>
          <w:szCs w:val="32"/>
        </w:rPr>
        <w:t>5</w:t>
      </w:r>
      <w:r>
        <w:rPr>
          <w:rFonts w:ascii="楷体_GB2312" w:eastAsia="楷体_GB2312"/>
          <w:b/>
          <w:sz w:val="32"/>
          <w:szCs w:val="32"/>
        </w:rPr>
        <w:t>.</w:t>
      </w:r>
      <w:r>
        <w:rPr>
          <w:rFonts w:hint="eastAsia" w:ascii="楷体_GB2312" w:eastAsia="楷体_GB2312"/>
          <w:b/>
          <w:sz w:val="32"/>
          <w:szCs w:val="32"/>
        </w:rPr>
        <w:t>定义全流程关键环节，</w:t>
      </w:r>
      <w:r>
        <w:rPr>
          <w:rFonts w:hint="eastAsia" w:ascii="仿宋_GB2312" w:eastAsia="仿宋_GB2312"/>
          <w:sz w:val="32"/>
          <w:szCs w:val="32"/>
        </w:rPr>
        <w:t>明确各方责任权力，在国家、省相关文件指引下，系统梳理责任分工、方案编制、主体确认、授权实施、协议签订、运营管理、监督管理核心环节，兼顾安全与效率，清晰界定各主体的责任和权利，确保流程规范、任务清晰、责任明确。</w:t>
      </w:r>
    </w:p>
    <w:p w14:paraId="7D8E9D06">
      <w:pPr>
        <w:spacing w:line="520" w:lineRule="exact"/>
        <w:ind w:firstLine="640" w:firstLineChars="200"/>
        <w:outlineLvl w:val="0"/>
        <w:rPr>
          <w:rFonts w:ascii="黑体" w:hAnsi="黑体" w:eastAsia="黑体"/>
          <w:sz w:val="32"/>
          <w:szCs w:val="32"/>
        </w:rPr>
      </w:pPr>
      <w:r>
        <w:rPr>
          <w:rFonts w:hint="eastAsia" w:ascii="黑体" w:hAnsi="黑体" w:eastAsia="黑体"/>
          <w:sz w:val="32"/>
          <w:szCs w:val="32"/>
        </w:rPr>
        <w:t>四、管理办法主要内容</w:t>
      </w:r>
    </w:p>
    <w:p w14:paraId="140585C9">
      <w:pPr>
        <w:spacing w:line="520" w:lineRule="exact"/>
        <w:ind w:firstLine="640" w:firstLineChars="200"/>
        <w:rPr>
          <w:rFonts w:ascii="仿宋_GB2312" w:eastAsia="仿宋_GB2312"/>
          <w:sz w:val="32"/>
          <w:szCs w:val="32"/>
        </w:rPr>
      </w:pPr>
      <w:r>
        <w:rPr>
          <w:rFonts w:hint="eastAsia" w:ascii="仿宋_GB2312" w:eastAsia="仿宋_GB2312"/>
          <w:sz w:val="32"/>
          <w:szCs w:val="32"/>
        </w:rPr>
        <w:t>《管理办法》共五章三十条，分为总则、授权管理、运营管理、监督管理和附则，以促进公共数据合规高效流通使用为主线，聚焦公共数据授权运营过程中的重点环节，最大程度促进公共数据流通和开发利用。</w:t>
      </w:r>
    </w:p>
    <w:p w14:paraId="3F6A3594">
      <w:pPr>
        <w:spacing w:line="520" w:lineRule="exact"/>
        <w:ind w:firstLine="643" w:firstLineChars="200"/>
        <w:outlineLvl w:val="1"/>
        <w:rPr>
          <w:rFonts w:ascii="仿宋_GB2312" w:eastAsia="仿宋_GB2312"/>
          <w:sz w:val="32"/>
          <w:szCs w:val="32"/>
        </w:rPr>
      </w:pPr>
      <w:r>
        <w:rPr>
          <w:rFonts w:hint="eastAsia" w:ascii="楷体_GB2312" w:eastAsia="楷体_GB2312"/>
          <w:b/>
          <w:sz w:val="32"/>
          <w:szCs w:val="32"/>
        </w:rPr>
        <w:t>1</w:t>
      </w:r>
      <w:r>
        <w:rPr>
          <w:rFonts w:ascii="楷体_GB2312" w:eastAsia="楷体_GB2312"/>
          <w:b/>
          <w:sz w:val="32"/>
          <w:szCs w:val="32"/>
        </w:rPr>
        <w:t>.</w:t>
      </w:r>
      <w:r>
        <w:rPr>
          <w:rFonts w:hint="eastAsia" w:ascii="楷体_GB2312" w:eastAsia="楷体_GB2312"/>
          <w:b/>
          <w:sz w:val="32"/>
          <w:szCs w:val="32"/>
        </w:rPr>
        <w:t>总则。</w:t>
      </w:r>
      <w:r>
        <w:rPr>
          <w:rFonts w:hint="eastAsia" w:ascii="仿宋_GB2312" w:eastAsia="仿宋_GB2312"/>
          <w:sz w:val="32"/>
          <w:szCs w:val="32"/>
        </w:rPr>
        <w:t>主要说明《管理办法》目的依据、适用范围、概念释义、遵循原则，确定公共数据授权运营协调机制，明确公共数据授权运营活动中相关部门职责。</w:t>
      </w:r>
    </w:p>
    <w:p w14:paraId="336D4D75">
      <w:pPr>
        <w:spacing w:line="520" w:lineRule="exact"/>
        <w:ind w:firstLine="643" w:firstLineChars="200"/>
        <w:outlineLvl w:val="1"/>
        <w:rPr>
          <w:rFonts w:ascii="仿宋_GB2312" w:eastAsia="仿宋_GB2312"/>
          <w:sz w:val="32"/>
          <w:szCs w:val="32"/>
        </w:rPr>
      </w:pPr>
      <w:r>
        <w:rPr>
          <w:rFonts w:hint="eastAsia" w:ascii="楷体_GB2312" w:eastAsia="楷体_GB2312"/>
          <w:b/>
          <w:sz w:val="32"/>
          <w:szCs w:val="32"/>
        </w:rPr>
        <w:t>2</w:t>
      </w:r>
      <w:r>
        <w:rPr>
          <w:rFonts w:ascii="楷体_GB2312" w:eastAsia="楷体_GB2312"/>
          <w:b/>
          <w:sz w:val="32"/>
          <w:szCs w:val="32"/>
        </w:rPr>
        <w:t>.</w:t>
      </w:r>
      <w:r>
        <w:rPr>
          <w:rFonts w:hint="eastAsia" w:ascii="楷体_GB2312" w:eastAsia="楷体_GB2312"/>
          <w:b/>
          <w:sz w:val="32"/>
          <w:szCs w:val="32"/>
        </w:rPr>
        <w:t>授权管理。</w:t>
      </w:r>
      <w:r>
        <w:rPr>
          <w:rFonts w:hint="eastAsia" w:ascii="仿宋_GB2312" w:eastAsia="仿宋_GB2312"/>
          <w:sz w:val="32"/>
          <w:szCs w:val="32"/>
        </w:rPr>
        <w:t>明确采用分领域授权和依场景授权相结合的方式，阐明实施方案编制要求和审议流程，运营机构确定流程和协议签订，明确授权内容、期限和终止要求。</w:t>
      </w:r>
    </w:p>
    <w:p w14:paraId="5B0EB8F4">
      <w:pPr>
        <w:spacing w:line="520" w:lineRule="exact"/>
        <w:ind w:firstLine="643" w:firstLineChars="200"/>
        <w:outlineLvl w:val="1"/>
        <w:rPr>
          <w:rFonts w:ascii="仿宋_GB2312" w:eastAsia="仿宋_GB2312"/>
          <w:sz w:val="32"/>
          <w:szCs w:val="32"/>
        </w:rPr>
      </w:pPr>
      <w:r>
        <w:rPr>
          <w:rFonts w:hint="eastAsia" w:ascii="楷体_GB2312" w:eastAsia="楷体_GB2312"/>
          <w:b/>
          <w:sz w:val="32"/>
          <w:szCs w:val="32"/>
        </w:rPr>
        <w:t>3</w:t>
      </w:r>
      <w:r>
        <w:rPr>
          <w:rFonts w:ascii="楷体_GB2312" w:eastAsia="楷体_GB2312"/>
          <w:b/>
          <w:sz w:val="32"/>
          <w:szCs w:val="32"/>
        </w:rPr>
        <w:t>.</w:t>
      </w:r>
      <w:r>
        <w:rPr>
          <w:rFonts w:hint="eastAsia" w:ascii="楷体_GB2312" w:eastAsia="楷体_GB2312"/>
          <w:b/>
          <w:sz w:val="32"/>
          <w:szCs w:val="32"/>
        </w:rPr>
        <w:t>运营管理。</w:t>
      </w:r>
      <w:r>
        <w:rPr>
          <w:rFonts w:hint="eastAsia" w:ascii="仿宋_GB2312" w:eastAsia="仿宋_GB2312"/>
          <w:sz w:val="32"/>
          <w:szCs w:val="32"/>
        </w:rPr>
        <w:t>明确实施机构、运营机构和开发主体在公共数据授权运营活动中的职责和所遵循的规则、流程，产品开发、出域、登记和流通要求，以及数据产品定价、运营收益分配方式。</w:t>
      </w:r>
    </w:p>
    <w:p w14:paraId="7FE4353A">
      <w:pPr>
        <w:spacing w:line="520" w:lineRule="exact"/>
        <w:ind w:firstLine="643" w:firstLineChars="200"/>
        <w:outlineLvl w:val="1"/>
        <w:rPr>
          <w:rFonts w:ascii="仿宋_GB2312" w:eastAsia="仿宋_GB2312"/>
          <w:sz w:val="32"/>
          <w:szCs w:val="32"/>
        </w:rPr>
      </w:pPr>
      <w:r>
        <w:rPr>
          <w:rFonts w:hint="eastAsia" w:ascii="楷体_GB2312" w:eastAsia="楷体_GB2312"/>
          <w:b/>
          <w:sz w:val="32"/>
          <w:szCs w:val="32"/>
        </w:rPr>
        <w:t>4</w:t>
      </w:r>
      <w:r>
        <w:rPr>
          <w:rFonts w:ascii="楷体_GB2312" w:eastAsia="楷体_GB2312"/>
          <w:b/>
          <w:sz w:val="32"/>
          <w:szCs w:val="32"/>
        </w:rPr>
        <w:t>.</w:t>
      </w:r>
      <w:r>
        <w:rPr>
          <w:rFonts w:hint="eastAsia" w:ascii="楷体_GB2312" w:eastAsia="楷体_GB2312"/>
          <w:b/>
          <w:sz w:val="32"/>
          <w:szCs w:val="32"/>
        </w:rPr>
        <w:t>监督管理。</w:t>
      </w:r>
      <w:r>
        <w:rPr>
          <w:rFonts w:hint="eastAsia" w:ascii="仿宋_GB2312" w:eastAsia="仿宋_GB2312"/>
          <w:sz w:val="32"/>
          <w:szCs w:val="32"/>
        </w:rPr>
        <w:t>规定数据主管部门及行业主管部门应开展年度评估、提交年度报告，明确实施机构、运营机构和相关人员在数据运营和安全监管中的职责、财务管理和风险管控要求，法律责任以及鼓励创新。</w:t>
      </w:r>
    </w:p>
    <w:p w14:paraId="2FCC6800">
      <w:pPr>
        <w:spacing w:line="520" w:lineRule="exact"/>
        <w:ind w:firstLine="643" w:firstLineChars="200"/>
        <w:outlineLvl w:val="1"/>
        <w:rPr>
          <w:rFonts w:ascii="仿宋_GB2312" w:eastAsia="仿宋_GB2312"/>
          <w:sz w:val="32"/>
          <w:szCs w:val="32"/>
        </w:rPr>
      </w:pPr>
      <w:r>
        <w:rPr>
          <w:rFonts w:hint="eastAsia" w:ascii="楷体_GB2312" w:eastAsia="楷体_GB2312"/>
          <w:b/>
          <w:sz w:val="32"/>
          <w:szCs w:val="32"/>
        </w:rPr>
        <w:t>5</w:t>
      </w:r>
      <w:r>
        <w:rPr>
          <w:rFonts w:ascii="楷体_GB2312" w:eastAsia="楷体_GB2312"/>
          <w:b/>
          <w:sz w:val="32"/>
          <w:szCs w:val="32"/>
        </w:rPr>
        <w:t>.</w:t>
      </w:r>
      <w:r>
        <w:rPr>
          <w:rFonts w:hint="eastAsia" w:ascii="楷体_GB2312" w:eastAsia="楷体_GB2312"/>
          <w:b/>
          <w:sz w:val="32"/>
          <w:szCs w:val="32"/>
        </w:rPr>
        <w:t>附则。</w:t>
      </w:r>
      <w:r>
        <w:rPr>
          <w:rFonts w:hint="eastAsia" w:ascii="仿宋_GB2312" w:eastAsia="仿宋_GB2312"/>
          <w:sz w:val="32"/>
          <w:szCs w:val="32"/>
        </w:rPr>
        <w:t>兜底条款、解释单位和施行日期。</w:t>
      </w:r>
    </w:p>
    <w:sectPr>
      <w:footerReference r:id="rId3" w:type="default"/>
      <w:pgSz w:w="11906" w:h="16838"/>
      <w:pgMar w:top="1928" w:right="1588" w:bottom="1758"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1027D1">
    <w:pPr>
      <w:pStyle w:val="5"/>
      <w:jc w:val="center"/>
      <w:rPr>
        <w:rFonts w:ascii="仿宋_GB2312" w:eastAsia="仿宋_GB2312"/>
        <w:sz w:val="24"/>
        <w:szCs w:val="24"/>
      </w:rPr>
    </w:pPr>
    <w:r>
      <w:rPr>
        <w:rFonts w:hint="eastAsia" w:ascii="仿宋_GB2312" w:eastAsia="仿宋_GB2312"/>
        <w:sz w:val="24"/>
        <w:szCs w:val="24"/>
      </w:rPr>
      <w:fldChar w:fldCharType="begin"/>
    </w:r>
    <w:r>
      <w:rPr>
        <w:rFonts w:hint="eastAsia" w:ascii="仿宋_GB2312" w:eastAsia="仿宋_GB2312"/>
        <w:sz w:val="24"/>
        <w:szCs w:val="24"/>
      </w:rPr>
      <w:instrText xml:space="preserve">PAGE   \* MERGEFORMAT</w:instrText>
    </w:r>
    <w:r>
      <w:rPr>
        <w:rFonts w:hint="eastAsia" w:ascii="仿宋_GB2312" w:eastAsia="仿宋_GB2312"/>
        <w:sz w:val="24"/>
        <w:szCs w:val="24"/>
      </w:rPr>
      <w:fldChar w:fldCharType="separate"/>
    </w:r>
    <w:r>
      <w:rPr>
        <w:rFonts w:ascii="仿宋_GB2312" w:eastAsia="仿宋_GB2312"/>
        <w:sz w:val="24"/>
        <w:szCs w:val="24"/>
        <w:lang w:val="zh-CN"/>
      </w:rPr>
      <w:t>-</w:t>
    </w:r>
    <w:r>
      <w:rPr>
        <w:rFonts w:ascii="仿宋_GB2312" w:eastAsia="仿宋_GB2312"/>
        <w:sz w:val="24"/>
        <w:szCs w:val="24"/>
      </w:rPr>
      <w:t xml:space="preserve"> 1 -</w:t>
    </w:r>
    <w:r>
      <w:rPr>
        <w:rFonts w:hint="eastAsia" w:ascii="仿宋_GB2312" w:eastAsia="仿宋_GB2312"/>
        <w:sz w:val="24"/>
        <w:szCs w:val="24"/>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692"/>
    <w:rsid w:val="00040692"/>
    <w:rsid w:val="001E7EE3"/>
    <w:rsid w:val="00324355"/>
    <w:rsid w:val="004A6F07"/>
    <w:rsid w:val="006F55E4"/>
    <w:rsid w:val="00811252"/>
    <w:rsid w:val="008D1EF8"/>
    <w:rsid w:val="00912512"/>
    <w:rsid w:val="009C6BFF"/>
    <w:rsid w:val="00A81A55"/>
    <w:rsid w:val="00AC1A25"/>
    <w:rsid w:val="00CE74F1"/>
    <w:rsid w:val="00DC172F"/>
    <w:rsid w:val="00ED5630"/>
    <w:rsid w:val="00FB6DCB"/>
    <w:rsid w:val="07495C18"/>
    <w:rsid w:val="1EAE09F3"/>
    <w:rsid w:val="21DA0F5C"/>
    <w:rsid w:val="225C42C2"/>
    <w:rsid w:val="24D85C6F"/>
    <w:rsid w:val="3B9C6CAE"/>
    <w:rsid w:val="3EDC79E9"/>
    <w:rsid w:val="40A8197C"/>
    <w:rsid w:val="40B25CC9"/>
    <w:rsid w:val="430A6025"/>
    <w:rsid w:val="463E712D"/>
    <w:rsid w:val="4EF474AD"/>
    <w:rsid w:val="59957354"/>
    <w:rsid w:val="5BCE044C"/>
    <w:rsid w:val="63A71A4D"/>
    <w:rsid w:val="6A5C345A"/>
    <w:rsid w:val="6D043547"/>
    <w:rsid w:val="6DAB2BB6"/>
    <w:rsid w:val="72AB2147"/>
    <w:rsid w:val="734F4AAC"/>
    <w:rsid w:val="786D1EFA"/>
    <w:rsid w:val="7AA82F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4">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5">
    <w:name w:val="footer"/>
    <w:basedOn w:val="1"/>
    <w:link w:val="11"/>
    <w:uiPriority w:val="0"/>
    <w:pPr>
      <w:tabs>
        <w:tab w:val="center" w:pos="4153"/>
        <w:tab w:val="right" w:pos="8306"/>
      </w:tabs>
      <w:snapToGrid w:val="0"/>
      <w:jc w:val="left"/>
    </w:pPr>
    <w:rPr>
      <w:sz w:val="18"/>
      <w:szCs w:val="18"/>
    </w:rPr>
  </w:style>
  <w:style w:type="paragraph" w:styleId="6">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customStyle="1" w:styleId="10">
    <w:name w:val="页眉 Char"/>
    <w:basedOn w:val="9"/>
    <w:link w:val="6"/>
    <w:uiPriority w:val="0"/>
    <w:rPr>
      <w:rFonts w:asciiTheme="minorHAnsi" w:hAnsiTheme="minorHAnsi" w:eastAsiaTheme="minorEastAsia" w:cstheme="minorBidi"/>
      <w:kern w:val="2"/>
      <w:sz w:val="18"/>
      <w:szCs w:val="18"/>
    </w:rPr>
  </w:style>
  <w:style w:type="character" w:customStyle="1" w:styleId="11">
    <w:name w:val="页脚 Char"/>
    <w:basedOn w:val="9"/>
    <w:link w:val="5"/>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xxzx</Company>
  <Pages>4</Pages>
  <Words>2127</Words>
  <Characters>2153</Characters>
  <Lines>54</Lines>
  <Paragraphs>32</Paragraphs>
  <TotalTime>0</TotalTime>
  <ScaleCrop>false</ScaleCrop>
  <LinksUpToDate>false</LinksUpToDate>
  <CharactersWithSpaces>2154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2024-12-09T03:58:00Z</dcterms:created>
  <dc:creator>admin</dc:creator>
  <cp:lastModifiedBy>郭渊</cp:lastModifiedBy>
  <dcterms:modified xsi:type="dcterms:W3CDTF">2025-01-21T07:22:14Z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C3696FDD87904A4BA7BFE6A895F24C1F_12</vt:lpwstr>
  </property>
  <property fmtid="{D5CDD505-2E9C-101B-9397-08002B2CF9AE}" pid="4" name="KSOTemplateDocerSaveRecord">
    <vt:lpwstr>eyJoZGlkIjoiODU5MjQwZDc5OGEwNGMyZGY5MmUzMGJjZDEwNDE1YTMiLCJ1c2VySWQiOiIzNDU3NTgzODcifQ==</vt:lpwstr>
  </property>
</Properties>
</file>