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29B416">
      <w:pPr>
        <w:tabs>
          <w:tab w:val="left" w:pos="0"/>
        </w:tabs>
        <w:adjustRightInd w:val="0"/>
        <w:snapToGrid w:val="0"/>
        <w:spacing w:line="560" w:lineRule="exact"/>
        <w:jc w:val="center"/>
        <w:rPr>
          <w:rFonts w:ascii="方正小标宋简体" w:hAnsi="方正小标宋简体" w:eastAsia="方正小标宋简体" w:cs="方正小标宋简体"/>
          <w:kern w:val="44"/>
          <w:sz w:val="44"/>
          <w:szCs w:val="44"/>
        </w:rPr>
      </w:pPr>
      <w:r>
        <w:rPr>
          <w:rFonts w:hint="eastAsia" w:ascii="方正小标宋简体" w:hAnsi="方正小标宋简体" w:eastAsia="方正小标宋简体" w:cs="方正小标宋简体"/>
          <w:kern w:val="44"/>
          <w:sz w:val="44"/>
          <w:szCs w:val="44"/>
        </w:rPr>
        <w:t>新余市公共数据授权运营管理办法（试行）</w:t>
      </w:r>
    </w:p>
    <w:p w14:paraId="3BA83DBF">
      <w:pPr>
        <w:tabs>
          <w:tab w:val="left" w:pos="0"/>
        </w:tabs>
        <w:adjustRightInd w:val="0"/>
        <w:snapToGrid w:val="0"/>
        <w:spacing w:line="560" w:lineRule="exact"/>
        <w:jc w:val="center"/>
        <w:rPr>
          <w:rFonts w:eastAsia="仿宋_GB2312" w:cs="仿宋_GB2312"/>
          <w:sz w:val="44"/>
          <w:szCs w:val="44"/>
        </w:rPr>
      </w:pPr>
      <w:r>
        <w:rPr>
          <w:rFonts w:hint="eastAsia" w:ascii="楷体_GB2312" w:hAnsi="楷体_GB2312" w:eastAsia="楷体_GB2312" w:cs="楷体_GB2312"/>
          <w:kern w:val="44"/>
          <w:sz w:val="32"/>
          <w:szCs w:val="32"/>
        </w:rPr>
        <w:t>（征求意见稿）</w:t>
      </w:r>
    </w:p>
    <w:p w14:paraId="50793B40">
      <w:pPr>
        <w:tabs>
          <w:tab w:val="left" w:pos="0"/>
        </w:tabs>
        <w:adjustRightInd w:val="0"/>
        <w:snapToGrid w:val="0"/>
        <w:spacing w:line="560" w:lineRule="exact"/>
        <w:ind w:firstLine="640" w:firstLineChars="200"/>
        <w:rPr>
          <w:rFonts w:eastAsia="仿宋_GB2312" w:cs="仿宋_GB2312"/>
          <w:sz w:val="32"/>
          <w:szCs w:val="32"/>
        </w:rPr>
      </w:pPr>
    </w:p>
    <w:p w14:paraId="3F810AA9">
      <w:pPr>
        <w:spacing w:line="560" w:lineRule="exact"/>
        <w:jc w:val="center"/>
        <w:outlineLvl w:val="0"/>
        <w:rPr>
          <w:rFonts w:ascii="黑体" w:hAnsi="黑体" w:eastAsia="黑体" w:cs="黑体"/>
          <w:sz w:val="32"/>
          <w:szCs w:val="32"/>
        </w:rPr>
      </w:pPr>
      <w:r>
        <w:rPr>
          <w:rFonts w:hint="eastAsia" w:ascii="黑体" w:hAnsi="黑体" w:eastAsia="黑体" w:cs="黑体"/>
          <w:sz w:val="32"/>
          <w:szCs w:val="32"/>
        </w:rPr>
        <w:t>第一章 总则</w:t>
      </w:r>
    </w:p>
    <w:p w14:paraId="25F8C51D">
      <w:pPr>
        <w:tabs>
          <w:tab w:val="left" w:pos="0"/>
        </w:tabs>
        <w:adjustRightInd w:val="0"/>
        <w:snapToGrid w:val="0"/>
        <w:spacing w:line="560" w:lineRule="exact"/>
        <w:ind w:firstLine="640" w:firstLineChars="200"/>
        <w:rPr>
          <w:rFonts w:eastAsia="仿宋_GB2312" w:cs="仿宋_GB2312"/>
          <w:sz w:val="32"/>
          <w:szCs w:val="32"/>
        </w:rPr>
      </w:pPr>
      <w:r>
        <w:rPr>
          <w:rFonts w:hint="eastAsia" w:ascii="黑体" w:hAnsi="黑体" w:eastAsia="黑体" w:cs="黑体"/>
          <w:sz w:val="32"/>
          <w:szCs w:val="32"/>
        </w:rPr>
        <w:t xml:space="preserve">第一条  </w:t>
      </w:r>
      <w:r>
        <w:rPr>
          <w:rFonts w:hint="eastAsia" w:eastAsia="仿宋_GB2312" w:cs="仿宋_GB2312"/>
          <w:sz w:val="32"/>
          <w:szCs w:val="32"/>
        </w:rPr>
        <w:t>为规范和促进公共数据开发利用，加快培育数据要素市场，助力数字经济高质量发展，按照《中共中央 国务院关于构建数据基础制度更好发挥数据要素作用的意见》《中共中央办公厅 国务院办公厅关于加快公共数据资源开发利用的意见</w:t>
      </w:r>
      <w:r>
        <w:rPr>
          <w:rFonts w:eastAsia="仿宋_GB2312" w:cs="仿宋_GB2312"/>
          <w:sz w:val="32"/>
          <w:szCs w:val="32"/>
        </w:rPr>
        <w:t>》</w:t>
      </w:r>
      <w:r>
        <w:rPr>
          <w:rFonts w:hint="eastAsia" w:eastAsia="仿宋_GB2312" w:cs="仿宋_GB2312"/>
          <w:sz w:val="32"/>
          <w:szCs w:val="32"/>
        </w:rPr>
        <w:t>要求，根据《中华人民共和国数据安全法》《中华人民共和国个人信息保护法》</w:t>
      </w:r>
      <w:r>
        <w:rPr>
          <w:rFonts w:eastAsia="仿宋_GB2312" w:cs="仿宋_GB2312"/>
          <w:sz w:val="32"/>
          <w:szCs w:val="32"/>
        </w:rPr>
        <w:t>《</w:t>
      </w:r>
      <w:r>
        <w:rPr>
          <w:rFonts w:hint="eastAsia" w:eastAsia="仿宋_GB2312" w:cs="仿宋_GB2312"/>
          <w:sz w:val="32"/>
          <w:szCs w:val="32"/>
        </w:rPr>
        <w:t>江西省数据应用条例</w:t>
      </w:r>
      <w:r>
        <w:rPr>
          <w:rFonts w:eastAsia="仿宋_GB2312" w:cs="仿宋_GB2312"/>
          <w:sz w:val="32"/>
          <w:szCs w:val="32"/>
        </w:rPr>
        <w:t>》等法律法规，结合本</w:t>
      </w:r>
      <w:r>
        <w:rPr>
          <w:rFonts w:hint="eastAsia" w:eastAsia="仿宋_GB2312" w:cs="仿宋_GB2312"/>
          <w:sz w:val="32"/>
          <w:szCs w:val="32"/>
        </w:rPr>
        <w:t>市</w:t>
      </w:r>
      <w:r>
        <w:rPr>
          <w:rFonts w:eastAsia="仿宋_GB2312" w:cs="仿宋_GB2312"/>
          <w:sz w:val="32"/>
          <w:szCs w:val="32"/>
        </w:rPr>
        <w:t>实际，制定本办法。</w:t>
      </w:r>
    </w:p>
    <w:p w14:paraId="35B1A9C4">
      <w:pPr>
        <w:tabs>
          <w:tab w:val="left" w:pos="0"/>
        </w:tabs>
        <w:adjustRightInd w:val="0"/>
        <w:snapToGrid w:val="0"/>
        <w:spacing w:line="560" w:lineRule="exact"/>
        <w:ind w:firstLine="640" w:firstLineChars="200"/>
        <w:rPr>
          <w:rFonts w:eastAsia="仿宋_GB2312"/>
          <w:kern w:val="0"/>
          <w:sz w:val="32"/>
          <w:szCs w:val="32"/>
          <w:shd w:val="clear" w:color="auto" w:fill="FFFFFF"/>
          <w:lang w:bidi="ar"/>
        </w:rPr>
      </w:pPr>
      <w:r>
        <w:rPr>
          <w:rFonts w:hint="eastAsia" w:ascii="黑体" w:hAnsi="黑体" w:eastAsia="黑体" w:cs="黑体"/>
          <w:sz w:val="32"/>
          <w:szCs w:val="32"/>
        </w:rPr>
        <w:t xml:space="preserve">第二条  </w:t>
      </w:r>
      <w:r>
        <w:rPr>
          <w:rFonts w:eastAsia="仿宋_GB2312"/>
          <w:sz w:val="32"/>
          <w:szCs w:val="32"/>
        </w:rPr>
        <w:t>本办法适用于</w:t>
      </w:r>
      <w:r>
        <w:rPr>
          <w:rFonts w:hint="eastAsia" w:eastAsia="仿宋_GB2312"/>
          <w:sz w:val="32"/>
          <w:szCs w:val="32"/>
        </w:rPr>
        <w:t>我市</w:t>
      </w:r>
      <w:r>
        <w:rPr>
          <w:rFonts w:eastAsia="仿宋_GB2312"/>
          <w:sz w:val="32"/>
          <w:szCs w:val="32"/>
        </w:rPr>
        <w:t>行政区域内公共数据授权运营</w:t>
      </w:r>
      <w:r>
        <w:rPr>
          <w:rFonts w:hint="eastAsia" w:eastAsia="仿宋_GB2312"/>
          <w:sz w:val="32"/>
          <w:szCs w:val="32"/>
        </w:rPr>
        <w:t>及其监督管理</w:t>
      </w:r>
      <w:r>
        <w:rPr>
          <w:rFonts w:eastAsia="仿宋_GB2312"/>
          <w:sz w:val="32"/>
          <w:szCs w:val="32"/>
        </w:rPr>
        <w:t>工作。</w:t>
      </w:r>
    </w:p>
    <w:p w14:paraId="5B467298">
      <w:pPr>
        <w:tabs>
          <w:tab w:val="left" w:pos="0"/>
        </w:tabs>
        <w:adjustRightInd w:val="0"/>
        <w:snapToGrid w:val="0"/>
        <w:spacing w:line="560" w:lineRule="exact"/>
        <w:ind w:firstLine="640" w:firstLineChars="200"/>
        <w:rPr>
          <w:rFonts w:eastAsia="仿宋_GB2312" w:cs="仿宋_GB2312"/>
          <w:sz w:val="32"/>
          <w:szCs w:val="32"/>
        </w:rPr>
      </w:pPr>
      <w:r>
        <w:rPr>
          <w:rFonts w:hint="eastAsia" w:ascii="黑体" w:hAnsi="黑体" w:eastAsia="黑体" w:cs="黑体"/>
          <w:sz w:val="32"/>
          <w:szCs w:val="32"/>
        </w:rPr>
        <w:t xml:space="preserve">第三条  </w:t>
      </w:r>
      <w:r>
        <w:rPr>
          <w:rFonts w:hint="eastAsia" w:eastAsia="仿宋_GB2312" w:cs="仿宋_GB2312"/>
          <w:sz w:val="32"/>
          <w:szCs w:val="32"/>
        </w:rPr>
        <w:t>本办法所称公共数据，是指本市行政机关、事业单位和法律、法规、规章授权的具有管理公共事务职能的组织，以及供水、供电、供气、公共交通、医疗、教育、文化旅游等公共服务运营单位，在履行公共管理和服务职责过程中收集和产生的数据（涉及国家秘密除外）。</w:t>
      </w:r>
    </w:p>
    <w:p w14:paraId="3C2458DF">
      <w:pPr>
        <w:tabs>
          <w:tab w:val="left" w:pos="0"/>
        </w:tabs>
        <w:adjustRightInd w:val="0"/>
        <w:snapToGrid w:val="0"/>
        <w:spacing w:line="560" w:lineRule="exact"/>
        <w:ind w:firstLine="640" w:firstLineChars="200"/>
        <w:rPr>
          <w:rFonts w:eastAsia="仿宋_GB2312" w:cs="仿宋_GB2312"/>
          <w:sz w:val="32"/>
          <w:szCs w:val="32"/>
        </w:rPr>
      </w:pPr>
      <w:r>
        <w:rPr>
          <w:rFonts w:hint="eastAsia" w:eastAsia="仿宋_GB2312" w:cs="仿宋_GB2312"/>
          <w:sz w:val="32"/>
          <w:szCs w:val="32"/>
        </w:rPr>
        <w:t>本办法所称公共数据授权运营，是指本级人民政府指定本级数据主管部门作为实施机构，依法依规授权满足条件的运营机构，开展公共数据资源加工使用、产品经营和技术服务，并面向市场公平提供数据产品和服务的活动。</w:t>
      </w:r>
    </w:p>
    <w:p w14:paraId="7939CD10">
      <w:pPr>
        <w:tabs>
          <w:tab w:val="left" w:pos="0"/>
        </w:tabs>
        <w:adjustRightInd w:val="0"/>
        <w:snapToGrid w:val="0"/>
        <w:spacing w:line="560" w:lineRule="exact"/>
        <w:ind w:firstLine="640" w:firstLineChars="200"/>
        <w:rPr>
          <w:rFonts w:eastAsia="仿宋_GB2312" w:cs="仿宋_GB2312"/>
          <w:sz w:val="32"/>
          <w:szCs w:val="32"/>
        </w:rPr>
      </w:pPr>
      <w:r>
        <w:rPr>
          <w:rFonts w:hint="eastAsia" w:eastAsia="仿宋_GB2312" w:cs="仿宋_GB2312"/>
          <w:sz w:val="32"/>
          <w:szCs w:val="32"/>
        </w:rPr>
        <w:t>运营机构，是指按程序获得授权，并对授权范围内的公共数据资源进行开发运营的法人组织。</w:t>
      </w:r>
    </w:p>
    <w:p w14:paraId="788342E9">
      <w:pPr>
        <w:tabs>
          <w:tab w:val="left" w:pos="0"/>
        </w:tabs>
        <w:adjustRightInd w:val="0"/>
        <w:snapToGrid w:val="0"/>
        <w:spacing w:line="560" w:lineRule="exact"/>
        <w:ind w:firstLine="640" w:firstLineChars="200"/>
        <w:rPr>
          <w:rFonts w:eastAsia="仿宋_GB2312" w:cs="仿宋_GB2312"/>
          <w:sz w:val="32"/>
          <w:szCs w:val="32"/>
        </w:rPr>
      </w:pPr>
      <w:r>
        <w:rPr>
          <w:rFonts w:hint="eastAsia" w:eastAsia="仿宋_GB2312" w:cs="仿宋_GB2312"/>
          <w:sz w:val="32"/>
          <w:szCs w:val="32"/>
        </w:rPr>
        <w:t>本办法所称公共数据授权运营域，是指由数据主管部门依托各级大数据资源平台组织建设和运维的，为运营机构提供对已授权运营公共数据进行加工处理服务的特定安全域，具备安全脱敏、访问控制、算法建模、监管溯源、接口生成、封存销毁等功能。</w:t>
      </w:r>
    </w:p>
    <w:p w14:paraId="49117089">
      <w:pPr>
        <w:tabs>
          <w:tab w:val="left" w:pos="0"/>
        </w:tabs>
        <w:adjustRightInd w:val="0"/>
        <w:snapToGrid w:val="0"/>
        <w:spacing w:line="560" w:lineRule="exact"/>
        <w:ind w:firstLine="640" w:firstLineChars="200"/>
        <w:rPr>
          <w:rFonts w:eastAsia="仿宋_GB2312" w:cs="仿宋_GB2312"/>
          <w:sz w:val="32"/>
          <w:szCs w:val="32"/>
        </w:rPr>
      </w:pPr>
      <w:r>
        <w:rPr>
          <w:rFonts w:hint="eastAsia" w:eastAsia="仿宋_GB2312" w:cs="仿宋_GB2312"/>
          <w:sz w:val="32"/>
          <w:szCs w:val="32"/>
        </w:rPr>
        <w:t>本办法所称数据产品和服务（以下简称数据产品），是指通过对公共数据进行加工处理，进而形成的数据集、数据接口、数据模型、数据报告、解决方案以及其他形态的数据产品和服务。</w:t>
      </w:r>
    </w:p>
    <w:p w14:paraId="78D649B6">
      <w:pPr>
        <w:tabs>
          <w:tab w:val="left" w:pos="0"/>
        </w:tabs>
        <w:adjustRightInd w:val="0"/>
        <w:snapToGrid w:val="0"/>
        <w:spacing w:line="560" w:lineRule="exact"/>
        <w:ind w:firstLine="640" w:firstLineChars="200"/>
        <w:rPr>
          <w:rFonts w:eastAsia="仿宋_GB2312" w:cs="仿宋_GB2312"/>
          <w:sz w:val="32"/>
          <w:szCs w:val="32"/>
        </w:rPr>
      </w:pPr>
      <w:r>
        <w:rPr>
          <w:rFonts w:hint="eastAsia" w:ascii="黑体" w:hAnsi="黑体" w:eastAsia="黑体" w:cs="黑体"/>
          <w:sz w:val="32"/>
          <w:szCs w:val="32"/>
        </w:rPr>
        <w:t xml:space="preserve">第四条  </w:t>
      </w:r>
      <w:r>
        <w:rPr>
          <w:rFonts w:hint="eastAsia" w:eastAsia="仿宋_GB2312" w:cs="仿宋_GB2312"/>
          <w:sz w:val="32"/>
          <w:szCs w:val="32"/>
        </w:rPr>
        <w:t>公共数据授权运营坚持统筹管理、依法合规、需求驱动、安全可控、合理收益、普惠公平的原则，按照“原始数据不出域、数据可用不可见”的要求，在保护个人隐私、商业秘密、国家秘密和确保公共安全的前提下，推动公共数据有序流动与开发利用。</w:t>
      </w:r>
    </w:p>
    <w:p w14:paraId="71F5BD15">
      <w:pPr>
        <w:tabs>
          <w:tab w:val="left" w:pos="0"/>
        </w:tabs>
        <w:adjustRightInd w:val="0"/>
        <w:snapToGrid w:val="0"/>
        <w:spacing w:line="560" w:lineRule="exact"/>
        <w:ind w:firstLine="640" w:firstLineChars="200"/>
        <w:rPr>
          <w:rFonts w:eastAsia="仿宋_GB2312"/>
          <w:kern w:val="0"/>
          <w:sz w:val="32"/>
          <w:szCs w:val="32"/>
          <w:lang w:bidi="ar"/>
        </w:rPr>
      </w:pPr>
      <w:r>
        <w:rPr>
          <w:rFonts w:hint="eastAsia" w:ascii="黑体" w:hAnsi="黑体" w:eastAsia="黑体" w:cs="黑体"/>
          <w:sz w:val="32"/>
          <w:szCs w:val="32"/>
        </w:rPr>
        <w:t xml:space="preserve">第五条  </w:t>
      </w:r>
      <w:r>
        <w:rPr>
          <w:rFonts w:hint="eastAsia" w:eastAsia="仿宋_GB2312"/>
          <w:sz w:val="32"/>
          <w:szCs w:val="32"/>
        </w:rPr>
        <w:t>建立市级公共数据授权运营管理工作协调推进机制（以下简称“协调推进机制”），由数据主管部门会同网信、保密、公安、国家安全、司法行政</w:t>
      </w:r>
      <w:r>
        <w:rPr>
          <w:rFonts w:hint="eastAsia" w:eastAsia="仿宋_GB2312"/>
          <w:sz w:val="32"/>
          <w:szCs w:val="32"/>
          <w:lang w:eastAsia="zh-CN"/>
        </w:rPr>
        <w:t>、</w:t>
      </w:r>
      <w:r>
        <w:rPr>
          <w:rFonts w:hint="eastAsia" w:eastAsia="仿宋_GB2312"/>
          <w:sz w:val="32"/>
          <w:szCs w:val="32"/>
        </w:rPr>
        <w:t>财政、市场监管等相关单位组成，</w:t>
      </w:r>
      <w:r>
        <w:rPr>
          <w:rFonts w:eastAsia="仿宋_GB2312"/>
          <w:sz w:val="32"/>
          <w:szCs w:val="32"/>
        </w:rPr>
        <w:t>负责统筹</w:t>
      </w:r>
      <w:r>
        <w:rPr>
          <w:rFonts w:hint="eastAsia" w:eastAsia="仿宋_GB2312"/>
          <w:sz w:val="32"/>
          <w:szCs w:val="32"/>
        </w:rPr>
        <w:t>、</w:t>
      </w:r>
      <w:r>
        <w:rPr>
          <w:rFonts w:eastAsia="仿宋_GB2312"/>
          <w:sz w:val="32"/>
          <w:szCs w:val="32"/>
        </w:rPr>
        <w:t>指导</w:t>
      </w:r>
      <w:r>
        <w:rPr>
          <w:rFonts w:hint="eastAsia" w:eastAsia="仿宋_GB2312"/>
          <w:sz w:val="32"/>
          <w:szCs w:val="32"/>
        </w:rPr>
        <w:t>、监督</w:t>
      </w:r>
      <w:r>
        <w:rPr>
          <w:rFonts w:eastAsia="仿宋_GB2312"/>
          <w:sz w:val="32"/>
          <w:szCs w:val="32"/>
        </w:rPr>
        <w:t>公共数据授权运营工作</w:t>
      </w:r>
      <w:r>
        <w:rPr>
          <w:rFonts w:eastAsia="仿宋_GB2312"/>
          <w:sz w:val="32"/>
          <w:szCs w:val="32"/>
          <w:lang w:bidi="ar"/>
        </w:rPr>
        <w:t>，协调解决工作中遇到的重大问题。</w:t>
      </w:r>
      <w:r>
        <w:rPr>
          <w:rFonts w:hint="eastAsia" w:eastAsia="仿宋_GB2312"/>
          <w:sz w:val="32"/>
          <w:szCs w:val="32"/>
          <w:lang w:bidi="ar"/>
        </w:rPr>
        <w:t>各县（区）</w:t>
      </w:r>
      <w:r>
        <w:rPr>
          <w:rFonts w:eastAsia="仿宋_GB2312"/>
          <w:sz w:val="32"/>
          <w:szCs w:val="32"/>
        </w:rPr>
        <w:t>人民政府可</w:t>
      </w:r>
      <w:r>
        <w:rPr>
          <w:rFonts w:hint="eastAsia" w:eastAsia="仿宋_GB2312"/>
          <w:sz w:val="32"/>
          <w:szCs w:val="32"/>
        </w:rPr>
        <w:t>参照</w:t>
      </w:r>
      <w:r>
        <w:rPr>
          <w:rFonts w:eastAsia="仿宋_GB2312"/>
          <w:sz w:val="32"/>
          <w:szCs w:val="32"/>
        </w:rPr>
        <w:t>建立本级协调</w:t>
      </w:r>
      <w:r>
        <w:rPr>
          <w:rFonts w:hint="eastAsia" w:eastAsia="仿宋_GB2312"/>
          <w:sz w:val="32"/>
          <w:szCs w:val="32"/>
        </w:rPr>
        <w:t>推进</w:t>
      </w:r>
      <w:r>
        <w:rPr>
          <w:rFonts w:eastAsia="仿宋_GB2312"/>
          <w:sz w:val="32"/>
          <w:szCs w:val="32"/>
        </w:rPr>
        <w:t>机制</w:t>
      </w:r>
      <w:r>
        <w:rPr>
          <w:rFonts w:eastAsia="仿宋_GB2312"/>
          <w:kern w:val="0"/>
          <w:sz w:val="32"/>
          <w:szCs w:val="32"/>
          <w:lang w:bidi="ar"/>
        </w:rPr>
        <w:t>。</w:t>
      </w:r>
    </w:p>
    <w:p w14:paraId="5E0E7DA1">
      <w:pPr>
        <w:pStyle w:val="4"/>
        <w:snapToGrid w:val="0"/>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数据主管部门负责</w:t>
      </w:r>
      <w:r>
        <w:rPr>
          <w:rFonts w:hint="eastAsia" w:ascii="Times New Roman" w:hAnsi="Times New Roman" w:eastAsia="仿宋_GB2312"/>
          <w:sz w:val="32"/>
          <w:szCs w:val="32"/>
        </w:rPr>
        <w:t>本行政区域内</w:t>
      </w:r>
      <w:r>
        <w:rPr>
          <w:rFonts w:ascii="Times New Roman" w:hAnsi="Times New Roman" w:eastAsia="仿宋_GB2312"/>
          <w:sz w:val="32"/>
          <w:szCs w:val="32"/>
        </w:rPr>
        <w:t>公共数据</w:t>
      </w:r>
      <w:r>
        <w:rPr>
          <w:rFonts w:hint="eastAsia" w:ascii="Times New Roman" w:hAnsi="Times New Roman" w:eastAsia="仿宋_GB2312"/>
          <w:sz w:val="32"/>
          <w:szCs w:val="32"/>
        </w:rPr>
        <w:t>的统筹管理，组织落实协调推进机制确定的工作事项，推动公共数据规范运营</w:t>
      </w:r>
      <w:r>
        <w:rPr>
          <w:rFonts w:ascii="Times New Roman" w:hAnsi="Times New Roman" w:eastAsia="仿宋_GB2312"/>
          <w:sz w:val="32"/>
          <w:szCs w:val="32"/>
        </w:rPr>
        <w:t>。</w:t>
      </w:r>
    </w:p>
    <w:p w14:paraId="0D9679A9">
      <w:pPr>
        <w:pStyle w:val="4"/>
        <w:snapToGrid w:val="0"/>
        <w:spacing w:line="560" w:lineRule="exact"/>
        <w:ind w:firstLine="640" w:firstLineChars="200"/>
        <w:rPr>
          <w:rFonts w:ascii="Times New Roman" w:hAnsi="Times New Roman" w:eastAsia="仿宋_GB2312"/>
          <w:sz w:val="32"/>
          <w:szCs w:val="32"/>
        </w:rPr>
      </w:pPr>
      <w:r>
        <w:rPr>
          <w:rFonts w:hint="eastAsia" w:eastAsia="仿宋_GB2312"/>
          <w:sz w:val="32"/>
          <w:szCs w:val="32"/>
        </w:rPr>
        <w:t>各相关行业主管部门按照各自职责做好本行业、本领域公共数据资源归集、质量管理及授权运营相关管理工作</w:t>
      </w:r>
      <w:r>
        <w:rPr>
          <w:rFonts w:ascii="Times New Roman" w:hAnsi="Times New Roman" w:eastAsia="仿宋_GB2312"/>
          <w:sz w:val="32"/>
          <w:szCs w:val="32"/>
        </w:rPr>
        <w:t>。</w:t>
      </w:r>
    </w:p>
    <w:p w14:paraId="7C839EFE">
      <w:pPr>
        <w:pStyle w:val="4"/>
        <w:snapToGrid w:val="0"/>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网信、保密</w:t>
      </w:r>
      <w:r>
        <w:rPr>
          <w:rFonts w:hint="eastAsia" w:ascii="Times New Roman" w:hAnsi="Times New Roman" w:eastAsia="仿宋_GB2312"/>
          <w:sz w:val="32"/>
          <w:szCs w:val="32"/>
        </w:rPr>
        <w:t>、</w:t>
      </w:r>
      <w:r>
        <w:rPr>
          <w:rFonts w:ascii="Times New Roman" w:hAnsi="Times New Roman" w:eastAsia="仿宋_GB2312"/>
          <w:sz w:val="32"/>
          <w:szCs w:val="32"/>
        </w:rPr>
        <w:t>公安、国</w:t>
      </w:r>
      <w:r>
        <w:rPr>
          <w:rFonts w:hint="eastAsia" w:ascii="Times New Roman" w:hAnsi="Times New Roman" w:eastAsia="仿宋_GB2312"/>
          <w:sz w:val="32"/>
          <w:szCs w:val="32"/>
        </w:rPr>
        <w:t>家</w:t>
      </w:r>
      <w:r>
        <w:rPr>
          <w:rFonts w:ascii="Times New Roman" w:hAnsi="Times New Roman" w:eastAsia="仿宋_GB2312"/>
          <w:sz w:val="32"/>
          <w:szCs w:val="32"/>
        </w:rPr>
        <w:t>安</w:t>
      </w:r>
      <w:r>
        <w:rPr>
          <w:rFonts w:hint="eastAsia" w:ascii="Times New Roman" w:hAnsi="Times New Roman" w:eastAsia="仿宋_GB2312"/>
          <w:sz w:val="32"/>
          <w:szCs w:val="32"/>
        </w:rPr>
        <w:t>全</w:t>
      </w:r>
      <w:r>
        <w:rPr>
          <w:rFonts w:ascii="Times New Roman" w:hAnsi="Times New Roman" w:eastAsia="仿宋_GB2312"/>
          <w:sz w:val="32"/>
          <w:szCs w:val="32"/>
        </w:rPr>
        <w:t>等部门按照各自职责，做好公共数据授权运营的安全监管工作。</w:t>
      </w:r>
    </w:p>
    <w:p w14:paraId="312675D3">
      <w:pPr>
        <w:pStyle w:val="4"/>
        <w:snapToGrid w:val="0"/>
        <w:spacing w:line="560" w:lineRule="exact"/>
        <w:ind w:firstLine="640" w:firstLineChars="200"/>
        <w:rPr>
          <w:rFonts w:ascii="Times New Roman" w:hAnsi="Times New Roman" w:eastAsia="仿宋_GB2312"/>
          <w:sz w:val="32"/>
          <w:szCs w:val="32"/>
        </w:rPr>
      </w:pPr>
    </w:p>
    <w:p w14:paraId="26CFB7E5">
      <w:pPr>
        <w:spacing w:line="560" w:lineRule="exact"/>
        <w:jc w:val="center"/>
        <w:outlineLvl w:val="0"/>
        <w:rPr>
          <w:rFonts w:ascii="黑体" w:hAnsi="黑体" w:eastAsia="黑体" w:cs="黑体"/>
          <w:sz w:val="32"/>
          <w:szCs w:val="32"/>
        </w:rPr>
      </w:pPr>
      <w:r>
        <w:rPr>
          <w:rFonts w:hint="eastAsia" w:ascii="黑体" w:hAnsi="黑体" w:eastAsia="黑体" w:cs="黑体"/>
          <w:sz w:val="32"/>
          <w:szCs w:val="32"/>
        </w:rPr>
        <w:t>第二章  授权管理</w:t>
      </w:r>
    </w:p>
    <w:p w14:paraId="6D39C0EE">
      <w:pPr>
        <w:snapToGrid w:val="0"/>
        <w:spacing w:line="560" w:lineRule="exact"/>
        <w:ind w:firstLine="640" w:firstLineChars="200"/>
        <w:rPr>
          <w:rFonts w:ascii="Times New Roman" w:hAnsi="Times New Roman" w:eastAsia="仿宋_GB2312"/>
          <w:sz w:val="32"/>
          <w:szCs w:val="32"/>
        </w:rPr>
      </w:pPr>
      <w:r>
        <w:rPr>
          <w:rFonts w:hint="eastAsia" w:ascii="黑体" w:hAnsi="黑体" w:eastAsia="黑体" w:cs="黑体"/>
          <w:sz w:val="32"/>
          <w:szCs w:val="32"/>
        </w:rPr>
        <w:t xml:space="preserve">第六条  </w:t>
      </w:r>
      <w:bookmarkStart w:id="0" w:name="_Hlk166959648"/>
      <w:r>
        <w:rPr>
          <w:rFonts w:hint="eastAsia" w:eastAsia="仿宋_GB2312"/>
          <w:sz w:val="32"/>
          <w:szCs w:val="32"/>
        </w:rPr>
        <w:t>公共数据授权运营主要采用分领域授权、依场景授权的方式。</w:t>
      </w:r>
      <w:bookmarkEnd w:id="0"/>
    </w:p>
    <w:p w14:paraId="250BF7CA">
      <w:pPr>
        <w:numPr>
          <w:ilvl w:val="0"/>
          <w:numId w:val="1"/>
        </w:numPr>
        <w:spacing w:line="560" w:lineRule="exact"/>
        <w:ind w:firstLine="640" w:firstLineChars="200"/>
        <w:rPr>
          <w:rFonts w:eastAsia="仿宋_GB2312"/>
          <w:sz w:val="32"/>
          <w:szCs w:val="32"/>
        </w:rPr>
      </w:pPr>
      <w:r>
        <w:rPr>
          <w:rFonts w:hint="eastAsia" w:eastAsia="仿宋_GB2312"/>
          <w:kern w:val="0"/>
          <w:sz w:val="32"/>
          <w:szCs w:val="32"/>
          <w:shd w:val="clear" w:color="auto" w:fill="FFFFFF"/>
          <w:lang w:bidi="ar"/>
        </w:rPr>
        <w:t xml:space="preserve"> </w:t>
      </w:r>
      <w:r>
        <w:rPr>
          <w:rFonts w:eastAsia="仿宋_GB2312" w:cs="仿宋_GB2312"/>
          <w:kern w:val="0"/>
          <w:sz w:val="32"/>
          <w:szCs w:val="32"/>
          <w:shd w:val="clear" w:color="auto" w:fill="FFFFFF"/>
          <w:lang w:bidi="ar"/>
        </w:rPr>
        <w:t>开展公共数据授权运营前，</w:t>
      </w:r>
      <w:r>
        <w:rPr>
          <w:rFonts w:eastAsia="仿宋_GB2312"/>
          <w:sz w:val="32"/>
          <w:szCs w:val="32"/>
        </w:rPr>
        <w:t>数据主管部门应</w:t>
      </w:r>
      <w:r>
        <w:rPr>
          <w:rFonts w:hint="eastAsia" w:eastAsia="仿宋_GB2312"/>
          <w:sz w:val="32"/>
          <w:szCs w:val="32"/>
        </w:rPr>
        <w:t>会同</w:t>
      </w:r>
      <w:r>
        <w:rPr>
          <w:rFonts w:eastAsia="仿宋_GB2312"/>
          <w:sz w:val="32"/>
          <w:szCs w:val="32"/>
        </w:rPr>
        <w:t>相关单位编制公共数据授权运营实施方案（以下简称</w:t>
      </w:r>
      <w:r>
        <w:rPr>
          <w:rFonts w:hint="eastAsia" w:eastAsia="仿宋_GB2312"/>
          <w:sz w:val="32"/>
          <w:szCs w:val="32"/>
        </w:rPr>
        <w:t>“</w:t>
      </w:r>
      <w:r>
        <w:rPr>
          <w:rFonts w:eastAsia="仿宋_GB2312"/>
          <w:sz w:val="32"/>
          <w:szCs w:val="32"/>
        </w:rPr>
        <w:t>实施方案</w:t>
      </w:r>
      <w:r>
        <w:rPr>
          <w:rFonts w:hint="eastAsia" w:eastAsia="仿宋_GB2312"/>
          <w:sz w:val="32"/>
          <w:szCs w:val="32"/>
        </w:rPr>
        <w:t>”</w:t>
      </w:r>
      <w:r>
        <w:rPr>
          <w:rFonts w:eastAsia="仿宋_GB2312"/>
          <w:sz w:val="32"/>
          <w:szCs w:val="32"/>
        </w:rPr>
        <w:t>），</w:t>
      </w:r>
      <w:r>
        <w:rPr>
          <w:rFonts w:hint="eastAsia" w:ascii="Times New Roman" w:hAnsi="Times New Roman" w:eastAsia="仿宋_GB2312"/>
          <w:sz w:val="32"/>
          <w:szCs w:val="32"/>
        </w:rPr>
        <w:t xml:space="preserve"> </w:t>
      </w:r>
      <w:r>
        <w:rPr>
          <w:rFonts w:eastAsia="仿宋_GB2312"/>
          <w:sz w:val="32"/>
          <w:szCs w:val="32"/>
          <w:lang w:bidi="ar"/>
        </w:rPr>
        <w:t>实施</w:t>
      </w:r>
      <w:r>
        <w:rPr>
          <w:rFonts w:eastAsia="仿宋_GB2312"/>
          <w:sz w:val="32"/>
          <w:szCs w:val="32"/>
        </w:rPr>
        <w:t>方案应包括</w:t>
      </w:r>
      <w:r>
        <w:rPr>
          <w:rFonts w:eastAsia="仿宋_GB2312"/>
          <w:sz w:val="32"/>
          <w:szCs w:val="32"/>
          <w:lang w:val="zh-CN"/>
        </w:rPr>
        <w:t>授权运营</w:t>
      </w:r>
      <w:r>
        <w:rPr>
          <w:rFonts w:hint="eastAsia" w:eastAsia="仿宋_GB2312"/>
          <w:sz w:val="32"/>
          <w:szCs w:val="32"/>
        </w:rPr>
        <w:t>背景和</w:t>
      </w:r>
      <w:r>
        <w:rPr>
          <w:rFonts w:eastAsia="仿宋_GB2312"/>
          <w:sz w:val="32"/>
          <w:szCs w:val="32"/>
          <w:lang w:val="zh-CN"/>
        </w:rPr>
        <w:t>必要性</w:t>
      </w:r>
      <w:r>
        <w:rPr>
          <w:rFonts w:hint="eastAsia" w:eastAsia="仿宋_GB2312"/>
          <w:sz w:val="32"/>
          <w:szCs w:val="32"/>
        </w:rPr>
        <w:t>、可信性认证</w:t>
      </w:r>
      <w:r>
        <w:rPr>
          <w:rFonts w:eastAsia="仿宋_GB2312"/>
          <w:sz w:val="32"/>
          <w:szCs w:val="32"/>
          <w:lang w:val="zh-CN"/>
        </w:rPr>
        <w:t>、授权</w:t>
      </w:r>
      <w:r>
        <w:rPr>
          <w:rFonts w:hint="eastAsia" w:eastAsia="仿宋_GB2312"/>
          <w:sz w:val="32"/>
          <w:szCs w:val="32"/>
          <w:lang w:val="zh-CN"/>
        </w:rPr>
        <w:t>运营机构</w:t>
      </w:r>
      <w:r>
        <w:rPr>
          <w:rFonts w:eastAsia="仿宋_GB2312"/>
          <w:sz w:val="32"/>
          <w:szCs w:val="32"/>
          <w:lang w:val="zh-CN"/>
        </w:rPr>
        <w:t>的确定及条件、</w:t>
      </w:r>
      <w:r>
        <w:rPr>
          <w:rFonts w:eastAsia="仿宋_GB2312"/>
          <w:sz w:val="32"/>
          <w:szCs w:val="32"/>
        </w:rPr>
        <w:t>授权运营场景、授权运营公共数据资源范围及数据资源目录、拟提供的公共数据产品清单、</w:t>
      </w:r>
      <w:r>
        <w:rPr>
          <w:rFonts w:hint="eastAsia" w:eastAsia="仿宋_GB2312"/>
          <w:sz w:val="32"/>
          <w:szCs w:val="32"/>
        </w:rPr>
        <w:t>协议签订要求、数据激励、数据安全保障与监督管理、信息保护与应急处置措施</w:t>
      </w:r>
      <w:r>
        <w:rPr>
          <w:rFonts w:eastAsia="仿宋_GB2312"/>
          <w:sz w:val="32"/>
          <w:szCs w:val="32"/>
        </w:rPr>
        <w:t>等</w:t>
      </w:r>
      <w:r>
        <w:rPr>
          <w:rFonts w:hint="eastAsia" w:eastAsia="仿宋_GB2312"/>
          <w:sz w:val="32"/>
          <w:szCs w:val="32"/>
        </w:rPr>
        <w:t>，</w:t>
      </w:r>
      <w:r>
        <w:rPr>
          <w:rFonts w:eastAsia="仿宋_GB2312"/>
          <w:sz w:val="32"/>
          <w:szCs w:val="32"/>
        </w:rPr>
        <w:t>兼顾经济和社会效益，确保可实施可落地</w:t>
      </w:r>
      <w:r>
        <w:rPr>
          <w:rFonts w:hint="eastAsia" w:eastAsia="仿宋_GB2312"/>
          <w:sz w:val="32"/>
          <w:szCs w:val="32"/>
        </w:rPr>
        <w:t>。</w:t>
      </w:r>
    </w:p>
    <w:p w14:paraId="6FBF4AE1">
      <w:pPr>
        <w:spacing w:line="560" w:lineRule="exact"/>
        <w:ind w:firstLine="640" w:firstLineChars="200"/>
        <w:rPr>
          <w:rFonts w:eastAsia="仿宋_GB2312"/>
          <w:sz w:val="32"/>
          <w:szCs w:val="32"/>
        </w:rPr>
      </w:pPr>
      <w:r>
        <w:rPr>
          <w:rFonts w:hint="eastAsia" w:ascii="黑体" w:hAnsi="黑体" w:eastAsia="黑体" w:cs="黑体"/>
          <w:sz w:val="32"/>
          <w:szCs w:val="32"/>
        </w:rPr>
        <w:t xml:space="preserve">第八条 </w:t>
      </w:r>
      <w:r>
        <w:rPr>
          <w:rFonts w:hint="eastAsia" w:eastAsia="仿宋_GB2312"/>
          <w:sz w:val="32"/>
          <w:szCs w:val="32"/>
        </w:rPr>
        <w:t>实施方案经本级协调推进机制综合评估后，</w:t>
      </w:r>
      <w:r>
        <w:rPr>
          <w:rFonts w:eastAsia="仿宋_GB2312"/>
          <w:sz w:val="32"/>
          <w:szCs w:val="32"/>
          <w:lang w:val="zh-CN"/>
        </w:rPr>
        <w:t>报请同级人民政府按</w:t>
      </w:r>
      <w:r>
        <w:rPr>
          <w:rFonts w:hint="eastAsia" w:eastAsia="仿宋_GB2312"/>
          <w:sz w:val="32"/>
          <w:szCs w:val="32"/>
          <w:lang w:val="zh-CN"/>
        </w:rPr>
        <w:t>“</w:t>
      </w:r>
      <w:r>
        <w:rPr>
          <w:rFonts w:eastAsia="仿宋_GB2312"/>
          <w:sz w:val="32"/>
          <w:szCs w:val="32"/>
          <w:lang w:val="zh-CN"/>
        </w:rPr>
        <w:t>三重一大</w:t>
      </w:r>
      <w:r>
        <w:rPr>
          <w:rFonts w:hint="eastAsia" w:eastAsia="仿宋_GB2312"/>
          <w:sz w:val="32"/>
          <w:szCs w:val="32"/>
          <w:lang w:val="zh-CN"/>
        </w:rPr>
        <w:t>”</w:t>
      </w:r>
      <w:r>
        <w:rPr>
          <w:rFonts w:eastAsia="仿宋_GB2312"/>
          <w:sz w:val="32"/>
          <w:szCs w:val="32"/>
          <w:lang w:val="zh-CN"/>
        </w:rPr>
        <w:t>决策机制审议通过后实施</w:t>
      </w:r>
      <w:r>
        <w:rPr>
          <w:rFonts w:eastAsia="仿宋_GB2312"/>
          <w:sz w:val="32"/>
          <w:szCs w:val="32"/>
        </w:rPr>
        <w:t>。</w:t>
      </w:r>
    </w:p>
    <w:p w14:paraId="1DAADC49">
      <w:pPr>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原则上经审定的实施方案不得随意变更，确需变更或发生重大调整变化的，应重新报请同级人民政府，按照“三重一大”决策机制要求审议。</w:t>
      </w:r>
    </w:p>
    <w:p w14:paraId="3F9400F3">
      <w:pPr>
        <w:snapToGrid w:val="0"/>
        <w:spacing w:line="560" w:lineRule="exact"/>
        <w:ind w:firstLine="640" w:firstLineChars="200"/>
        <w:rPr>
          <w:rFonts w:eastAsia="仿宋_GB2312"/>
          <w:sz w:val="32"/>
          <w:szCs w:val="32"/>
        </w:rPr>
      </w:pPr>
      <w:r>
        <w:rPr>
          <w:rFonts w:hint="eastAsia" w:ascii="黑体" w:hAnsi="黑体" w:eastAsia="黑体" w:cs="黑体"/>
          <w:sz w:val="32"/>
          <w:szCs w:val="32"/>
        </w:rPr>
        <w:t xml:space="preserve">第九条  </w:t>
      </w:r>
      <w:r>
        <w:rPr>
          <w:rFonts w:hint="eastAsia" w:eastAsia="仿宋_GB2312"/>
          <w:sz w:val="32"/>
          <w:szCs w:val="32"/>
          <w:lang w:val="zh-CN"/>
        </w:rPr>
        <w:t>实施机构</w:t>
      </w:r>
      <w:r>
        <w:rPr>
          <w:rFonts w:hint="eastAsia" w:ascii="Times New Roman" w:hAnsi="Times New Roman" w:eastAsia="仿宋_GB2312"/>
          <w:sz w:val="32"/>
          <w:szCs w:val="32"/>
        </w:rPr>
        <w:t>根据审定同意后的实施方案，依法按程序以招标、邀标、谈判等公平竞争方式选择运营机构</w:t>
      </w:r>
      <w:r>
        <w:rPr>
          <w:rFonts w:eastAsia="仿宋_GB2312" w:cs="仿宋_GB2312"/>
          <w:sz w:val="32"/>
          <w:szCs w:val="32"/>
        </w:rPr>
        <w:t>。</w:t>
      </w:r>
    </w:p>
    <w:p w14:paraId="5743C72B">
      <w:pPr>
        <w:widowControl/>
        <w:shd w:val="clear" w:color="auto" w:fill="FFFFFF"/>
        <w:spacing w:line="560" w:lineRule="exact"/>
        <w:ind w:firstLine="640" w:firstLineChars="200"/>
        <w:rPr>
          <w:rFonts w:ascii="Times New Roman" w:hAnsi="Times New Roman" w:eastAsia="仿宋_GB2312"/>
          <w:sz w:val="32"/>
          <w:szCs w:val="32"/>
        </w:rPr>
      </w:pPr>
      <w:r>
        <w:rPr>
          <w:rFonts w:hint="eastAsia" w:ascii="黑体" w:hAnsi="黑体" w:eastAsia="黑体" w:cs="黑体"/>
          <w:sz w:val="32"/>
          <w:szCs w:val="32"/>
        </w:rPr>
        <w:t xml:space="preserve">第十条 </w:t>
      </w:r>
      <w:r>
        <w:rPr>
          <w:rFonts w:hint="eastAsia" w:eastAsia="仿宋_GB2312"/>
          <w:sz w:val="32"/>
          <w:szCs w:val="32"/>
        </w:rPr>
        <w:t xml:space="preserve"> </w:t>
      </w:r>
      <w:r>
        <w:rPr>
          <w:rFonts w:hint="eastAsia" w:eastAsia="仿宋_GB2312"/>
          <w:sz w:val="32"/>
          <w:szCs w:val="32"/>
          <w:lang w:val="zh-CN"/>
        </w:rPr>
        <w:t>实施机构</w:t>
      </w:r>
      <w:r>
        <w:rPr>
          <w:rFonts w:hint="eastAsia" w:ascii="Times New Roman" w:hAnsi="Times New Roman" w:eastAsia="仿宋_GB2312"/>
          <w:sz w:val="32"/>
          <w:szCs w:val="32"/>
        </w:rPr>
        <w:t>应独立或会同本级有关部门，与选定的运营机构签订公共数据授权运营协议。协议应当包括双方权利义务、授权运营范围、</w:t>
      </w:r>
      <w:r>
        <w:rPr>
          <w:rFonts w:eastAsia="仿宋_GB2312"/>
          <w:sz w:val="32"/>
          <w:szCs w:val="32"/>
          <w:lang w:val="zh-CN"/>
        </w:rPr>
        <w:t>初步拟定的公共数据产品清单及审核要求、</w:t>
      </w:r>
      <w:r>
        <w:rPr>
          <w:rFonts w:hint="eastAsia" w:ascii="Times New Roman" w:hAnsi="Times New Roman" w:eastAsia="仿宋_GB2312"/>
          <w:sz w:val="32"/>
          <w:szCs w:val="32"/>
        </w:rPr>
        <w:t>运营期限、资产归属、退出机制、</w:t>
      </w:r>
      <w:r>
        <w:rPr>
          <w:rFonts w:eastAsia="仿宋_GB2312"/>
          <w:sz w:val="32"/>
          <w:szCs w:val="32"/>
          <w:lang w:val="zh-CN"/>
        </w:rPr>
        <w:t>数据安全</w:t>
      </w:r>
      <w:r>
        <w:rPr>
          <w:rFonts w:hint="eastAsia" w:eastAsia="仿宋_GB2312"/>
          <w:sz w:val="32"/>
          <w:szCs w:val="32"/>
        </w:rPr>
        <w:t>和信息保护</w:t>
      </w:r>
      <w:r>
        <w:rPr>
          <w:rFonts w:eastAsia="仿宋_GB2312"/>
          <w:sz w:val="32"/>
          <w:szCs w:val="32"/>
          <w:lang w:val="zh-CN"/>
        </w:rPr>
        <w:t>要求</w:t>
      </w:r>
      <w:r>
        <w:rPr>
          <w:rFonts w:hint="eastAsia" w:eastAsia="仿宋_GB2312"/>
          <w:sz w:val="32"/>
          <w:szCs w:val="32"/>
        </w:rPr>
        <w:t>及</w:t>
      </w:r>
      <w:r>
        <w:rPr>
          <w:rFonts w:eastAsia="仿宋_GB2312"/>
          <w:sz w:val="32"/>
          <w:szCs w:val="32"/>
        </w:rPr>
        <w:t>动态调整</w:t>
      </w:r>
      <w:r>
        <w:rPr>
          <w:rFonts w:hint="eastAsia" w:ascii="仿宋_GB2312" w:hAnsi="仿宋_GB2312" w:eastAsia="仿宋_GB2312" w:cs="仿宋_GB2312"/>
          <w:sz w:val="32"/>
          <w:szCs w:val="32"/>
          <w:lang w:val="zh-CN"/>
        </w:rPr>
        <w:t>机制</w:t>
      </w:r>
      <w:r>
        <w:rPr>
          <w:rFonts w:eastAsia="仿宋_GB2312"/>
          <w:sz w:val="32"/>
          <w:szCs w:val="32"/>
          <w:lang w:val="zh-CN"/>
        </w:rPr>
        <w:t>、风险监测</w:t>
      </w:r>
      <w:r>
        <w:rPr>
          <w:rFonts w:hint="eastAsia" w:eastAsia="仿宋_GB2312"/>
          <w:sz w:val="32"/>
          <w:szCs w:val="32"/>
        </w:rPr>
        <w:t>和</w:t>
      </w:r>
      <w:r>
        <w:rPr>
          <w:rFonts w:eastAsia="仿宋_GB2312"/>
          <w:sz w:val="32"/>
          <w:szCs w:val="32"/>
          <w:lang w:val="zh-CN"/>
        </w:rPr>
        <w:t>成效评价标准</w:t>
      </w:r>
      <w:r>
        <w:rPr>
          <w:rFonts w:hint="eastAsia" w:eastAsia="仿宋_GB2312"/>
          <w:sz w:val="32"/>
          <w:szCs w:val="32"/>
        </w:rPr>
        <w:t>、</w:t>
      </w:r>
      <w:r>
        <w:rPr>
          <w:rFonts w:eastAsia="仿宋_GB2312"/>
          <w:sz w:val="32"/>
          <w:szCs w:val="32"/>
          <w:lang w:val="zh-CN"/>
        </w:rPr>
        <w:t>运营情况信息披露要求</w:t>
      </w:r>
      <w:r>
        <w:rPr>
          <w:rFonts w:hint="eastAsia" w:ascii="Times New Roman" w:hAnsi="Times New Roman" w:eastAsia="仿宋_GB2312"/>
          <w:sz w:val="32"/>
          <w:szCs w:val="32"/>
        </w:rPr>
        <w:t>等内容。</w:t>
      </w:r>
    </w:p>
    <w:p w14:paraId="5F705785">
      <w:pPr>
        <w:snapToGrid w:val="0"/>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授权运营协议签订前，协议内容应经实施机构“三重一大”决策机制审议通过。</w:t>
      </w:r>
    </w:p>
    <w:p w14:paraId="29E92B36">
      <w:pPr>
        <w:pStyle w:val="2"/>
        <w:spacing w:line="560" w:lineRule="exact"/>
        <w:ind w:firstLine="640"/>
        <w:rPr>
          <w:rFonts w:ascii="Times New Roman" w:hAnsi="Times New Roman" w:eastAsia="仿宋_GB2312"/>
          <w:sz w:val="32"/>
          <w:szCs w:val="32"/>
        </w:rPr>
      </w:pPr>
      <w:r>
        <w:rPr>
          <w:rFonts w:hint="eastAsia" w:ascii="黑体" w:hAnsi="黑体" w:eastAsia="黑体" w:cs="黑体"/>
          <w:sz w:val="32"/>
          <w:szCs w:val="32"/>
        </w:rPr>
        <w:t>第十一条</w:t>
      </w:r>
      <w:r>
        <w:rPr>
          <w:rFonts w:hint="eastAsia" w:ascii="Times New Roman" w:hAnsi="Times New Roman" w:eastAsia="仿宋_GB2312"/>
          <w:sz w:val="32"/>
          <w:szCs w:val="32"/>
        </w:rPr>
        <w:t xml:space="preserve"> 实施机构依法依规授予运营机构公共数据加工使用权、数据产品经营权，不涉及公共数据所有权、持有权的转移，</w:t>
      </w:r>
      <w:r>
        <w:rPr>
          <w:rFonts w:hint="eastAsia" w:eastAsia="仿宋_GB2312"/>
          <w:sz w:val="32"/>
          <w:szCs w:val="32"/>
        </w:rPr>
        <w:t>运营机构</w:t>
      </w:r>
      <w:r>
        <w:rPr>
          <w:rFonts w:eastAsia="仿宋_GB2312"/>
          <w:sz w:val="32"/>
          <w:szCs w:val="32"/>
        </w:rPr>
        <w:t>必须在授权范围内开展数据运营服务，不得二次授权或转授权。</w:t>
      </w:r>
    </w:p>
    <w:p w14:paraId="401A13ED">
      <w:pPr>
        <w:pStyle w:val="2"/>
        <w:spacing w:line="560" w:lineRule="exact"/>
        <w:ind w:firstLine="640"/>
        <w:rPr>
          <w:rFonts w:ascii="Times New Roman" w:hAnsi="Times New Roman" w:eastAsia="仿宋_GB2312"/>
          <w:sz w:val="32"/>
          <w:szCs w:val="32"/>
        </w:rPr>
      </w:pPr>
      <w:r>
        <w:rPr>
          <w:rFonts w:hint="eastAsia" w:ascii="黑体" w:hAnsi="黑体" w:eastAsia="黑体" w:cs="黑体"/>
          <w:sz w:val="32"/>
          <w:szCs w:val="32"/>
        </w:rPr>
        <w:t>第十二条</w:t>
      </w:r>
      <w:r>
        <w:rPr>
          <w:rFonts w:hint="eastAsia" w:ascii="Times New Roman" w:hAnsi="Times New Roman" w:eastAsia="仿宋_GB2312"/>
          <w:sz w:val="32"/>
          <w:szCs w:val="32"/>
        </w:rPr>
        <w:t xml:space="preserve"> 授权运营期限由实施机构和运营机构双方协商确定，原则上最长不超过5年。授权运营期限内，运营机构不遵守授权运营协议或者规定的，实施机构依法依规或者按照约定暂停执行或者提前终止授权运营。</w:t>
      </w:r>
    </w:p>
    <w:p w14:paraId="1C7F339D">
      <w:pPr>
        <w:pStyle w:val="2"/>
        <w:numPr>
          <w:ilvl w:val="0"/>
          <w:numId w:val="2"/>
        </w:numPr>
        <w:spacing w:line="560" w:lineRule="exact"/>
        <w:ind w:firstLine="640"/>
        <w:rPr>
          <w:rFonts w:eastAsia="仿宋_GB2312"/>
          <w:kern w:val="0"/>
          <w:sz w:val="32"/>
          <w:szCs w:val="32"/>
          <w:shd w:val="clear" w:color="auto" w:fill="FFFFFF"/>
          <w:lang w:bidi="ar"/>
        </w:rPr>
      </w:pPr>
      <w:r>
        <w:rPr>
          <w:rFonts w:hint="eastAsia" w:ascii="Times New Roman" w:hAnsi="Times New Roman" w:eastAsia="仿宋_GB2312"/>
          <w:sz w:val="32"/>
          <w:szCs w:val="32"/>
        </w:rPr>
        <w:t>授权运营协议终止或撤销的，实施机构应及时关闭运营机构的授权运营域使用权限，及时删除授权运营域内留存的相关数据，并按照规定留存不少于6个月的相关网络日志，运营机构应配合实施机构</w:t>
      </w:r>
      <w:r>
        <w:rPr>
          <w:rFonts w:ascii="Times New Roman" w:hAnsi="Times New Roman" w:eastAsia="仿宋_GB2312" w:cs="仿宋_GB2312"/>
          <w:sz w:val="32"/>
          <w:szCs w:val="32"/>
        </w:rPr>
        <w:t>做好平台及运营相关的交接工作。</w:t>
      </w:r>
    </w:p>
    <w:p w14:paraId="3B0CB5FE">
      <w:pPr>
        <w:pStyle w:val="2"/>
        <w:spacing w:line="560" w:lineRule="exact"/>
        <w:ind w:left="640" w:firstLine="0" w:firstLineChars="0"/>
        <w:rPr>
          <w:rFonts w:eastAsia="仿宋_GB2312"/>
          <w:kern w:val="0"/>
          <w:sz w:val="32"/>
          <w:szCs w:val="32"/>
          <w:shd w:val="clear" w:color="auto" w:fill="FFFFFF"/>
          <w:lang w:bidi="ar"/>
        </w:rPr>
      </w:pPr>
    </w:p>
    <w:p w14:paraId="285F3F34">
      <w:pPr>
        <w:spacing w:line="560" w:lineRule="exact"/>
        <w:jc w:val="center"/>
        <w:outlineLvl w:val="0"/>
        <w:rPr>
          <w:rFonts w:ascii="黑体" w:hAnsi="黑体" w:eastAsia="黑体" w:cs="黑体"/>
          <w:sz w:val="32"/>
          <w:szCs w:val="32"/>
        </w:rPr>
      </w:pPr>
      <w:r>
        <w:rPr>
          <w:rFonts w:hint="eastAsia" w:ascii="黑体" w:hAnsi="黑体" w:eastAsia="黑体" w:cs="黑体"/>
          <w:sz w:val="32"/>
          <w:szCs w:val="32"/>
        </w:rPr>
        <w:t>第三章 运营管理</w:t>
      </w:r>
    </w:p>
    <w:p w14:paraId="6000DACC">
      <w:pPr>
        <w:numPr>
          <w:ilvl w:val="0"/>
          <w:numId w:val="2"/>
        </w:numPr>
        <w:tabs>
          <w:tab w:val="left" w:pos="0"/>
        </w:tabs>
        <w:adjustRightInd w:val="0"/>
        <w:snapToGrid w:val="0"/>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实施机构应当通过授权运营域向运营机构提供经授权的公共数据。</w:t>
      </w:r>
    </w:p>
    <w:p w14:paraId="594233BE">
      <w:pPr>
        <w:numPr>
          <w:ilvl w:val="0"/>
          <w:numId w:val="2"/>
        </w:numPr>
        <w:tabs>
          <w:tab w:val="left" w:pos="0"/>
        </w:tabs>
        <w:adjustRightInd w:val="0"/>
        <w:snapToGrid w:val="0"/>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运营机构可引入符合条件的数据产品开发机构（以下简称“开发机构”）入驻授权运营域，合作开发数据产品。</w:t>
      </w:r>
    </w:p>
    <w:p w14:paraId="0B8BE384">
      <w:pPr>
        <w:tabs>
          <w:tab w:val="left" w:pos="0"/>
        </w:tabs>
        <w:spacing w:line="560" w:lineRule="exact"/>
        <w:ind w:firstLine="640"/>
        <w:rPr>
          <w:rFonts w:ascii="Times New Roman" w:hAnsi="Times New Roman" w:eastAsia="仿宋_GB2312"/>
          <w:sz w:val="32"/>
          <w:szCs w:val="32"/>
        </w:rPr>
      </w:pPr>
      <w:r>
        <w:rPr>
          <w:rFonts w:hint="eastAsia" w:ascii="Times New Roman" w:hAnsi="Times New Roman" w:eastAsia="仿宋_GB2312"/>
          <w:sz w:val="32"/>
          <w:szCs w:val="32"/>
        </w:rPr>
        <w:t>开发机构入驻规则、数据资源开发利用规则、安全责任规范等，由运营机构制定，经实施机构征求有关部门意见，审核同意后实施。</w:t>
      </w:r>
    </w:p>
    <w:p w14:paraId="49406086">
      <w:pPr>
        <w:snapToGrid w:val="0"/>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运营机构应当按照非歧视、非垄断原则开展运营活动，不得滥用市场支配地位实施垄断和不正当竞争行为，</w:t>
      </w:r>
      <w:r>
        <w:rPr>
          <w:rFonts w:hint="eastAsia" w:ascii="仿宋_GB2312" w:hAnsi="黑体" w:eastAsia="仿宋_GB2312"/>
          <w:sz w:val="32"/>
          <w:szCs w:val="32"/>
        </w:rPr>
        <w:t>不得直接或间接参与授权范围内的公共数据产品再开发</w:t>
      </w:r>
      <w:r>
        <w:rPr>
          <w:rFonts w:hint="eastAsia" w:ascii="Times New Roman" w:hAnsi="Times New Roman" w:eastAsia="仿宋_GB2312"/>
          <w:sz w:val="32"/>
          <w:szCs w:val="32"/>
        </w:rPr>
        <w:t>。鼓励运营机构开发基础数据产品，支撑开发机构和其他经营主体再开发。</w:t>
      </w:r>
    </w:p>
    <w:p w14:paraId="5FB3D0DF">
      <w:pPr>
        <w:numPr>
          <w:ilvl w:val="0"/>
          <w:numId w:val="2"/>
        </w:numPr>
        <w:snapToGrid w:val="0"/>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 xml:space="preserve"> 数据产品需经实施机构和数据提供单位审核批准后导出授权运营域，原始数据包不得导出授权运营域，通过可逆模型或算法还原出原始数据包的数据产品，不得导出授权运营域。</w:t>
      </w:r>
    </w:p>
    <w:p w14:paraId="3F705B32">
      <w:pPr>
        <w:snapToGrid w:val="0"/>
        <w:spacing w:line="560" w:lineRule="exact"/>
        <w:ind w:firstLine="640" w:firstLineChars="200"/>
        <w:rPr>
          <w:rFonts w:ascii="Times New Roman" w:hAnsi="Times New Roman" w:eastAsia="仿宋_GB2312"/>
          <w:sz w:val="32"/>
          <w:szCs w:val="32"/>
        </w:rPr>
      </w:pPr>
      <w:r>
        <w:rPr>
          <w:rFonts w:hint="eastAsia" w:ascii="黑体" w:hAnsi="黑体" w:eastAsia="黑体" w:cs="黑体"/>
          <w:sz w:val="32"/>
          <w:szCs w:val="32"/>
        </w:rPr>
        <w:t>第十七条</w:t>
      </w:r>
      <w:r>
        <w:rPr>
          <w:rFonts w:hint="eastAsia" w:ascii="Times New Roman" w:hAnsi="Times New Roman" w:eastAsia="仿宋_GB2312"/>
          <w:sz w:val="32"/>
          <w:szCs w:val="32"/>
        </w:rPr>
        <w:t xml:space="preserve"> 公共数据资源、产品和服务应按照公共数据资源登记管理有关要求，向公共数据资源登记机构进行登记。运营机构在保护国家安全、公共利益、数据安全和数据来源者合法权益的前提下，依照有关法律法规和政策规定，进行数据产品登记、持有、加工、许可使用或经营公共数据产品。</w:t>
      </w:r>
    </w:p>
    <w:p w14:paraId="6DE56F85">
      <w:pPr>
        <w:snapToGrid w:val="0"/>
        <w:spacing w:line="560" w:lineRule="exact"/>
        <w:ind w:firstLine="640" w:firstLineChars="200"/>
        <w:rPr>
          <w:rFonts w:ascii="Times New Roman" w:hAnsi="Times New Roman" w:eastAsia="仿宋_GB2312"/>
          <w:sz w:val="32"/>
          <w:szCs w:val="32"/>
        </w:rPr>
      </w:pPr>
      <w:r>
        <w:rPr>
          <w:rFonts w:hint="eastAsia" w:ascii="黑体" w:hAnsi="黑体" w:eastAsia="黑体" w:cs="黑体"/>
          <w:sz w:val="32"/>
          <w:szCs w:val="32"/>
        </w:rPr>
        <w:t xml:space="preserve">第十八条 </w:t>
      </w:r>
      <w:r>
        <w:rPr>
          <w:rFonts w:hint="eastAsia" w:ascii="Times New Roman" w:hAnsi="Times New Roman" w:eastAsia="仿宋_GB2312"/>
          <w:sz w:val="32"/>
          <w:szCs w:val="32"/>
        </w:rPr>
        <w:t>数据产品应按照国家和省有关数据要素市场规则流通交易，不得用于未经审批的应用场景。</w:t>
      </w:r>
    </w:p>
    <w:p w14:paraId="55C1827A">
      <w:pPr>
        <w:snapToGrid w:val="0"/>
        <w:spacing w:line="560" w:lineRule="exact"/>
        <w:ind w:firstLine="640" w:firstLineChars="200"/>
        <w:rPr>
          <w:rFonts w:ascii="Times New Roman" w:hAnsi="Times New Roman" w:eastAsia="仿宋_GB2312"/>
          <w:sz w:val="32"/>
          <w:szCs w:val="32"/>
        </w:rPr>
      </w:pPr>
      <w:r>
        <w:rPr>
          <w:rFonts w:hint="eastAsia" w:ascii="黑体" w:hAnsi="黑体" w:eastAsia="黑体" w:cs="黑体"/>
          <w:sz w:val="32"/>
          <w:szCs w:val="32"/>
        </w:rPr>
        <w:t>第十九条</w:t>
      </w:r>
      <w:r>
        <w:rPr>
          <w:rFonts w:hint="eastAsia" w:ascii="Times New Roman" w:hAnsi="Times New Roman" w:eastAsia="仿宋_GB2312"/>
          <w:sz w:val="32"/>
          <w:szCs w:val="32"/>
        </w:rPr>
        <w:t xml:space="preserve">  公共数据经营性产品和服务实行政府指导</w:t>
      </w:r>
      <w:r>
        <w:rPr>
          <w:rFonts w:hint="eastAsia" w:ascii="Times New Roman" w:hAnsi="Times New Roman" w:eastAsia="仿宋_GB2312"/>
          <w:sz w:val="32"/>
          <w:szCs w:val="32"/>
          <w:lang w:val="en-US" w:eastAsia="zh-CN"/>
        </w:rPr>
        <w:t>为主，市场调节为辅的</w:t>
      </w:r>
      <w:bookmarkStart w:id="1" w:name="_GoBack"/>
      <w:bookmarkEnd w:id="1"/>
      <w:r>
        <w:rPr>
          <w:rFonts w:hint="eastAsia" w:ascii="Times New Roman" w:hAnsi="Times New Roman" w:eastAsia="仿宋_GB2312"/>
          <w:sz w:val="32"/>
          <w:szCs w:val="32"/>
        </w:rPr>
        <w:t>定价管理。</w:t>
      </w:r>
    </w:p>
    <w:p w14:paraId="066BF843">
      <w:pPr>
        <w:snapToGrid w:val="0"/>
        <w:spacing w:line="560" w:lineRule="exact"/>
        <w:ind w:firstLine="640" w:firstLineChars="200"/>
        <w:rPr>
          <w:rFonts w:ascii="微软雅黑" w:hAnsi="微软雅黑" w:eastAsia="微软雅黑" w:cs="微软雅黑"/>
          <w:sz w:val="32"/>
          <w:szCs w:val="32"/>
        </w:rPr>
      </w:pPr>
      <w:r>
        <w:rPr>
          <w:rFonts w:hint="eastAsia" w:ascii="黑体" w:hAnsi="黑体" w:eastAsia="黑体" w:cs="黑体"/>
          <w:sz w:val="32"/>
          <w:szCs w:val="32"/>
        </w:rPr>
        <w:t>第二十条</w:t>
      </w:r>
      <w:r>
        <w:rPr>
          <w:rFonts w:hint="eastAsia" w:ascii="Times New Roman" w:hAnsi="Times New Roman" w:eastAsia="仿宋_GB2312"/>
          <w:sz w:val="32"/>
          <w:szCs w:val="32"/>
        </w:rPr>
        <w:t xml:space="preserve"> 运营机构在运营过程中发现公共数据存在不符合授权约定的数据质量标准等问题的，可及时向实施机构提出数据治理需求，需求合理的，实施机构应当协调数据提供单位在规定期限内达成授权约定的数据质量标准。</w:t>
      </w:r>
    </w:p>
    <w:p w14:paraId="50F77F44">
      <w:pPr>
        <w:pStyle w:val="4"/>
        <w:snapToGrid w:val="0"/>
        <w:spacing w:line="560" w:lineRule="exact"/>
        <w:ind w:firstLine="640" w:firstLineChars="200"/>
        <w:rPr>
          <w:rFonts w:ascii="Times New Roman" w:hAnsi="Times New Roman" w:eastAsia="仿宋_GB2312"/>
          <w:sz w:val="32"/>
          <w:szCs w:val="32"/>
        </w:rPr>
      </w:pPr>
      <w:r>
        <w:rPr>
          <w:rFonts w:hint="eastAsia" w:ascii="黑体" w:hAnsi="黑体" w:eastAsia="黑体" w:cs="黑体"/>
          <w:sz w:val="32"/>
          <w:szCs w:val="32"/>
        </w:rPr>
        <w:t>第二十一条</w:t>
      </w:r>
      <w:r>
        <w:rPr>
          <w:rFonts w:hint="eastAsia" w:ascii="Times New Roman" w:hAnsi="Times New Roman" w:eastAsia="仿宋_GB2312"/>
          <w:sz w:val="32"/>
          <w:szCs w:val="32"/>
        </w:rPr>
        <w:t xml:space="preserve"> 授权运营应保护各参与方的合法权益。鼓励授权运营机构依法合规通过技术、产品和服务、收益等方式，支持各地区各部门数据服务能力建设。</w:t>
      </w:r>
    </w:p>
    <w:p w14:paraId="18F44F98">
      <w:pPr>
        <w:pStyle w:val="4"/>
        <w:snapToGrid w:val="0"/>
        <w:spacing w:line="560" w:lineRule="exact"/>
        <w:ind w:firstLine="640" w:firstLineChars="200"/>
        <w:rPr>
          <w:rFonts w:ascii="Times New Roman" w:hAnsi="Times New Roman" w:eastAsia="仿宋_GB2312"/>
          <w:sz w:val="32"/>
          <w:szCs w:val="32"/>
        </w:rPr>
      </w:pPr>
    </w:p>
    <w:p w14:paraId="17DC950C">
      <w:pPr>
        <w:spacing w:line="560" w:lineRule="exact"/>
        <w:ind w:firstLine="640" w:firstLineChars="200"/>
        <w:jc w:val="center"/>
        <w:outlineLvl w:val="0"/>
        <w:rPr>
          <w:rFonts w:ascii="黑体" w:hAnsi="黑体" w:eastAsia="黑体" w:cs="黑体"/>
          <w:sz w:val="32"/>
          <w:szCs w:val="32"/>
        </w:rPr>
      </w:pPr>
      <w:r>
        <w:rPr>
          <w:rFonts w:hint="eastAsia" w:ascii="黑体" w:hAnsi="黑体" w:eastAsia="黑体" w:cs="黑体"/>
          <w:sz w:val="32"/>
          <w:szCs w:val="32"/>
        </w:rPr>
        <w:t>第四章 监督管理</w:t>
      </w:r>
    </w:p>
    <w:p w14:paraId="1644652B">
      <w:pPr>
        <w:tabs>
          <w:tab w:val="left" w:pos="0"/>
        </w:tabs>
        <w:spacing w:line="560" w:lineRule="exact"/>
        <w:ind w:firstLine="640" w:firstLineChars="200"/>
        <w:outlineLvl w:val="1"/>
        <w:rPr>
          <w:rFonts w:ascii="Times New Roman" w:hAnsi="Times New Roman" w:eastAsia="仿宋_GB2312"/>
          <w:sz w:val="32"/>
          <w:szCs w:val="32"/>
        </w:rPr>
      </w:pPr>
      <w:r>
        <w:rPr>
          <w:rFonts w:hint="eastAsia" w:ascii="黑体" w:hAnsi="黑体" w:eastAsia="黑体" w:cs="黑体"/>
          <w:sz w:val="32"/>
          <w:szCs w:val="32"/>
        </w:rPr>
        <w:t>第二十二条</w:t>
      </w:r>
      <w:r>
        <w:rPr>
          <w:rFonts w:hint="eastAsia" w:ascii="Times New Roman" w:hAnsi="Times New Roman" w:eastAsia="仿宋_GB2312"/>
          <w:sz w:val="32"/>
          <w:szCs w:val="32"/>
        </w:rPr>
        <w:t xml:space="preserve"> 数据主管部门及行业主管部门应动态掌握本地区本部门授权运营情况，开展授权运营实施方案和授权运营协议备案管理、授权运营情况年度评估，按年度向同级人民政府和上级数据主管部门报送公共数据资源授权运营工作开展情况报告。</w:t>
      </w:r>
    </w:p>
    <w:p w14:paraId="4F21EBE9">
      <w:pPr>
        <w:tabs>
          <w:tab w:val="left" w:pos="0"/>
        </w:tabs>
        <w:spacing w:line="560" w:lineRule="exact"/>
        <w:ind w:firstLine="640" w:firstLineChars="200"/>
        <w:outlineLvl w:val="1"/>
        <w:rPr>
          <w:rFonts w:ascii="Times New Roman" w:hAnsi="Times New Roman" w:eastAsia="仿宋_GB2312"/>
          <w:sz w:val="32"/>
          <w:szCs w:val="32"/>
        </w:rPr>
      </w:pPr>
      <w:r>
        <w:rPr>
          <w:rFonts w:hint="eastAsia" w:ascii="黑体" w:hAnsi="黑体" w:eastAsia="黑体" w:cs="黑体"/>
          <w:sz w:val="32"/>
          <w:szCs w:val="32"/>
        </w:rPr>
        <w:t>第二十三条</w:t>
      </w:r>
      <w:r>
        <w:rPr>
          <w:rFonts w:hint="eastAsia" w:ascii="Times New Roman" w:hAnsi="Times New Roman" w:eastAsia="仿宋_GB2312"/>
          <w:sz w:val="32"/>
          <w:szCs w:val="32"/>
        </w:rPr>
        <w:t xml:space="preserve"> 实施机构应按规定公开授权对象、内容、范围和时限等授权运营情况。运营机构应公开公共数据产品清单，披露公共数据资源使用情况，接受社会监督。</w:t>
      </w:r>
    </w:p>
    <w:p w14:paraId="00FD2E3F">
      <w:pPr>
        <w:tabs>
          <w:tab w:val="left" w:pos="0"/>
        </w:tabs>
        <w:spacing w:line="560" w:lineRule="exact"/>
        <w:ind w:firstLine="640" w:firstLineChars="200"/>
        <w:outlineLvl w:val="1"/>
        <w:rPr>
          <w:rFonts w:ascii="Times New Roman" w:hAnsi="Times New Roman" w:eastAsia="仿宋_GB2312"/>
          <w:sz w:val="32"/>
          <w:szCs w:val="32"/>
        </w:rPr>
      </w:pPr>
      <w:r>
        <w:rPr>
          <w:rFonts w:hint="eastAsia" w:ascii="黑体" w:hAnsi="黑体" w:eastAsia="黑体" w:cs="黑体"/>
          <w:sz w:val="32"/>
          <w:szCs w:val="32"/>
        </w:rPr>
        <w:t>第二十四条</w:t>
      </w:r>
      <w:r>
        <w:rPr>
          <w:rFonts w:hint="eastAsia" w:ascii="Times New Roman" w:hAnsi="Times New Roman" w:eastAsia="仿宋_GB2312"/>
          <w:sz w:val="32"/>
          <w:szCs w:val="32"/>
        </w:rPr>
        <w:t xml:space="preserve"> 实施机构应建立健全管理制度，提升公共数据质量，制定分类分级规则，建立安全应急处置机制，强化对授权运营的内控审计，加强对运营机构的指导监督。</w:t>
      </w:r>
    </w:p>
    <w:p w14:paraId="59E5DAF4">
      <w:pPr>
        <w:tabs>
          <w:tab w:val="left" w:pos="0"/>
        </w:tabs>
        <w:spacing w:line="560" w:lineRule="exact"/>
        <w:rPr>
          <w:rFonts w:ascii="Times New Roman" w:hAnsi="Times New Roman" w:eastAsia="仿宋_GB2312"/>
          <w:sz w:val="32"/>
          <w:szCs w:val="32"/>
        </w:rPr>
      </w:pPr>
      <w:r>
        <w:rPr>
          <w:rFonts w:hint="eastAsia" w:ascii="Times New Roman" w:hAnsi="Times New Roman" w:eastAsia="仿宋_GB2312"/>
          <w:sz w:val="32"/>
          <w:szCs w:val="32"/>
        </w:rPr>
        <w:t xml:space="preserve">    运营机构应履行自身和对开发机构的数据安全主体责任，落实数据安全防护措施，严防数据安全风险。</w:t>
      </w:r>
    </w:p>
    <w:p w14:paraId="003685A0">
      <w:pPr>
        <w:widowControl/>
        <w:shd w:val="clear" w:color="auto" w:fill="FFFFFF"/>
        <w:spacing w:line="560" w:lineRule="exact"/>
        <w:ind w:firstLine="640" w:firstLineChars="200"/>
        <w:jc w:val="left"/>
        <w:rPr>
          <w:rFonts w:ascii="Times New Roman" w:hAnsi="Times New Roman" w:eastAsia="仿宋_GB2312"/>
          <w:sz w:val="32"/>
          <w:szCs w:val="32"/>
        </w:rPr>
      </w:pPr>
      <w:r>
        <w:rPr>
          <w:rFonts w:hint="eastAsia" w:ascii="黑体" w:hAnsi="黑体" w:eastAsia="黑体" w:cs="黑体"/>
          <w:sz w:val="32"/>
          <w:szCs w:val="32"/>
        </w:rPr>
        <w:t>第二十五条</w:t>
      </w:r>
      <w:r>
        <w:rPr>
          <w:rFonts w:hint="eastAsia" w:ascii="Times New Roman" w:hAnsi="Times New Roman" w:eastAsia="仿宋_GB2312"/>
          <w:sz w:val="32"/>
          <w:szCs w:val="32"/>
        </w:rPr>
        <w:t xml:space="preserve"> 运营机构用于公共数据产品的投入成本、收入和支出应按照现有财务管理制度，单独列支，独立核算，依法接受监督。</w:t>
      </w:r>
    </w:p>
    <w:p w14:paraId="08FE3787">
      <w:pPr>
        <w:widowControl/>
        <w:shd w:val="clear" w:color="auto" w:fill="FFFFFF"/>
        <w:spacing w:line="560" w:lineRule="exact"/>
        <w:ind w:firstLine="640" w:firstLineChars="200"/>
        <w:jc w:val="left"/>
        <w:rPr>
          <w:rFonts w:ascii="Times New Roman" w:hAnsi="Times New Roman" w:eastAsia="仿宋_GB2312"/>
          <w:sz w:val="32"/>
          <w:szCs w:val="32"/>
        </w:rPr>
      </w:pPr>
      <w:r>
        <w:rPr>
          <w:rFonts w:hint="eastAsia" w:ascii="黑体" w:hAnsi="黑体" w:eastAsia="黑体" w:cs="黑体"/>
          <w:sz w:val="32"/>
          <w:szCs w:val="32"/>
        </w:rPr>
        <w:t xml:space="preserve">第二十六条 </w:t>
      </w:r>
      <w:r>
        <w:rPr>
          <w:rFonts w:hint="eastAsia" w:ascii="Times New Roman" w:hAnsi="Times New Roman" w:eastAsia="仿宋_GB2312"/>
          <w:sz w:val="32"/>
          <w:szCs w:val="32"/>
        </w:rPr>
        <w:t>授权运营活动应有效识别和管控数据资产化、数据资产资本化以及证券化的潜在风险，切实防范化解金融风险。</w:t>
      </w:r>
    </w:p>
    <w:p w14:paraId="5C1B2B27">
      <w:pPr>
        <w:widowControl/>
        <w:shd w:val="clear" w:color="auto" w:fill="FFFFFF"/>
        <w:spacing w:line="560" w:lineRule="exact"/>
        <w:ind w:firstLine="640" w:firstLineChars="200"/>
        <w:jc w:val="left"/>
        <w:rPr>
          <w:rFonts w:ascii="Times New Roman" w:hAnsi="Times New Roman" w:eastAsia="仿宋_GB2312"/>
          <w:sz w:val="32"/>
          <w:szCs w:val="32"/>
        </w:rPr>
      </w:pPr>
      <w:r>
        <w:rPr>
          <w:rFonts w:hint="eastAsia" w:ascii="黑体" w:hAnsi="黑体" w:eastAsia="黑体" w:cs="黑体"/>
          <w:sz w:val="32"/>
          <w:szCs w:val="32"/>
        </w:rPr>
        <w:t xml:space="preserve">第二十七条 </w:t>
      </w:r>
      <w:r>
        <w:rPr>
          <w:rFonts w:hint="eastAsia" w:ascii="Times New Roman" w:hAnsi="Times New Roman" w:eastAsia="仿宋_GB2312"/>
          <w:sz w:val="32"/>
          <w:szCs w:val="32"/>
        </w:rPr>
        <w:t>实施机构、运营机构及相关人员存在违反国家法律法规，侵犯商业秘密、个人隐私等合法权益或造成财产损失的，应当承担相应的法律责任；构成犯罪的，依法追究刑事责任。</w:t>
      </w:r>
    </w:p>
    <w:p w14:paraId="2DDAB429">
      <w:pPr>
        <w:widowControl/>
        <w:shd w:val="clear" w:color="auto" w:fill="FFFFFF"/>
        <w:spacing w:line="560" w:lineRule="exact"/>
        <w:ind w:firstLine="640" w:firstLineChars="200"/>
        <w:jc w:val="left"/>
        <w:rPr>
          <w:rFonts w:ascii="Times New Roman" w:hAnsi="Times New Roman" w:eastAsia="仿宋_GB2312"/>
          <w:sz w:val="32"/>
          <w:szCs w:val="32"/>
        </w:rPr>
      </w:pPr>
      <w:r>
        <w:rPr>
          <w:rFonts w:hint="eastAsia" w:ascii="Times New Roman" w:hAnsi="Times New Roman" w:eastAsia="仿宋_GB2312"/>
          <w:sz w:val="32"/>
          <w:szCs w:val="32"/>
        </w:rPr>
        <w:t>公共数据运营过程中发生偏差、失误或未能完全达成预期目标，但符合国家确定的改革方向，且决策程序严格遵循法律、法规规定，并非出于滥用职权、玩忽职守、徇私舞弊等不当行为，或者由于难以预测、难以克服的外部因素（包括不可抗力及不可控因素）导致损失的，相关单位和个人不承担法律责任，有权机关不作负面评价。</w:t>
      </w:r>
    </w:p>
    <w:p w14:paraId="517ADE2E">
      <w:pPr>
        <w:spacing w:line="560" w:lineRule="exact"/>
        <w:jc w:val="center"/>
        <w:outlineLvl w:val="0"/>
        <w:rPr>
          <w:rFonts w:ascii="黑体" w:hAnsi="黑体" w:eastAsia="黑体" w:cs="黑体"/>
          <w:sz w:val="32"/>
          <w:szCs w:val="32"/>
        </w:rPr>
      </w:pPr>
      <w:r>
        <w:rPr>
          <w:rFonts w:hint="eastAsia" w:ascii="黑体" w:hAnsi="黑体" w:eastAsia="黑体" w:cs="黑体"/>
          <w:sz w:val="32"/>
          <w:szCs w:val="32"/>
        </w:rPr>
        <w:t>第五章 附则</w:t>
      </w:r>
    </w:p>
    <w:p w14:paraId="0CB67CB1">
      <w:pPr>
        <w:pStyle w:val="4"/>
        <w:snapToGrid w:val="0"/>
        <w:spacing w:line="560" w:lineRule="exact"/>
        <w:ind w:firstLine="640" w:firstLineChars="200"/>
        <w:rPr>
          <w:rFonts w:ascii="Times New Roman" w:hAnsi="Times New Roman" w:eastAsia="仿宋_GB2312"/>
          <w:sz w:val="32"/>
          <w:szCs w:val="32"/>
        </w:rPr>
      </w:pPr>
      <w:r>
        <w:rPr>
          <w:rFonts w:hint="eastAsia" w:ascii="黑体" w:hAnsi="黑体" w:eastAsia="黑体" w:cs="黑体"/>
          <w:sz w:val="32"/>
          <w:szCs w:val="32"/>
        </w:rPr>
        <w:t xml:space="preserve">第二十八条 </w:t>
      </w:r>
      <w:r>
        <w:rPr>
          <w:rFonts w:hint="eastAsia" w:ascii="Times New Roman" w:hAnsi="Times New Roman" w:eastAsia="仿宋_GB2312"/>
          <w:sz w:val="32"/>
          <w:szCs w:val="32"/>
        </w:rPr>
        <w:t>法律法规以及国家、省人民政府对公共数据授权运营另有规定的，从其规定。</w:t>
      </w:r>
    </w:p>
    <w:p w14:paraId="5D7819FD">
      <w:pPr>
        <w:pStyle w:val="4"/>
        <w:snapToGrid w:val="0"/>
        <w:spacing w:line="560" w:lineRule="exact"/>
        <w:ind w:firstLine="640" w:firstLineChars="200"/>
        <w:rPr>
          <w:rFonts w:eastAsia="仿宋_GB2312"/>
          <w:kern w:val="0"/>
          <w:sz w:val="32"/>
          <w:szCs w:val="32"/>
          <w:shd w:val="clear" w:color="auto" w:fill="FFFFFF"/>
          <w:lang w:bidi="ar"/>
        </w:rPr>
      </w:pPr>
      <w:r>
        <w:rPr>
          <w:rFonts w:hint="eastAsia" w:ascii="黑体" w:hAnsi="黑体" w:eastAsia="黑体" w:cs="黑体"/>
          <w:sz w:val="32"/>
          <w:szCs w:val="32"/>
        </w:rPr>
        <w:t xml:space="preserve">第二十九条 </w:t>
      </w:r>
      <w:r>
        <w:rPr>
          <w:rFonts w:eastAsia="仿宋_GB2312"/>
          <w:kern w:val="0"/>
          <w:sz w:val="32"/>
          <w:szCs w:val="32"/>
          <w:shd w:val="clear" w:color="auto" w:fill="FFFFFF"/>
          <w:lang w:bidi="ar"/>
        </w:rPr>
        <w:t>本办法由</w:t>
      </w:r>
      <w:r>
        <w:rPr>
          <w:rFonts w:hint="eastAsia" w:eastAsia="仿宋_GB2312"/>
          <w:kern w:val="0"/>
          <w:sz w:val="32"/>
          <w:szCs w:val="32"/>
          <w:shd w:val="clear" w:color="auto" w:fill="FFFFFF"/>
          <w:lang w:bidi="ar"/>
        </w:rPr>
        <w:t>市</w:t>
      </w:r>
      <w:r>
        <w:rPr>
          <w:rFonts w:eastAsia="仿宋_GB2312"/>
          <w:kern w:val="0"/>
          <w:sz w:val="32"/>
          <w:szCs w:val="32"/>
          <w:shd w:val="clear" w:color="auto" w:fill="FFFFFF"/>
          <w:lang w:bidi="ar"/>
        </w:rPr>
        <w:t>数据局负责解释</w:t>
      </w:r>
      <w:r>
        <w:rPr>
          <w:rFonts w:hint="eastAsia" w:eastAsia="仿宋_GB2312"/>
          <w:kern w:val="0"/>
          <w:sz w:val="32"/>
          <w:szCs w:val="32"/>
          <w:shd w:val="clear" w:color="auto" w:fill="FFFFFF"/>
          <w:lang w:bidi="ar"/>
        </w:rPr>
        <w:t>。</w:t>
      </w:r>
    </w:p>
    <w:p w14:paraId="4214EA55">
      <w:pPr>
        <w:pStyle w:val="4"/>
        <w:snapToGrid w:val="0"/>
        <w:spacing w:line="560" w:lineRule="exact"/>
        <w:ind w:firstLine="640" w:firstLineChars="200"/>
        <w:rPr>
          <w:rFonts w:eastAsia="仿宋_GB2312"/>
          <w:kern w:val="0"/>
          <w:sz w:val="32"/>
          <w:szCs w:val="32"/>
          <w:shd w:val="clear" w:color="auto" w:fill="FFFFFF"/>
          <w:lang w:bidi="ar"/>
        </w:rPr>
      </w:pPr>
      <w:r>
        <w:rPr>
          <w:rFonts w:hint="eastAsia" w:ascii="黑体" w:hAnsi="黑体" w:eastAsia="黑体" w:cs="黑体"/>
          <w:sz w:val="32"/>
          <w:szCs w:val="32"/>
        </w:rPr>
        <w:t xml:space="preserve">第三十条 </w:t>
      </w:r>
      <w:r>
        <w:rPr>
          <w:rFonts w:hint="eastAsia" w:eastAsia="仿宋_GB2312"/>
          <w:kern w:val="0"/>
          <w:sz w:val="32"/>
          <w:szCs w:val="32"/>
          <w:shd w:val="clear" w:color="auto" w:fill="FFFFFF"/>
          <w:lang w:bidi="ar"/>
        </w:rPr>
        <w:t>本办法自发布</w:t>
      </w:r>
      <w:r>
        <w:rPr>
          <w:rFonts w:hint="eastAsia" w:ascii="Times New Roman" w:hAnsi="Times New Roman" w:eastAsia="仿宋_GB2312"/>
          <w:sz w:val="32"/>
          <w:szCs w:val="32"/>
        </w:rPr>
        <w:t>之日起施行。</w:t>
      </w:r>
    </w:p>
    <w:p w14:paraId="437E354D">
      <w:pPr>
        <w:pStyle w:val="4"/>
        <w:snapToGrid w:val="0"/>
        <w:spacing w:line="560" w:lineRule="exact"/>
        <w:ind w:firstLine="640" w:firstLineChars="200"/>
        <w:rPr>
          <w:rFonts w:eastAsia="仿宋_GB2312"/>
          <w:kern w:val="0"/>
          <w:sz w:val="32"/>
          <w:szCs w:val="32"/>
          <w:shd w:val="clear" w:color="auto" w:fill="FFFFFF"/>
          <w:lang w:bidi="ar"/>
        </w:rPr>
      </w:pPr>
    </w:p>
    <w:p w14:paraId="7DB5534C">
      <w:pPr>
        <w:pStyle w:val="2"/>
        <w:spacing w:line="560" w:lineRule="exact"/>
      </w:pPr>
    </w:p>
    <w:sectPr>
      <w:footerReference r:id="rId3" w:type="default"/>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方正小标宋简体">
    <w:altName w:val="黑体"/>
    <w:panose1 w:val="02010601030101010101"/>
    <w:charset w:val="86"/>
    <w:family w:val="auto"/>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8853AD">
    <w:pPr>
      <w:pStyle w:val="5"/>
      <w:jc w:val="center"/>
      <w:rPr>
        <w:rFonts w:ascii="仿宋_GB2312" w:eastAsia="仿宋_GB2312"/>
        <w:sz w:val="24"/>
        <w:szCs w:val="24"/>
      </w:rPr>
    </w:pPr>
    <w:r>
      <w:rPr>
        <w:rFonts w:hint="eastAsia" w:ascii="仿宋_GB2312" w:eastAsia="仿宋_GB2312"/>
        <w:sz w:val="24"/>
        <w:szCs w:val="24"/>
      </w:rPr>
      <w:fldChar w:fldCharType="begin"/>
    </w:r>
    <w:r>
      <w:rPr>
        <w:rFonts w:hint="eastAsia" w:ascii="仿宋_GB2312" w:eastAsia="仿宋_GB2312"/>
        <w:sz w:val="24"/>
        <w:szCs w:val="24"/>
      </w:rPr>
      <w:instrText xml:space="preserve">PAGE   \* MERGEFORMAT</w:instrText>
    </w:r>
    <w:r>
      <w:rPr>
        <w:rFonts w:hint="eastAsia" w:ascii="仿宋_GB2312" w:eastAsia="仿宋_GB2312"/>
        <w:sz w:val="24"/>
        <w:szCs w:val="24"/>
      </w:rPr>
      <w:fldChar w:fldCharType="separate"/>
    </w:r>
    <w:r>
      <w:rPr>
        <w:rFonts w:ascii="仿宋_GB2312" w:eastAsia="仿宋_GB2312"/>
        <w:sz w:val="24"/>
        <w:szCs w:val="24"/>
        <w:lang w:val="zh-CN"/>
      </w:rPr>
      <w:t>-</w:t>
    </w:r>
    <w:r>
      <w:rPr>
        <w:rFonts w:ascii="仿宋_GB2312" w:eastAsia="仿宋_GB2312"/>
        <w:sz w:val="24"/>
        <w:szCs w:val="24"/>
      </w:rPr>
      <w:t xml:space="preserve"> 2 -</w:t>
    </w:r>
    <w:r>
      <w:rPr>
        <w:rFonts w:hint="eastAsia" w:ascii="仿宋_GB2312" w:eastAsia="仿宋_GB2312"/>
        <w:sz w:val="24"/>
        <w:szCs w:val="24"/>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5497E0"/>
    <w:multiLevelType w:val="singleLevel"/>
    <w:tmpl w:val="0C5497E0"/>
    <w:lvl w:ilvl="0" w:tentative="0">
      <w:start w:val="7"/>
      <w:numFmt w:val="chineseCounting"/>
      <w:suff w:val="space"/>
      <w:lvlText w:val="第%1条"/>
      <w:lvlJc w:val="left"/>
      <w:rPr>
        <w:rFonts w:hint="eastAsia" w:ascii="黑体" w:hAnsi="黑体" w:eastAsia="黑体" w:cs="黑体"/>
        <w:color w:val="auto"/>
        <w:sz w:val="32"/>
        <w:szCs w:val="32"/>
        <w:highlight w:val="none"/>
      </w:rPr>
    </w:lvl>
  </w:abstractNum>
  <w:abstractNum w:abstractNumId="1">
    <w:nsid w:val="2ACC5B0C"/>
    <w:multiLevelType w:val="singleLevel"/>
    <w:tmpl w:val="2ACC5B0C"/>
    <w:lvl w:ilvl="0" w:tentative="0">
      <w:start w:val="13"/>
      <w:numFmt w:val="chineseCounting"/>
      <w:suff w:val="space"/>
      <w:lvlText w:val="第%1条"/>
      <w:lvlJc w:val="left"/>
      <w:rPr>
        <w:rFonts w:hint="eastAsia" w:ascii="黑体" w:hAnsi="黑体" w:eastAsia="黑体" w:cs="黑体"/>
        <w:b w:val="0"/>
        <w:bCs w:val="0"/>
        <w:color w:val="auto"/>
        <w:sz w:val="32"/>
        <w:szCs w:val="32"/>
        <w:highlight w:val="no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U5MjQwZDc5OGEwNGMyZGY5MmUzMGJjZDEwNDE1YTMifQ=="/>
  </w:docVars>
  <w:rsids>
    <w:rsidRoot w:val="002863CE"/>
    <w:rsid w:val="002863CE"/>
    <w:rsid w:val="002C590C"/>
    <w:rsid w:val="003A2FB6"/>
    <w:rsid w:val="004032BA"/>
    <w:rsid w:val="0046375D"/>
    <w:rsid w:val="004D2DEE"/>
    <w:rsid w:val="00507780"/>
    <w:rsid w:val="00513BE2"/>
    <w:rsid w:val="00596EC8"/>
    <w:rsid w:val="0062173C"/>
    <w:rsid w:val="00637A65"/>
    <w:rsid w:val="006C00D9"/>
    <w:rsid w:val="00786382"/>
    <w:rsid w:val="00897CDE"/>
    <w:rsid w:val="0095214B"/>
    <w:rsid w:val="009616FA"/>
    <w:rsid w:val="00BB049B"/>
    <w:rsid w:val="00C26F26"/>
    <w:rsid w:val="00D0305B"/>
    <w:rsid w:val="00D75CA9"/>
    <w:rsid w:val="00DC2C5D"/>
    <w:rsid w:val="012C437D"/>
    <w:rsid w:val="02070CCA"/>
    <w:rsid w:val="02521EB3"/>
    <w:rsid w:val="02FB6C34"/>
    <w:rsid w:val="03BD5E31"/>
    <w:rsid w:val="05B47983"/>
    <w:rsid w:val="05ED4532"/>
    <w:rsid w:val="061A7B87"/>
    <w:rsid w:val="06262170"/>
    <w:rsid w:val="08597DA5"/>
    <w:rsid w:val="088A3287"/>
    <w:rsid w:val="0A3B4C36"/>
    <w:rsid w:val="0A434869"/>
    <w:rsid w:val="0AF049F1"/>
    <w:rsid w:val="0C930511"/>
    <w:rsid w:val="0CC73EBB"/>
    <w:rsid w:val="0E2F75DE"/>
    <w:rsid w:val="0E8760FC"/>
    <w:rsid w:val="0EEF4FBF"/>
    <w:rsid w:val="0F4627D5"/>
    <w:rsid w:val="10663FDD"/>
    <w:rsid w:val="10F863AD"/>
    <w:rsid w:val="12F4390A"/>
    <w:rsid w:val="13452FC8"/>
    <w:rsid w:val="13A520F1"/>
    <w:rsid w:val="13B862C8"/>
    <w:rsid w:val="144C3FA3"/>
    <w:rsid w:val="147C72F5"/>
    <w:rsid w:val="1534525F"/>
    <w:rsid w:val="15B76778"/>
    <w:rsid w:val="16116348"/>
    <w:rsid w:val="16E21DE1"/>
    <w:rsid w:val="17A91AE3"/>
    <w:rsid w:val="18913D36"/>
    <w:rsid w:val="189B3AC2"/>
    <w:rsid w:val="192166BD"/>
    <w:rsid w:val="196D545F"/>
    <w:rsid w:val="19D13C3F"/>
    <w:rsid w:val="19D16559"/>
    <w:rsid w:val="1A1D0B70"/>
    <w:rsid w:val="1A5A3C35"/>
    <w:rsid w:val="1BD25A4D"/>
    <w:rsid w:val="1D2635F0"/>
    <w:rsid w:val="1E635082"/>
    <w:rsid w:val="1E637434"/>
    <w:rsid w:val="1F881244"/>
    <w:rsid w:val="1FAF67D1"/>
    <w:rsid w:val="1FCD6C57"/>
    <w:rsid w:val="209E3DD2"/>
    <w:rsid w:val="21415B4F"/>
    <w:rsid w:val="21D10BCE"/>
    <w:rsid w:val="23694EE9"/>
    <w:rsid w:val="236F3324"/>
    <w:rsid w:val="238C0BD7"/>
    <w:rsid w:val="23BF4E60"/>
    <w:rsid w:val="24234632"/>
    <w:rsid w:val="248E45FF"/>
    <w:rsid w:val="25042D5D"/>
    <w:rsid w:val="252726DE"/>
    <w:rsid w:val="25F74CEA"/>
    <w:rsid w:val="2602125F"/>
    <w:rsid w:val="2A940289"/>
    <w:rsid w:val="2B241619"/>
    <w:rsid w:val="2B27259C"/>
    <w:rsid w:val="2B7934F6"/>
    <w:rsid w:val="2D890CA0"/>
    <w:rsid w:val="2E202A65"/>
    <w:rsid w:val="2E864DCE"/>
    <w:rsid w:val="2F1033BF"/>
    <w:rsid w:val="2F327D69"/>
    <w:rsid w:val="2F395009"/>
    <w:rsid w:val="2F572D0F"/>
    <w:rsid w:val="323377BF"/>
    <w:rsid w:val="32B00E99"/>
    <w:rsid w:val="33986FD1"/>
    <w:rsid w:val="34CA77B1"/>
    <w:rsid w:val="35656B33"/>
    <w:rsid w:val="35E501BE"/>
    <w:rsid w:val="36911D25"/>
    <w:rsid w:val="36CA3A99"/>
    <w:rsid w:val="370F6B05"/>
    <w:rsid w:val="3724558E"/>
    <w:rsid w:val="37A1642A"/>
    <w:rsid w:val="3813401E"/>
    <w:rsid w:val="3B440335"/>
    <w:rsid w:val="3BE54535"/>
    <w:rsid w:val="3C2E6878"/>
    <w:rsid w:val="3CE37662"/>
    <w:rsid w:val="3D00139C"/>
    <w:rsid w:val="3D915BF5"/>
    <w:rsid w:val="3DBF20B3"/>
    <w:rsid w:val="3E3665F9"/>
    <w:rsid w:val="3E467EA9"/>
    <w:rsid w:val="3EAB0813"/>
    <w:rsid w:val="3EC65EFB"/>
    <w:rsid w:val="3EDE2ABE"/>
    <w:rsid w:val="3F433F21"/>
    <w:rsid w:val="3FD76DB0"/>
    <w:rsid w:val="3FF335F9"/>
    <w:rsid w:val="3FFF2755"/>
    <w:rsid w:val="403725A2"/>
    <w:rsid w:val="414D59F2"/>
    <w:rsid w:val="43983B17"/>
    <w:rsid w:val="43E70B83"/>
    <w:rsid w:val="43F764EA"/>
    <w:rsid w:val="45DF079C"/>
    <w:rsid w:val="473C62ED"/>
    <w:rsid w:val="477B07DA"/>
    <w:rsid w:val="47AB5220"/>
    <w:rsid w:val="47C50090"/>
    <w:rsid w:val="496658A3"/>
    <w:rsid w:val="49706721"/>
    <w:rsid w:val="49E224D0"/>
    <w:rsid w:val="49E47B5E"/>
    <w:rsid w:val="49F374EA"/>
    <w:rsid w:val="4A4D25BF"/>
    <w:rsid w:val="4A7827CC"/>
    <w:rsid w:val="4ACB022D"/>
    <w:rsid w:val="4C595D7C"/>
    <w:rsid w:val="4C7D17B0"/>
    <w:rsid w:val="4D754306"/>
    <w:rsid w:val="4D9067BE"/>
    <w:rsid w:val="4DB07786"/>
    <w:rsid w:val="4DB6DE99"/>
    <w:rsid w:val="4DF33F96"/>
    <w:rsid w:val="4E380CE6"/>
    <w:rsid w:val="4E62272A"/>
    <w:rsid w:val="4E9C3B0A"/>
    <w:rsid w:val="4F253B0A"/>
    <w:rsid w:val="4FAE4EF6"/>
    <w:rsid w:val="505B6325"/>
    <w:rsid w:val="50DD0783"/>
    <w:rsid w:val="51061CFE"/>
    <w:rsid w:val="52D7516B"/>
    <w:rsid w:val="5394125E"/>
    <w:rsid w:val="547D0BAA"/>
    <w:rsid w:val="55067F3A"/>
    <w:rsid w:val="5584013C"/>
    <w:rsid w:val="56635C09"/>
    <w:rsid w:val="56EB1DA8"/>
    <w:rsid w:val="57071177"/>
    <w:rsid w:val="573F0027"/>
    <w:rsid w:val="57E008C4"/>
    <w:rsid w:val="57F75BF9"/>
    <w:rsid w:val="5B531E88"/>
    <w:rsid w:val="5B7D41AB"/>
    <w:rsid w:val="5C610796"/>
    <w:rsid w:val="5C7040DE"/>
    <w:rsid w:val="5D683540"/>
    <w:rsid w:val="5DFB2FA6"/>
    <w:rsid w:val="5FB66D94"/>
    <w:rsid w:val="5FCDD46F"/>
    <w:rsid w:val="61C315E7"/>
    <w:rsid w:val="61FC0E51"/>
    <w:rsid w:val="62013F63"/>
    <w:rsid w:val="62C868CF"/>
    <w:rsid w:val="63556BE8"/>
    <w:rsid w:val="637C3F0F"/>
    <w:rsid w:val="6410115F"/>
    <w:rsid w:val="64370594"/>
    <w:rsid w:val="64EC3964"/>
    <w:rsid w:val="65793126"/>
    <w:rsid w:val="6635273A"/>
    <w:rsid w:val="664A7C0A"/>
    <w:rsid w:val="66623785"/>
    <w:rsid w:val="66AD6571"/>
    <w:rsid w:val="672D2E61"/>
    <w:rsid w:val="677E1BB2"/>
    <w:rsid w:val="67825B46"/>
    <w:rsid w:val="678708EC"/>
    <w:rsid w:val="696F6F34"/>
    <w:rsid w:val="69B875FD"/>
    <w:rsid w:val="6DAF0D17"/>
    <w:rsid w:val="6E9154B8"/>
    <w:rsid w:val="6EDA0016"/>
    <w:rsid w:val="6FED5B27"/>
    <w:rsid w:val="6FEE1FCA"/>
    <w:rsid w:val="70A82898"/>
    <w:rsid w:val="712B4B58"/>
    <w:rsid w:val="728E3334"/>
    <w:rsid w:val="72EA4D55"/>
    <w:rsid w:val="745962CD"/>
    <w:rsid w:val="75863951"/>
    <w:rsid w:val="75CB4B5C"/>
    <w:rsid w:val="762A3631"/>
    <w:rsid w:val="76C94008"/>
    <w:rsid w:val="78472CC4"/>
    <w:rsid w:val="78A9080A"/>
    <w:rsid w:val="79A5280B"/>
    <w:rsid w:val="79DA78BB"/>
    <w:rsid w:val="7C06244A"/>
    <w:rsid w:val="7DCA6357"/>
    <w:rsid w:val="7E0D7341"/>
    <w:rsid w:val="7E552475"/>
    <w:rsid w:val="7EB63CFB"/>
    <w:rsid w:val="7F0B3F10"/>
    <w:rsid w:val="7F335D58"/>
    <w:rsid w:val="7F76B1E6"/>
    <w:rsid w:val="7FAC4969"/>
    <w:rsid w:val="7FC71C69"/>
    <w:rsid w:val="B3BFCF91"/>
    <w:rsid w:val="B5DF151D"/>
    <w:rsid w:val="BFBFE259"/>
    <w:rsid w:val="C27F9A3E"/>
    <w:rsid w:val="DBE1669E"/>
    <w:rsid w:val="ED7E5CE5"/>
    <w:rsid w:val="F396F175"/>
    <w:rsid w:val="F7F71E89"/>
    <w:rsid w:val="FD7F9FE4"/>
    <w:rsid w:val="FE92CC8A"/>
    <w:rsid w:val="FFB232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6" w:lineRule="auto"/>
      <w:outlineLvl w:val="0"/>
    </w:pPr>
    <w:rPr>
      <w:b/>
      <w:kern w:val="44"/>
      <w:sz w:val="44"/>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style>
  <w:style w:type="paragraph" w:styleId="4">
    <w:name w:val="Body Text"/>
    <w:basedOn w:val="1"/>
    <w:semiHidden/>
    <w:qFormat/>
    <w:uiPriority w:val="0"/>
    <w:rPr>
      <w:rFonts w:ascii="仿宋_GB2312" w:hAnsi="Tahoma"/>
      <w:sz w:val="44"/>
    </w:rPr>
  </w:style>
  <w:style w:type="paragraph" w:styleId="5">
    <w:name w:val="footer"/>
    <w:basedOn w:val="1"/>
    <w:link w:val="11"/>
    <w:uiPriority w:val="0"/>
    <w:pPr>
      <w:tabs>
        <w:tab w:val="center" w:pos="4153"/>
        <w:tab w:val="right" w:pos="8306"/>
      </w:tabs>
      <w:snapToGrid w:val="0"/>
      <w:jc w:val="left"/>
    </w:pPr>
    <w:rPr>
      <w:sz w:val="18"/>
      <w:szCs w:val="18"/>
    </w:rPr>
  </w:style>
  <w:style w:type="paragraph" w:styleId="6">
    <w:name w:val="header"/>
    <w:basedOn w:val="1"/>
    <w:link w:val="10"/>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100" w:beforeAutospacing="1" w:after="100" w:afterAutospacing="1"/>
      <w:jc w:val="left"/>
    </w:pPr>
    <w:rPr>
      <w:kern w:val="0"/>
      <w:sz w:val="24"/>
    </w:rPr>
  </w:style>
  <w:style w:type="character" w:customStyle="1" w:styleId="10">
    <w:name w:val="页眉 Char"/>
    <w:basedOn w:val="9"/>
    <w:link w:val="6"/>
    <w:qFormat/>
    <w:uiPriority w:val="0"/>
    <w:rPr>
      <w:rFonts w:ascii="Calibri" w:hAnsi="Calibri"/>
      <w:kern w:val="2"/>
      <w:sz w:val="18"/>
      <w:szCs w:val="18"/>
    </w:rPr>
  </w:style>
  <w:style w:type="character" w:customStyle="1" w:styleId="11">
    <w:name w:val="页脚 Char"/>
    <w:basedOn w:val="9"/>
    <w:link w:val="5"/>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xxzx</Company>
  <Pages>7</Pages>
  <Words>3348</Words>
  <Characters>3348</Characters>
  <Lines>86</Lines>
  <Paragraphs>50</Paragraphs>
  <TotalTime>36</TotalTime>
  <ScaleCrop>false</ScaleCrop>
  <LinksUpToDate>false</LinksUpToDate>
  <CharactersWithSpaces>3397</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2014-10-30T12:08:00Z</dcterms:created>
  <dc:creator>Administrator</dc:creator>
  <cp:lastModifiedBy>郭渊</cp:lastModifiedBy>
  <dcterms:modified xsi:type="dcterms:W3CDTF">2025-01-14T07:24:38Z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2F3ECC6A851842C68EC3DA0D4362A18F_13</vt:lpwstr>
  </property>
  <property fmtid="{D5CDD505-2E9C-101B-9397-08002B2CF9AE}" pid="4" name="KSOTemplateDocerSaveRecord">
    <vt:lpwstr>eyJoZGlkIjoiODU5MjQwZDc5OGEwNGMyZGY5MmUzMGJjZDEwNDE1YTMiLCJ1c2VySWQiOiIzNDU3NTgzODcifQ==</vt:lpwstr>
  </property>
</Properties>
</file>