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BE521">
      <w:pPr>
        <w:widowControl/>
        <w:shd w:val="clear" w:color="auto" w:fill="FFFFFF"/>
        <w:spacing w:line="560" w:lineRule="atLeast"/>
        <w:jc w:val="left"/>
        <w:rPr>
          <w:rFonts w:hint="eastAsia" w:ascii="仿宋" w:hAnsi="仿宋" w:eastAsia="仿宋" w:cs="Times New Roman"/>
          <w:color w:val="000000"/>
          <w:kern w:val="0"/>
          <w:sz w:val="28"/>
          <w:szCs w:val="28"/>
          <w14:ligatures w14:val="none"/>
        </w:rPr>
      </w:pPr>
      <w:r>
        <w:rPr>
          <w:rFonts w:hint="eastAsia" w:ascii="仿宋" w:hAnsi="仿宋" w:eastAsia="仿宋" w:cs="Times New Roman"/>
          <w:b/>
          <w:bCs/>
          <w:color w:val="333333"/>
          <w:kern w:val="0"/>
          <w:sz w:val="36"/>
          <w:szCs w:val="36"/>
          <w14:ligatures w14:val="none"/>
        </w:rPr>
        <w:t>附件1：</w:t>
      </w:r>
    </w:p>
    <w:p w14:paraId="13D71945">
      <w:pPr>
        <w:widowControl/>
        <w:shd w:val="clear" w:color="auto" w:fill="FFFFFF"/>
        <w:spacing w:line="560" w:lineRule="atLeast"/>
        <w:jc w:val="center"/>
        <w:rPr>
          <w:rFonts w:hint="eastAsia" w:ascii="黑体" w:hAnsi="黑体" w:eastAsia="黑体" w:cs="Times New Roman"/>
          <w:b/>
          <w:bCs/>
          <w:color w:val="333333"/>
          <w:kern w:val="0"/>
          <w:sz w:val="36"/>
          <w:szCs w:val="36"/>
          <w14:ligatures w14:val="none"/>
        </w:rPr>
      </w:pPr>
      <w:r>
        <w:rPr>
          <w:rFonts w:hint="eastAsia" w:ascii="黑体" w:hAnsi="黑体" w:eastAsia="黑体" w:cs="Times New Roman"/>
          <w:b/>
          <w:bCs/>
          <w:color w:val="333333"/>
          <w:kern w:val="0"/>
          <w:sz w:val="36"/>
          <w:szCs w:val="36"/>
          <w14:ligatures w14:val="none"/>
        </w:rPr>
        <w:t>新余市中心城区土地征收成片开发方案</w:t>
      </w:r>
    </w:p>
    <w:p w14:paraId="71221DCB">
      <w:pPr>
        <w:widowControl/>
        <w:shd w:val="clear" w:color="auto" w:fill="FFFFFF"/>
        <w:spacing w:line="560" w:lineRule="atLeast"/>
        <w:jc w:val="center"/>
        <w:rPr>
          <w:rFonts w:hint="eastAsia" w:ascii="黑体" w:hAnsi="黑体" w:eastAsia="黑体" w:cs="Times New Roman"/>
          <w:b/>
          <w:bCs/>
          <w:color w:val="333333"/>
          <w:kern w:val="0"/>
          <w:sz w:val="36"/>
          <w:szCs w:val="36"/>
          <w14:ligatures w14:val="none"/>
        </w:rPr>
      </w:pPr>
      <w:r>
        <w:rPr>
          <w:rFonts w:hint="eastAsia" w:ascii="黑体" w:hAnsi="黑体" w:eastAsia="黑体" w:cs="Times New Roman"/>
          <w:b/>
          <w:bCs/>
          <w:color w:val="333333"/>
          <w:kern w:val="0"/>
          <w:sz w:val="36"/>
          <w:szCs w:val="36"/>
          <w14:ligatures w14:val="none"/>
        </w:rPr>
        <w:t>（2025-2026年）草案</w:t>
      </w:r>
    </w:p>
    <w:p w14:paraId="6A053282">
      <w:pPr>
        <w:widowControl/>
        <w:shd w:val="clear" w:color="auto" w:fill="FFFFFF"/>
        <w:spacing w:line="560" w:lineRule="atLeast"/>
        <w:jc w:val="center"/>
        <w:rPr>
          <w:rFonts w:hint="eastAsia" w:ascii="黑体" w:hAnsi="黑体" w:eastAsia="黑体" w:cs="Times New Roman"/>
          <w:color w:val="000000"/>
          <w:kern w:val="0"/>
          <w:sz w:val="28"/>
          <w:szCs w:val="28"/>
          <w14:ligatures w14:val="none"/>
        </w:rPr>
      </w:pPr>
    </w:p>
    <w:p w14:paraId="1EF074CC">
      <w:pPr>
        <w:widowControl/>
        <w:shd w:val="clear" w:color="auto" w:fill="FFFFFF"/>
        <w:spacing w:line="360" w:lineRule="auto"/>
        <w:ind w:firstLine="640" w:firstLineChars="200"/>
        <w:rPr>
          <w:rFonts w:hint="eastAsia" w:ascii="黑体" w:hAnsi="黑体" w:eastAsia="黑体" w:cs="Times New Roman"/>
          <w:color w:val="000000"/>
          <w:kern w:val="0"/>
          <w:sz w:val="32"/>
          <w:szCs w:val="32"/>
          <w14:ligatures w14:val="none"/>
        </w:rPr>
      </w:pPr>
      <w:r>
        <w:rPr>
          <w:rFonts w:hint="eastAsia" w:ascii="黑体" w:hAnsi="黑体" w:eastAsia="黑体" w:cs="Times New Roman"/>
          <w:color w:val="000000"/>
          <w:kern w:val="0"/>
          <w:sz w:val="32"/>
          <w:szCs w:val="32"/>
          <w14:ligatures w14:val="none"/>
        </w:rPr>
        <w:t>一、编制原则及依据</w:t>
      </w:r>
    </w:p>
    <w:p w14:paraId="29EF5C86">
      <w:pPr>
        <w:widowControl/>
        <w:shd w:val="clear" w:color="auto" w:fill="FFFFFF"/>
        <w:spacing w:line="360" w:lineRule="auto"/>
        <w:ind w:firstLine="643" w:firstLineChars="200"/>
        <w:rPr>
          <w:rFonts w:hint="eastAsia" w:ascii="仿宋_GB2312" w:hAnsi="仿宋" w:eastAsia="仿宋_GB2312" w:cs="Times New Roman"/>
          <w:b/>
          <w:bCs/>
          <w:color w:val="000000"/>
          <w:kern w:val="0"/>
          <w:sz w:val="32"/>
          <w:szCs w:val="32"/>
          <w14:ligatures w14:val="none"/>
        </w:rPr>
      </w:pPr>
      <w:r>
        <w:rPr>
          <w:rFonts w:hint="eastAsia" w:ascii="仿宋_GB2312" w:hAnsi="仿宋" w:eastAsia="仿宋_GB2312" w:cs="Times New Roman"/>
          <w:b/>
          <w:bCs/>
          <w:color w:val="000000"/>
          <w:kern w:val="0"/>
          <w:sz w:val="32"/>
          <w:szCs w:val="32"/>
          <w14:ligatures w14:val="none"/>
        </w:rPr>
        <w:t>（一）编制原则</w:t>
      </w:r>
    </w:p>
    <w:p w14:paraId="7AEE3DA0">
      <w:pPr>
        <w:widowControl/>
        <w:shd w:val="clear" w:color="auto" w:fill="FFFFFF"/>
        <w:spacing w:line="360" w:lineRule="auto"/>
        <w:ind w:firstLine="643" w:firstLineChars="200"/>
        <w:rPr>
          <w:rStyle w:val="11"/>
          <w:rFonts w:hint="eastAsia" w:ascii="仿宋_GB2312" w:eastAsia="仿宋_GB2312"/>
        </w:rPr>
      </w:pPr>
      <w:r>
        <w:rPr>
          <w:rStyle w:val="11"/>
          <w:rFonts w:hint="eastAsia" w:ascii="仿宋_GB2312" w:eastAsia="仿宋_GB2312"/>
          <w:b/>
          <w:bCs/>
        </w:rPr>
        <w:t>1.依法依规，尊重民意。</w:t>
      </w:r>
      <w:r>
        <w:rPr>
          <w:rStyle w:val="11"/>
          <w:rFonts w:hint="eastAsia" w:ascii="仿宋_GB2312" w:eastAsia="仿宋_GB2312"/>
        </w:rPr>
        <w:t>严格执行相关法律法规，充分征求农村集体经济组织及其成员的意见，尊重农民意愿，切实保障农民合法权益。</w:t>
      </w:r>
    </w:p>
    <w:p w14:paraId="761A0321">
      <w:pPr>
        <w:widowControl/>
        <w:shd w:val="clear" w:color="auto" w:fill="FFFFFF"/>
        <w:spacing w:line="360" w:lineRule="auto"/>
        <w:ind w:firstLine="643" w:firstLineChars="200"/>
        <w:rPr>
          <w:rStyle w:val="11"/>
          <w:rFonts w:hint="eastAsia" w:ascii="仿宋_GB2312" w:eastAsia="仿宋_GB2312"/>
        </w:rPr>
      </w:pPr>
      <w:r>
        <w:rPr>
          <w:rStyle w:val="11"/>
          <w:rFonts w:hint="eastAsia" w:ascii="仿宋_GB2312" w:eastAsia="仿宋_GB2312"/>
          <w:b/>
          <w:bCs/>
        </w:rPr>
        <w:t>2.坚守底线，节约集约。</w:t>
      </w:r>
      <w:r>
        <w:rPr>
          <w:rStyle w:val="11"/>
          <w:rFonts w:hint="eastAsia" w:ascii="仿宋_GB2312" w:eastAsia="仿宋_GB2312"/>
        </w:rPr>
        <w:t>严守城镇开发边界、生态保护红线和历史文化保护线，坚持绿色发展，严控增量、盘活存量，实现集中、集约、集聚高效有序发展，建一片成一片，促进城镇发展由外延扩张向内涵提升转变。</w:t>
      </w:r>
    </w:p>
    <w:p w14:paraId="45D5125F">
      <w:pPr>
        <w:widowControl/>
        <w:shd w:val="clear" w:color="auto" w:fill="FFFFFF"/>
        <w:spacing w:line="360" w:lineRule="auto"/>
        <w:ind w:firstLine="643" w:firstLineChars="200"/>
        <w:rPr>
          <w:rStyle w:val="11"/>
          <w:rFonts w:hint="eastAsia" w:ascii="仿宋_GB2312" w:eastAsia="仿宋_GB2312"/>
        </w:rPr>
      </w:pPr>
      <w:r>
        <w:rPr>
          <w:rStyle w:val="11"/>
          <w:rFonts w:hint="eastAsia" w:ascii="仿宋_GB2312" w:eastAsia="仿宋_GB2312"/>
          <w:b/>
          <w:bCs/>
        </w:rPr>
        <w:t>3.统筹兼顾，持续发展。</w:t>
      </w:r>
      <w:r>
        <w:rPr>
          <w:rStyle w:val="11"/>
          <w:rFonts w:hint="eastAsia" w:ascii="仿宋_GB2312" w:eastAsia="仿宋_GB2312"/>
        </w:rPr>
        <w:t>统筹兼顾经济效益、社会效益和生态效益，合理调整用地结构，实现土地资源的高效和可持续利用。</w:t>
      </w:r>
    </w:p>
    <w:p w14:paraId="3D0ADCFB">
      <w:pPr>
        <w:widowControl/>
        <w:shd w:val="clear" w:color="auto" w:fill="FFFFFF"/>
        <w:spacing w:line="360" w:lineRule="auto"/>
        <w:ind w:firstLine="643" w:firstLineChars="200"/>
        <w:rPr>
          <w:rStyle w:val="11"/>
          <w:rFonts w:hint="eastAsia" w:ascii="仿宋_GB2312" w:eastAsia="仿宋_GB2312"/>
        </w:rPr>
      </w:pPr>
      <w:r>
        <w:rPr>
          <w:rStyle w:val="11"/>
          <w:rFonts w:hint="eastAsia" w:ascii="仿宋_GB2312" w:eastAsia="仿宋_GB2312"/>
          <w:b/>
          <w:bCs/>
        </w:rPr>
        <w:t>4.规划引领，综合开发。</w:t>
      </w:r>
      <w:r>
        <w:rPr>
          <w:rStyle w:val="11"/>
          <w:rFonts w:hint="eastAsia" w:ascii="仿宋_GB2312" w:eastAsia="仿宋_GB2312"/>
        </w:rPr>
        <w:t>严格依据国民经济和社会发展规划、国土空间总体规划，综合考虑城市发展建设需求，集中紧凑成片开发</w:t>
      </w:r>
      <w:r>
        <w:rPr>
          <w:rFonts w:hint="eastAsia" w:ascii="仿宋_GB2312" w:hAnsi="仿宋" w:eastAsia="仿宋_GB2312" w:cs="Times New Roman"/>
          <w:color w:val="000000"/>
          <w:sz w:val="32"/>
          <w:szCs w:val="32"/>
          <w:shd w:val="clear" w:color="auto" w:fill="FFFFFF"/>
        </w:rPr>
        <w:t>，不断提升城市设施服务、产业发展、人口集聚等支撑能力</w:t>
      </w:r>
      <w:r>
        <w:rPr>
          <w:rStyle w:val="11"/>
          <w:rFonts w:hint="eastAsia" w:ascii="仿宋_GB2312" w:eastAsia="仿宋_GB2312"/>
        </w:rPr>
        <w:t>。</w:t>
      </w:r>
    </w:p>
    <w:p w14:paraId="464D88F1">
      <w:pPr>
        <w:widowControl/>
        <w:shd w:val="clear" w:color="auto" w:fill="FFFFFF"/>
        <w:spacing w:line="360" w:lineRule="auto"/>
        <w:ind w:firstLine="643" w:firstLineChars="200"/>
        <w:rPr>
          <w:rFonts w:hint="eastAsia" w:ascii="仿宋_GB2312" w:hAnsi="仿宋" w:eastAsia="仿宋_GB2312" w:cs="Times New Roman"/>
          <w:b/>
          <w:bCs/>
          <w:color w:val="000000"/>
          <w:kern w:val="0"/>
          <w:sz w:val="32"/>
          <w:szCs w:val="32"/>
          <w14:ligatures w14:val="none"/>
        </w:rPr>
      </w:pPr>
      <w:r>
        <w:rPr>
          <w:rFonts w:hint="eastAsia" w:ascii="仿宋_GB2312" w:hAnsi="仿宋" w:eastAsia="仿宋_GB2312" w:cs="Times New Roman"/>
          <w:b/>
          <w:bCs/>
          <w:color w:val="000000"/>
          <w:kern w:val="0"/>
          <w:sz w:val="32"/>
          <w:szCs w:val="32"/>
          <w14:ligatures w14:val="none"/>
        </w:rPr>
        <w:t>（二）编制依据</w:t>
      </w:r>
    </w:p>
    <w:p w14:paraId="0760482F">
      <w:pPr>
        <w:widowControl/>
        <w:shd w:val="clear" w:color="auto" w:fill="FFFFFF"/>
        <w:spacing w:line="360" w:lineRule="auto"/>
        <w:ind w:firstLine="643" w:firstLineChars="200"/>
        <w:rPr>
          <w:rFonts w:hint="eastAsia" w:ascii="仿宋_GB2312" w:hAnsi="仿宋" w:eastAsia="仿宋_GB2312" w:cs="Times New Roman"/>
          <w:b/>
          <w:bCs/>
          <w:color w:val="000000"/>
          <w:sz w:val="32"/>
          <w:szCs w:val="32"/>
          <w:shd w:val="clear" w:color="auto" w:fill="FFFFFF"/>
        </w:rPr>
      </w:pPr>
      <w:r>
        <w:rPr>
          <w:rFonts w:hint="eastAsia" w:ascii="仿宋_GB2312" w:hAnsi="仿宋" w:eastAsia="仿宋_GB2312" w:cs="Times New Roman"/>
          <w:b/>
          <w:bCs/>
          <w:color w:val="000000"/>
          <w:sz w:val="32"/>
          <w:szCs w:val="32"/>
          <w:shd w:val="clear" w:color="auto" w:fill="FFFFFF"/>
        </w:rPr>
        <w:t>1</w:t>
      </w:r>
      <w:bookmarkStart w:id="0" w:name="OLE_LINK1"/>
      <w:r>
        <w:rPr>
          <w:rFonts w:hint="eastAsia" w:ascii="仿宋_GB2312" w:hAnsi="仿宋" w:eastAsia="仿宋_GB2312" w:cs="Times New Roman"/>
          <w:b/>
          <w:bCs/>
          <w:color w:val="000000"/>
          <w:sz w:val="32"/>
          <w:szCs w:val="32"/>
          <w:shd w:val="clear" w:color="auto" w:fill="FFFFFF"/>
        </w:rPr>
        <w:t>.</w:t>
      </w:r>
      <w:bookmarkEnd w:id="0"/>
      <w:r>
        <w:rPr>
          <w:rFonts w:hint="eastAsia" w:ascii="仿宋_GB2312" w:hAnsi="仿宋" w:eastAsia="仿宋_GB2312" w:cs="Times New Roman"/>
          <w:b/>
          <w:bCs/>
          <w:color w:val="000000"/>
          <w:sz w:val="32"/>
          <w:szCs w:val="32"/>
          <w:shd w:val="clear" w:color="auto" w:fill="FFFFFF"/>
        </w:rPr>
        <w:t xml:space="preserve">法律法规 </w:t>
      </w:r>
    </w:p>
    <w:p w14:paraId="522756E8">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（1）《中华人民共和国土地管理法》（2020 年修正版）；</w:t>
      </w:r>
    </w:p>
    <w:p w14:paraId="795C08B5">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（2）《中华人民共和国土地管理法实施条例》（2021 年修订）；</w:t>
      </w:r>
    </w:p>
    <w:p w14:paraId="4479E8AE">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（3）</w:t>
      </w:r>
      <w:r>
        <w:rPr>
          <w:rFonts w:ascii="仿宋_GB2312" w:hAnsi="仿宋" w:eastAsia="仿宋_GB2312" w:cs="Times New Roman"/>
          <w:color w:val="000000"/>
          <w:sz w:val="32"/>
          <w:szCs w:val="32"/>
          <w:shd w:val="clear" w:color="auto" w:fill="FFFFFF"/>
        </w:rPr>
        <w:t>《中华人民共和国城乡规划法》（2019年修正）</w:t>
      </w:r>
    </w:p>
    <w:p w14:paraId="1FF67A46">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（4）《中华人民共和国城市房地产管理法》（2019年修正）；</w:t>
      </w:r>
    </w:p>
    <w:p w14:paraId="7D02D10A">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（5）《中华人民共和国环境保护法》（2014年修订）；</w:t>
      </w:r>
    </w:p>
    <w:p w14:paraId="584F37E3">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（6）《中华人民共和国水土保持法》（2010年修订）；</w:t>
      </w:r>
    </w:p>
    <w:p w14:paraId="39EF849F">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（7）《中华人民共和国森林法》（2019年修订）；</w:t>
      </w:r>
    </w:p>
    <w:p w14:paraId="75DDB7FB">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（8）</w:t>
      </w:r>
      <w:r>
        <w:rPr>
          <w:rFonts w:ascii="仿宋_GB2312" w:hAnsi="仿宋" w:eastAsia="仿宋_GB2312" w:cs="Times New Roman"/>
          <w:color w:val="000000"/>
          <w:sz w:val="32"/>
          <w:szCs w:val="32"/>
          <w:shd w:val="clear" w:color="auto" w:fill="FFFFFF"/>
        </w:rPr>
        <w:t>《基本农田保护条例》（2011年修订）</w:t>
      </w:r>
      <w:r>
        <w:rPr>
          <w:rFonts w:hint="eastAsia" w:ascii="仿宋_GB2312" w:hAnsi="仿宋" w:eastAsia="仿宋_GB2312" w:cs="Times New Roman"/>
          <w:color w:val="000000"/>
          <w:sz w:val="32"/>
          <w:szCs w:val="32"/>
          <w:shd w:val="clear" w:color="auto" w:fill="FFFFFF"/>
        </w:rPr>
        <w:t>。</w:t>
      </w:r>
    </w:p>
    <w:p w14:paraId="51BC198A">
      <w:pPr>
        <w:widowControl/>
        <w:shd w:val="clear" w:color="auto" w:fill="FFFFFF"/>
        <w:spacing w:line="360" w:lineRule="auto"/>
        <w:ind w:firstLine="643" w:firstLineChars="200"/>
        <w:rPr>
          <w:rFonts w:hint="eastAsia" w:ascii="仿宋_GB2312" w:hAnsi="仿宋" w:eastAsia="仿宋_GB2312" w:cs="Times New Roman"/>
          <w:b/>
          <w:bCs/>
          <w:color w:val="000000"/>
          <w:sz w:val="32"/>
          <w:szCs w:val="32"/>
          <w:shd w:val="clear" w:color="auto" w:fill="FFFFFF"/>
        </w:rPr>
      </w:pPr>
      <w:r>
        <w:rPr>
          <w:rFonts w:hint="eastAsia" w:ascii="仿宋_GB2312" w:hAnsi="仿宋" w:eastAsia="仿宋_GB2312" w:cs="Times New Roman"/>
          <w:b/>
          <w:bCs/>
          <w:color w:val="000000"/>
          <w:sz w:val="32"/>
          <w:szCs w:val="32"/>
          <w:shd w:val="clear" w:color="auto" w:fill="FFFFFF"/>
        </w:rPr>
        <w:t>2.政策依据</w:t>
      </w:r>
    </w:p>
    <w:p w14:paraId="382C9508">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（1）《自然资源部关于印发〈土地征收成片开发标准〉的通知》（自然资规〔2023〕7号）；</w:t>
      </w:r>
    </w:p>
    <w:p w14:paraId="3B48B787">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（2）《自然资源部关于印发&lt;国土空间调查、规划、用途管制用地用海分类指南&gt;的通知》（自然资发〔</w:t>
      </w:r>
      <w:r>
        <w:rPr>
          <w:rFonts w:ascii="仿宋_GB2312" w:hAnsi="仿宋" w:eastAsia="仿宋_GB2312" w:cs="Times New Roman"/>
          <w:color w:val="000000"/>
          <w:sz w:val="32"/>
          <w:szCs w:val="32"/>
          <w:shd w:val="clear" w:color="auto" w:fill="FFFFFF"/>
        </w:rPr>
        <w:t>2023〕234号</w:t>
      </w:r>
      <w:r>
        <w:rPr>
          <w:rFonts w:hint="eastAsia" w:ascii="仿宋_GB2312" w:hAnsi="仿宋" w:eastAsia="仿宋_GB2312" w:cs="Times New Roman"/>
          <w:color w:val="000000"/>
          <w:sz w:val="32"/>
          <w:szCs w:val="32"/>
          <w:shd w:val="clear" w:color="auto" w:fill="FFFFFF"/>
        </w:rPr>
        <w:t>）；</w:t>
      </w:r>
    </w:p>
    <w:p w14:paraId="215E1BD7">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（3）《江西省人民政府办公厅关于执行土地征收成片开发标准（试行）的指导意见》（赣府厅发〔2021〕2号）；</w:t>
      </w:r>
    </w:p>
    <w:p w14:paraId="4ABEF176">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（4）</w:t>
      </w:r>
      <w:r>
        <w:rPr>
          <w:rFonts w:ascii="仿宋_GB2312" w:hAnsi="仿宋" w:eastAsia="仿宋_GB2312" w:cs="Times New Roman"/>
          <w:color w:val="000000"/>
          <w:sz w:val="32"/>
          <w:szCs w:val="32"/>
          <w:shd w:val="clear" w:color="auto" w:fill="FFFFFF"/>
        </w:rPr>
        <w:t>《江西省人民政府办公厅关于深入推进全省用地提质增效的实施意见》（赣府厅发〔2024〕3 号）</w:t>
      </w:r>
      <w:r>
        <w:rPr>
          <w:rFonts w:hint="eastAsia" w:ascii="仿宋_GB2312" w:hAnsi="仿宋" w:eastAsia="仿宋_GB2312" w:cs="Times New Roman"/>
          <w:color w:val="000000"/>
          <w:sz w:val="32"/>
          <w:szCs w:val="32"/>
          <w:shd w:val="clear" w:color="auto" w:fill="FFFFFF"/>
        </w:rPr>
        <w:t>；</w:t>
      </w:r>
    </w:p>
    <w:p w14:paraId="325EC8F8">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（5）《</w:t>
      </w:r>
      <w:bookmarkStart w:id="1" w:name="OLE_LINK3"/>
      <w:r>
        <w:rPr>
          <w:rFonts w:hint="eastAsia" w:ascii="仿宋_GB2312" w:hAnsi="仿宋" w:eastAsia="仿宋_GB2312" w:cs="Times New Roman"/>
          <w:color w:val="000000"/>
          <w:sz w:val="32"/>
          <w:szCs w:val="32"/>
          <w:shd w:val="clear" w:color="auto" w:fill="FFFFFF"/>
        </w:rPr>
        <w:t>江西省自然资源厅办公室关于印发土地征收成片开发方案审批指南（试行）的通知》（赣自然资办发〔2021〕30号）</w:t>
      </w:r>
      <w:bookmarkEnd w:id="1"/>
      <w:r>
        <w:rPr>
          <w:rFonts w:hint="eastAsia" w:ascii="仿宋_GB2312" w:hAnsi="仿宋" w:eastAsia="仿宋_GB2312" w:cs="Times New Roman"/>
          <w:color w:val="000000"/>
          <w:sz w:val="32"/>
          <w:szCs w:val="32"/>
          <w:shd w:val="clear" w:color="auto" w:fill="FFFFFF"/>
        </w:rPr>
        <w:t>；</w:t>
      </w:r>
    </w:p>
    <w:p w14:paraId="3093E157">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（6）《江西省自然资源厅关于进一步规范土地征收成片开发工作的通知》（赣自然资字〔2025〕9号）。</w:t>
      </w:r>
    </w:p>
    <w:p w14:paraId="79509EF8">
      <w:pPr>
        <w:widowControl/>
        <w:shd w:val="clear" w:color="auto" w:fill="FFFFFF"/>
        <w:spacing w:line="360" w:lineRule="auto"/>
        <w:ind w:firstLine="643" w:firstLineChars="200"/>
        <w:rPr>
          <w:rFonts w:hint="eastAsia" w:ascii="仿宋_GB2312" w:hAnsi="仿宋" w:eastAsia="仿宋_GB2312" w:cs="Times New Roman"/>
          <w:b/>
          <w:bCs/>
          <w:color w:val="000000"/>
          <w:sz w:val="32"/>
          <w:szCs w:val="32"/>
          <w:shd w:val="clear" w:color="auto" w:fill="FFFFFF"/>
        </w:rPr>
      </w:pPr>
      <w:r>
        <w:rPr>
          <w:rFonts w:hint="eastAsia" w:ascii="仿宋_GB2312" w:hAnsi="仿宋" w:eastAsia="仿宋_GB2312" w:cs="Times New Roman"/>
          <w:b/>
          <w:bCs/>
          <w:color w:val="000000"/>
          <w:sz w:val="32"/>
          <w:szCs w:val="32"/>
          <w:shd w:val="clear" w:color="auto" w:fill="FFFFFF"/>
        </w:rPr>
        <w:t>3.相关规划</w:t>
      </w:r>
    </w:p>
    <w:p w14:paraId="24EF77DF">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（1）《新余市国民经济和社会发展第十四个五年规划和二</w:t>
      </w:r>
      <w:r>
        <w:rPr>
          <w:rFonts w:hint="eastAsia" w:ascii="微软雅黑" w:hAnsi="微软雅黑" w:eastAsia="微软雅黑" w:cs="微软雅黑"/>
          <w:color w:val="000000"/>
          <w:sz w:val="32"/>
          <w:szCs w:val="32"/>
          <w:shd w:val="clear" w:color="auto" w:fill="FFFFFF"/>
        </w:rPr>
        <w:t>〇</w:t>
      </w:r>
      <w:r>
        <w:rPr>
          <w:rFonts w:hint="eastAsia" w:ascii="仿宋_GB2312" w:hAnsi="仿宋_GB2312" w:eastAsia="仿宋_GB2312" w:cs="仿宋_GB2312"/>
          <w:color w:val="000000"/>
          <w:sz w:val="32"/>
          <w:szCs w:val="32"/>
          <w:shd w:val="clear" w:color="auto" w:fill="FFFFFF"/>
        </w:rPr>
        <w:t>三五年远景目标</w:t>
      </w:r>
      <w:bookmarkStart w:id="26" w:name="_GoBack"/>
      <w:bookmarkEnd w:id="26"/>
      <w:r>
        <w:rPr>
          <w:rFonts w:hint="eastAsia" w:ascii="仿宋_GB2312" w:hAnsi="仿宋_GB2312" w:eastAsia="仿宋_GB2312" w:cs="仿宋_GB2312"/>
          <w:color w:val="000000"/>
          <w:sz w:val="32"/>
          <w:szCs w:val="32"/>
          <w:shd w:val="clear" w:color="auto" w:fill="FFFFFF"/>
        </w:rPr>
        <w:t>纲要》；</w:t>
      </w:r>
    </w:p>
    <w:p w14:paraId="11D66F85">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（2）《新余市国土空间总体规划（2021-2035</w:t>
      </w:r>
      <w:r>
        <w:rPr>
          <w:rFonts w:ascii="Calibri" w:hAnsi="Calibri" w:eastAsia="仿宋_GB2312" w:cs="Calibri"/>
          <w:color w:val="000000"/>
          <w:sz w:val="32"/>
          <w:szCs w:val="32"/>
          <w:shd w:val="clear" w:color="auto" w:fill="FFFFFF"/>
        </w:rPr>
        <w:t> </w:t>
      </w:r>
      <w:r>
        <w:rPr>
          <w:rFonts w:hint="eastAsia" w:ascii="仿宋_GB2312" w:hAnsi="仿宋" w:eastAsia="仿宋_GB2312" w:cs="Times New Roman"/>
          <w:color w:val="000000"/>
          <w:sz w:val="32"/>
          <w:szCs w:val="32"/>
          <w:shd w:val="clear" w:color="auto" w:fill="FFFFFF"/>
        </w:rPr>
        <w:t>年）》；</w:t>
      </w:r>
    </w:p>
    <w:p w14:paraId="6A80FC0F">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（3）《新余市矿产资源规划（2021-2025</w:t>
      </w:r>
      <w:r>
        <w:rPr>
          <w:rFonts w:ascii="Calibri" w:hAnsi="Calibri" w:eastAsia="仿宋_GB2312" w:cs="Calibri"/>
          <w:color w:val="000000"/>
          <w:sz w:val="32"/>
          <w:szCs w:val="32"/>
          <w:shd w:val="clear" w:color="auto" w:fill="FFFFFF"/>
        </w:rPr>
        <w:t> </w:t>
      </w:r>
      <w:r>
        <w:rPr>
          <w:rFonts w:hint="eastAsia" w:ascii="仿宋_GB2312" w:hAnsi="仿宋" w:eastAsia="仿宋_GB2312" w:cs="Times New Roman"/>
          <w:color w:val="000000"/>
          <w:sz w:val="32"/>
          <w:szCs w:val="32"/>
          <w:shd w:val="clear" w:color="auto" w:fill="FFFFFF"/>
        </w:rPr>
        <w:t>年）》；</w:t>
      </w:r>
    </w:p>
    <w:p w14:paraId="7152B4DF">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（4）《新余市地质灾害防治“十四五”规划(2021-2025年）》；</w:t>
      </w:r>
    </w:p>
    <w:p w14:paraId="0CF1BEA9">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（5）《新余市2024年国民经济和社会发展计划执行情况与2025年国民经济和社会发展计划草案》；</w:t>
      </w:r>
    </w:p>
    <w:p w14:paraId="312BFF62">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（6）</w:t>
      </w:r>
      <w:r>
        <w:rPr>
          <w:rFonts w:ascii="仿宋_GB2312" w:hAnsi="仿宋" w:eastAsia="仿宋_GB2312" w:cs="Times New Roman"/>
          <w:color w:val="000000"/>
          <w:sz w:val="32"/>
          <w:szCs w:val="32"/>
          <w:shd w:val="clear" w:color="auto" w:fill="FFFFFF"/>
        </w:rPr>
        <w:t>《高新区详细规划修编（GX01-GX18共18个规划单元）》</w:t>
      </w:r>
      <w:r>
        <w:rPr>
          <w:rFonts w:hint="eastAsia" w:ascii="仿宋_GB2312" w:hAnsi="仿宋" w:eastAsia="仿宋_GB2312" w:cs="Times New Roman"/>
          <w:color w:val="000000"/>
          <w:sz w:val="32"/>
          <w:szCs w:val="32"/>
          <w:shd w:val="clear" w:color="auto" w:fill="FFFFFF"/>
        </w:rPr>
        <w:t>、《新余市新钢片区控制性详细规划》等其它相关规划。</w:t>
      </w:r>
    </w:p>
    <w:p w14:paraId="72144167">
      <w:pPr>
        <w:widowControl/>
        <w:shd w:val="clear" w:color="auto" w:fill="FFFFFF"/>
        <w:spacing w:line="360" w:lineRule="auto"/>
        <w:ind w:firstLine="640" w:firstLineChars="200"/>
        <w:rPr>
          <w:rFonts w:hint="eastAsia" w:ascii="黑体" w:hAnsi="黑体" w:eastAsia="黑体" w:cs="Times New Roman"/>
          <w:color w:val="000000"/>
          <w:kern w:val="0"/>
          <w:sz w:val="32"/>
          <w:szCs w:val="32"/>
          <w14:ligatures w14:val="none"/>
        </w:rPr>
      </w:pPr>
      <w:r>
        <w:rPr>
          <w:rFonts w:hint="eastAsia" w:ascii="黑体" w:hAnsi="黑体" w:eastAsia="黑体" w:cs="Times New Roman"/>
          <w:color w:val="000000"/>
          <w:kern w:val="0"/>
          <w:sz w:val="32"/>
          <w:szCs w:val="32"/>
          <w14:ligatures w14:val="none"/>
        </w:rPr>
        <w:t>二、成片开发区域基本情况</w:t>
      </w:r>
    </w:p>
    <w:p w14:paraId="3B236CC6">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本成片开发方案共涉及3个区片，涉及</w:t>
      </w:r>
      <w:bookmarkStart w:id="2" w:name="OLE_LINK7"/>
      <w:r>
        <w:rPr>
          <w:rFonts w:hint="eastAsia" w:ascii="仿宋" w:hAnsi="仿宋" w:eastAsia="仿宋" w:cs="Times New Roman"/>
          <w:color w:val="000000" w:themeColor="text1"/>
          <w:kern w:val="0"/>
          <w:sz w:val="32"/>
          <w:szCs w:val="32"/>
          <w14:textFill>
            <w14:solidFill>
              <w14:schemeClr w14:val="tx1"/>
            </w14:solidFill>
          </w14:textFill>
          <w14:ligatures w14:val="none"/>
        </w:rPr>
        <w:t>城北街道办事处</w:t>
      </w:r>
      <w:bookmarkEnd w:id="2"/>
      <w:r>
        <w:rPr>
          <w:rFonts w:hint="eastAsia" w:ascii="仿宋" w:hAnsi="仿宋" w:eastAsia="仿宋" w:cs="Times New Roman"/>
          <w:color w:val="000000" w:themeColor="text1"/>
          <w:kern w:val="0"/>
          <w:sz w:val="32"/>
          <w:szCs w:val="32"/>
          <w14:textFill>
            <w14:solidFill>
              <w14:schemeClr w14:val="tx1"/>
            </w14:solidFill>
          </w14:textFill>
          <w14:ligatures w14:val="none"/>
        </w:rPr>
        <w:t>和城东办事处</w:t>
      </w:r>
      <w:r>
        <w:rPr>
          <w:rFonts w:hint="eastAsia" w:ascii="仿宋_GB2312" w:hAnsi="仿宋" w:eastAsia="仿宋_GB2312" w:cs="Times New Roman"/>
          <w:color w:val="000000"/>
          <w:sz w:val="32"/>
          <w:szCs w:val="32"/>
          <w:shd w:val="clear" w:color="auto" w:fill="FFFFFF"/>
        </w:rPr>
        <w:t>等2个街道办事处。本方案成片开发范围总面积22.9151公顷，约343.73亩（成片开发范围以最终批复为准），拟征收土地1</w:t>
      </w:r>
      <w:r>
        <w:rPr>
          <w:rFonts w:ascii="仿宋_GB2312" w:hAnsi="仿宋" w:eastAsia="仿宋_GB2312" w:cs="Times New Roman"/>
          <w:color w:val="000000"/>
          <w:sz w:val="32"/>
          <w:szCs w:val="32"/>
          <w:shd w:val="clear" w:color="auto" w:fill="FFFFFF"/>
        </w:rPr>
        <w:t>2.74</w:t>
      </w:r>
      <w:r>
        <w:rPr>
          <w:rFonts w:hint="eastAsia" w:ascii="仿宋_GB2312" w:hAnsi="仿宋" w:eastAsia="仿宋_GB2312" w:cs="Times New Roman"/>
          <w:color w:val="000000"/>
          <w:sz w:val="32"/>
          <w:szCs w:val="32"/>
          <w:shd w:val="clear" w:color="auto" w:fill="FFFFFF"/>
        </w:rPr>
        <w:t>85公顷，约191.23亩（征收面积以实际征收为主）。本方案实施计划为2025至2026年，分两年实施完毕。</w:t>
      </w:r>
    </w:p>
    <w:p w14:paraId="47235459">
      <w:pPr>
        <w:widowControl/>
        <w:shd w:val="clear" w:color="auto" w:fill="FFFFFF"/>
        <w:spacing w:line="360" w:lineRule="auto"/>
        <w:ind w:firstLine="640" w:firstLineChars="200"/>
        <w:rPr>
          <w:rFonts w:hint="eastAsia" w:ascii="黑体" w:hAnsi="黑体" w:eastAsia="黑体" w:cs="Times New Roman"/>
          <w:color w:val="000000"/>
          <w:kern w:val="0"/>
          <w:sz w:val="32"/>
          <w:szCs w:val="32"/>
          <w14:ligatures w14:val="none"/>
        </w:rPr>
      </w:pPr>
      <w:r>
        <w:rPr>
          <w:rFonts w:hint="eastAsia" w:ascii="黑体" w:hAnsi="黑体" w:eastAsia="黑体" w:cs="Times New Roman"/>
          <w:color w:val="000000"/>
          <w:kern w:val="0"/>
          <w:sz w:val="32"/>
          <w:szCs w:val="32"/>
          <w14:ligatures w14:val="none"/>
        </w:rPr>
        <w:t>三、</w:t>
      </w:r>
      <w:bookmarkStart w:id="3" w:name="OLE_LINK8"/>
      <w:r>
        <w:rPr>
          <w:rFonts w:hint="eastAsia" w:ascii="黑体" w:hAnsi="黑体" w:eastAsia="黑体" w:cs="Times New Roman"/>
          <w:color w:val="000000"/>
          <w:kern w:val="0"/>
          <w:sz w:val="32"/>
          <w:szCs w:val="32"/>
          <w14:ligatures w14:val="none"/>
        </w:rPr>
        <w:t>成片开发必要性</w:t>
      </w:r>
      <w:bookmarkEnd w:id="3"/>
      <w:r>
        <w:rPr>
          <w:rFonts w:hint="eastAsia" w:ascii="黑体" w:hAnsi="黑体" w:eastAsia="黑体" w:cs="Times New Roman"/>
          <w:color w:val="000000"/>
          <w:kern w:val="0"/>
          <w:sz w:val="32"/>
          <w:szCs w:val="32"/>
          <w14:ligatures w14:val="none"/>
        </w:rPr>
        <w:t>和合理性</w:t>
      </w:r>
    </w:p>
    <w:p w14:paraId="2B7AED55">
      <w:pPr>
        <w:widowControl/>
        <w:shd w:val="clear" w:color="auto" w:fill="FFFFFF"/>
        <w:spacing w:line="360" w:lineRule="auto"/>
        <w:ind w:firstLine="643" w:firstLineChars="200"/>
        <w:rPr>
          <w:rFonts w:hint="eastAsia" w:ascii="仿宋_GB2312" w:hAnsi="仿宋" w:eastAsia="仿宋_GB2312" w:cs="Times New Roman"/>
          <w:b/>
          <w:bCs/>
          <w:color w:val="000000"/>
          <w:kern w:val="0"/>
          <w:sz w:val="32"/>
          <w:szCs w:val="32"/>
          <w14:ligatures w14:val="none"/>
        </w:rPr>
      </w:pPr>
      <w:r>
        <w:rPr>
          <w:rFonts w:hint="eastAsia" w:ascii="仿宋_GB2312" w:hAnsi="仿宋" w:eastAsia="仿宋_GB2312" w:cs="Times New Roman"/>
          <w:b/>
          <w:bCs/>
          <w:color w:val="000000"/>
          <w:kern w:val="0"/>
          <w:sz w:val="32"/>
          <w:szCs w:val="32"/>
          <w14:ligatures w14:val="none"/>
        </w:rPr>
        <w:t>（一）成片开发必要性</w:t>
      </w:r>
    </w:p>
    <w:p w14:paraId="3EAEF4F5">
      <w:pPr>
        <w:widowControl/>
        <w:shd w:val="clear" w:color="auto" w:fill="FFFFFF"/>
        <w:spacing w:line="360" w:lineRule="auto"/>
        <w:ind w:firstLine="640" w:firstLineChars="200"/>
        <w:rPr>
          <w:rFonts w:hint="eastAsia" w:ascii="仿宋_GB2312" w:hAnsi="仿宋" w:eastAsia="仿宋_GB2312" w:cs="Times New Roman"/>
          <w:color w:val="000000"/>
          <w:sz w:val="32"/>
          <w:szCs w:val="32"/>
          <w:shd w:val="clear" w:color="auto" w:fill="FFFFFF"/>
        </w:rPr>
      </w:pPr>
      <w:r>
        <w:rPr>
          <w:rFonts w:hint="eastAsia" w:ascii="仿宋_GB2312" w:hAnsi="仿宋" w:eastAsia="仿宋_GB2312" w:cs="Times New Roman"/>
          <w:color w:val="000000"/>
          <w:sz w:val="32"/>
          <w:szCs w:val="32"/>
          <w:shd w:val="clear" w:color="auto" w:fill="FFFFFF"/>
        </w:rPr>
        <w:t>围绕“深入推进以人为本的新型城镇化”，对中心城区内部低效用地和存量用地进行挖潜，统筹安排产业、居住、公共服务、生态等功能区，优化中心城区用地空间布局；统筹改善道路、管网、绿化等基础设施和公共服务设施，本次成片开发方案的实施将增加建设用地和城镇住房有效供给，持续改善城市居住环境和服务品质，打造集约高效的城镇空间，为新型城镇化提供优质的空间载体，加速新余市新型城镇化进程。</w:t>
      </w:r>
    </w:p>
    <w:p w14:paraId="7266AEDD">
      <w:pPr>
        <w:widowControl/>
        <w:shd w:val="clear" w:color="auto" w:fill="FFFFFF"/>
        <w:spacing w:line="360" w:lineRule="auto"/>
        <w:ind w:firstLine="643" w:firstLineChars="200"/>
        <w:rPr>
          <w:rFonts w:hint="eastAsia" w:ascii="仿宋_GB2312" w:hAnsi="仿宋" w:eastAsia="仿宋_GB2312" w:cs="Times New Roman"/>
          <w:b/>
          <w:bCs/>
          <w:color w:val="000000"/>
          <w:kern w:val="0"/>
          <w:sz w:val="32"/>
          <w:szCs w:val="32"/>
          <w14:ligatures w14:val="none"/>
        </w:rPr>
      </w:pPr>
      <w:r>
        <w:rPr>
          <w:rFonts w:hint="eastAsia" w:ascii="仿宋_GB2312" w:hAnsi="仿宋" w:eastAsia="仿宋_GB2312" w:cs="Times New Roman"/>
          <w:b/>
          <w:bCs/>
          <w:color w:val="000000"/>
          <w:kern w:val="0"/>
          <w:sz w:val="32"/>
          <w:szCs w:val="32"/>
          <w14:ligatures w14:val="none"/>
        </w:rPr>
        <w:t>（二）成片开发合理性</w:t>
      </w:r>
    </w:p>
    <w:p w14:paraId="4635537C">
      <w:pPr>
        <w:pStyle w:val="10"/>
        <w:spacing w:line="360" w:lineRule="auto"/>
        <w:ind w:firstLine="640"/>
        <w:rPr>
          <w:rFonts w:hint="eastAsia" w:ascii="仿宋_GB2312" w:eastAsia="仿宋_GB2312"/>
        </w:rPr>
      </w:pPr>
      <w:r>
        <w:rPr>
          <w:rFonts w:hint="eastAsia" w:ascii="仿宋_GB2312" w:eastAsia="仿宋_GB2312"/>
        </w:rPr>
        <w:t>本次成片开发方案范围不涉及永久基本农田、生态保护红线、自然保护地、一级保护林地、历史文化街区</w:t>
      </w:r>
      <w:bookmarkStart w:id="4" w:name="OLE_LINK11"/>
      <w:r>
        <w:rPr>
          <w:rFonts w:hint="eastAsia" w:ascii="仿宋_GB2312" w:eastAsia="仿宋_GB2312"/>
        </w:rPr>
        <w:t>名</w:t>
      </w:r>
      <w:bookmarkEnd w:id="4"/>
      <w:r>
        <w:rPr>
          <w:rFonts w:hint="eastAsia" w:ascii="仿宋_GB2312" w:eastAsia="仿宋_GB2312"/>
        </w:rPr>
        <w:t>镇村、土地污染及疑似污染地块，</w:t>
      </w:r>
      <w:bookmarkStart w:id="5" w:name="OLE_LINK10"/>
      <w:r>
        <w:rPr>
          <w:rFonts w:hint="eastAsia" w:ascii="仿宋_GB2312" w:eastAsia="仿宋_GB2312"/>
        </w:rPr>
        <w:t>各区片地势平坦，交通运输便利，给水、排水、排涝、电力通信等基础设施已配套齐备，符合成片开发的建设要求</w:t>
      </w:r>
      <w:bookmarkEnd w:id="5"/>
      <w:r>
        <w:rPr>
          <w:rFonts w:hint="eastAsia" w:ascii="仿宋_GB2312" w:eastAsia="仿宋_GB2312"/>
        </w:rPr>
        <w:t>。</w:t>
      </w:r>
    </w:p>
    <w:p w14:paraId="7FA9C4F6">
      <w:pPr>
        <w:spacing w:line="360" w:lineRule="auto"/>
        <w:ind w:firstLine="640" w:firstLineChars="200"/>
        <w:outlineLvl w:val="0"/>
        <w:rPr>
          <w:rFonts w:ascii="Times New Roman" w:hAnsi="Times New Roman" w:eastAsia="黑体"/>
          <w:bCs/>
          <w:sz w:val="32"/>
          <w:szCs w:val="32"/>
        </w:rPr>
      </w:pPr>
      <w:r>
        <w:rPr>
          <w:rFonts w:hint="eastAsia" w:ascii="黑体" w:hAnsi="黑体" w:eastAsia="黑体" w:cs="Times New Roman"/>
          <w:color w:val="000000"/>
          <w:kern w:val="0"/>
          <w:sz w:val="32"/>
          <w:szCs w:val="32"/>
          <w14:ligatures w14:val="none"/>
        </w:rPr>
        <w:t>四、</w:t>
      </w:r>
      <w:bookmarkStart w:id="6" w:name="_Toc4628"/>
      <w:bookmarkStart w:id="7" w:name="_Toc28486"/>
      <w:bookmarkStart w:id="8" w:name="_Toc32747"/>
      <w:bookmarkStart w:id="9" w:name="_Toc28944"/>
      <w:bookmarkStart w:id="10" w:name="_Toc11432"/>
      <w:bookmarkStart w:id="11" w:name="_Toc17850"/>
      <w:bookmarkStart w:id="12" w:name="_Toc24695"/>
      <w:bookmarkStart w:id="13" w:name="_Toc12234"/>
      <w:bookmarkStart w:id="14" w:name="_Toc2651"/>
      <w:bookmarkStart w:id="15" w:name="_Toc26067"/>
      <w:r>
        <w:rPr>
          <w:rFonts w:hint="eastAsia" w:ascii="黑体" w:hAnsi="黑体" w:eastAsia="黑体" w:cs="Times New Roman"/>
          <w:color w:val="000000"/>
          <w:kern w:val="0"/>
          <w:sz w:val="32"/>
          <w:szCs w:val="32"/>
          <w14:ligatures w14:val="none"/>
        </w:rPr>
        <w:t>土地</w:t>
      </w:r>
      <w:r>
        <w:rPr>
          <w:rFonts w:hint="eastAsia" w:ascii="Times New Roman" w:hAnsi="Times New Roman" w:eastAsia="黑体"/>
          <w:bCs/>
          <w:sz w:val="32"/>
          <w:szCs w:val="32"/>
        </w:rPr>
        <w:t>主要用途</w:t>
      </w:r>
      <w:bookmarkEnd w:id="6"/>
      <w:bookmarkEnd w:id="7"/>
      <w:bookmarkEnd w:id="8"/>
      <w:bookmarkEnd w:id="9"/>
      <w:bookmarkEnd w:id="10"/>
      <w:bookmarkEnd w:id="11"/>
      <w:bookmarkEnd w:id="12"/>
      <w:bookmarkEnd w:id="13"/>
      <w:bookmarkEnd w:id="14"/>
      <w:bookmarkEnd w:id="15"/>
      <w:r>
        <w:rPr>
          <w:rFonts w:hint="eastAsia" w:ascii="Times New Roman" w:hAnsi="Times New Roman" w:eastAsia="黑体"/>
          <w:bCs/>
          <w:sz w:val="32"/>
          <w:szCs w:val="32"/>
        </w:rPr>
        <w:t>及公益性用比例</w:t>
      </w:r>
    </w:p>
    <w:p w14:paraId="2EF604E8">
      <w:pPr>
        <w:widowControl/>
        <w:shd w:val="clear" w:color="auto" w:fill="FFFFFF"/>
        <w:spacing w:line="360" w:lineRule="auto"/>
        <w:ind w:firstLine="643" w:firstLineChars="200"/>
        <w:rPr>
          <w:rFonts w:hint="eastAsia" w:ascii="仿宋_GB2312" w:hAnsi="仿宋" w:eastAsia="仿宋_GB2312" w:cs="Times New Roman"/>
          <w:b/>
          <w:bCs/>
          <w:color w:val="000000"/>
          <w:kern w:val="0"/>
          <w:sz w:val="32"/>
          <w:szCs w:val="32"/>
          <w14:ligatures w14:val="none"/>
        </w:rPr>
      </w:pPr>
      <w:bookmarkStart w:id="16" w:name="_Toc28278"/>
      <w:bookmarkStart w:id="17" w:name="_Toc25127"/>
      <w:bookmarkStart w:id="18" w:name="_Toc13780"/>
      <w:bookmarkStart w:id="19" w:name="_Toc15177"/>
      <w:bookmarkStart w:id="20" w:name="_Toc18902"/>
      <w:bookmarkStart w:id="21" w:name="_Toc15172"/>
      <w:bookmarkStart w:id="22" w:name="_Toc5985"/>
      <w:bookmarkStart w:id="23" w:name="_Toc24980"/>
      <w:bookmarkStart w:id="24" w:name="_Toc30337"/>
      <w:bookmarkStart w:id="25" w:name="_Toc20638"/>
      <w:r>
        <w:rPr>
          <w:rFonts w:hint="eastAsia" w:ascii="仿宋_GB2312" w:hAnsi="仿宋" w:eastAsia="仿宋_GB2312" w:cs="Times New Roman"/>
          <w:b/>
          <w:bCs/>
          <w:color w:val="000000"/>
          <w:kern w:val="0"/>
          <w:sz w:val="32"/>
          <w:szCs w:val="32"/>
          <w14:ligatures w14:val="none"/>
        </w:rPr>
        <w:t>（一）主要用途</w:t>
      </w:r>
      <w:bookmarkEnd w:id="16"/>
      <w:bookmarkEnd w:id="17"/>
      <w:bookmarkEnd w:id="18"/>
      <w:bookmarkEnd w:id="19"/>
      <w:bookmarkEnd w:id="20"/>
      <w:bookmarkEnd w:id="21"/>
      <w:bookmarkEnd w:id="22"/>
      <w:bookmarkEnd w:id="23"/>
      <w:bookmarkEnd w:id="24"/>
      <w:bookmarkEnd w:id="25"/>
      <w:r>
        <w:rPr>
          <w:rFonts w:hint="eastAsia" w:ascii="仿宋_GB2312" w:hAnsi="仿宋" w:eastAsia="仿宋_GB2312" w:cs="Times New Roman"/>
          <w:b/>
          <w:bCs/>
          <w:color w:val="000000"/>
          <w:kern w:val="0"/>
          <w:sz w:val="32"/>
          <w:szCs w:val="32"/>
          <w14:ligatures w14:val="none"/>
        </w:rPr>
        <w:t>及实现功能</w:t>
      </w:r>
    </w:p>
    <w:p w14:paraId="2F2715B8">
      <w:pPr>
        <w:pStyle w:val="10"/>
        <w:spacing w:line="360" w:lineRule="auto"/>
        <w:ind w:firstLine="640"/>
        <w:rPr>
          <w:rFonts w:hint="eastAsia" w:ascii="仿宋_GB2312" w:eastAsia="仿宋_GB2312"/>
        </w:rPr>
      </w:pPr>
      <w:r>
        <w:rPr>
          <w:rFonts w:hint="eastAsia" w:ascii="仿宋_GB2312" w:eastAsia="仿宋_GB2312"/>
        </w:rPr>
        <w:t>本方案用地总规模</w:t>
      </w:r>
      <w:r>
        <w:rPr>
          <w:rFonts w:hint="eastAsia" w:ascii="仿宋_GB2312" w:eastAsia="仿宋_GB2312"/>
          <w:kern w:val="2"/>
          <w:shd w:val="clear" w:color="auto" w:fill="FFFFFF"/>
        </w:rPr>
        <w:t>22.9151</w:t>
      </w:r>
      <w:r>
        <w:rPr>
          <w:rFonts w:hint="eastAsia" w:ascii="仿宋_GB2312" w:eastAsia="仿宋_GB2312"/>
        </w:rPr>
        <w:t>公顷，土地主要用途为城镇住宅用地、城镇村道路用地、防护绿地、铁路用地。主要是优化中心城区用地空间布局，改善城市居住环境和服务品质，为新型城镇化提供优质的空间载体，加速新型城镇化进程。</w:t>
      </w:r>
    </w:p>
    <w:p w14:paraId="0978FABB">
      <w:pPr>
        <w:pStyle w:val="10"/>
        <w:spacing w:line="360" w:lineRule="auto"/>
        <w:ind w:firstLine="640"/>
        <w:rPr>
          <w:rFonts w:hint="eastAsia" w:ascii="仿宋_GB2312" w:eastAsia="仿宋_GB2312"/>
        </w:rPr>
      </w:pPr>
      <w:r>
        <w:rPr>
          <w:rFonts w:hint="eastAsia" w:ascii="仿宋_GB2312" w:eastAsia="仿宋_GB2312"/>
        </w:rPr>
        <w:t>城镇住宅用地</w:t>
      </w:r>
      <w:r>
        <w:rPr>
          <w:rFonts w:hint="eastAsia"/>
        </w:rPr>
        <w:t>主要是</w:t>
      </w:r>
      <w:r>
        <w:rPr>
          <w:rFonts w:hint="eastAsia" w:ascii="仿宋_GB2312" w:eastAsia="仿宋_GB2312"/>
        </w:rPr>
        <w:t>增强住房保障能力，为新型城镇化提供优质的空间载体，使户有所居、安居乐业，加速新型城镇化进程。</w:t>
      </w:r>
    </w:p>
    <w:p w14:paraId="013784F8">
      <w:pPr>
        <w:pStyle w:val="10"/>
        <w:spacing w:line="360" w:lineRule="auto"/>
        <w:ind w:firstLine="640"/>
        <w:rPr>
          <w:rFonts w:hint="eastAsia" w:ascii="仿宋_GB2312" w:eastAsia="仿宋_GB2312"/>
        </w:rPr>
      </w:pPr>
      <w:r>
        <w:rPr>
          <w:rFonts w:hint="eastAsia" w:ascii="仿宋_GB2312" w:eastAsia="仿宋_GB2312"/>
        </w:rPr>
        <w:t>城镇村道路用地主要是进一步完善中心城区路网，为周边群众生产、生活提供便利的交通通道，提高出行可达性和交通效率。</w:t>
      </w:r>
    </w:p>
    <w:p w14:paraId="49F4D7F0">
      <w:pPr>
        <w:pStyle w:val="10"/>
        <w:spacing w:line="360" w:lineRule="auto"/>
        <w:ind w:firstLine="640"/>
        <w:rPr>
          <w:rFonts w:hint="eastAsia" w:ascii="仿宋_GB2312" w:eastAsia="仿宋_GB2312"/>
        </w:rPr>
      </w:pPr>
      <w:r>
        <w:rPr>
          <w:rFonts w:hint="eastAsia" w:ascii="仿宋_GB2312" w:eastAsia="仿宋_GB2312"/>
        </w:rPr>
        <w:t>防护绿地主要是</w:t>
      </w:r>
      <w:r>
        <w:rPr>
          <w:rFonts w:ascii="仿宋_GB2312" w:eastAsia="仿宋_GB2312"/>
        </w:rPr>
        <w:t>隔离工业污染、交通尾气等不利影响，保护周边居住区及敏感区域的环境质量</w:t>
      </w:r>
      <w:r>
        <w:rPr>
          <w:rFonts w:hint="eastAsia" w:ascii="仿宋_GB2312" w:eastAsia="仿宋_GB2312"/>
        </w:rPr>
        <w:t>。</w:t>
      </w:r>
    </w:p>
    <w:p w14:paraId="43318A61">
      <w:pPr>
        <w:pStyle w:val="10"/>
        <w:spacing w:line="360" w:lineRule="auto"/>
        <w:ind w:firstLine="640"/>
        <w:rPr>
          <w:rFonts w:hint="eastAsia"/>
        </w:rPr>
      </w:pPr>
      <w:r>
        <w:rPr>
          <w:rFonts w:hint="eastAsia"/>
        </w:rPr>
        <w:t>铁路用地主要是加强铁路配套设施建设，提升铁路运营效率，促进铁路货运快速发展。</w:t>
      </w:r>
    </w:p>
    <w:p w14:paraId="6380F672">
      <w:pPr>
        <w:widowControl/>
        <w:shd w:val="clear" w:color="auto" w:fill="FFFFFF"/>
        <w:spacing w:line="360" w:lineRule="auto"/>
        <w:ind w:firstLine="640" w:firstLineChars="200"/>
        <w:rPr>
          <w:rFonts w:hint="eastAsia" w:ascii="黑体" w:hAnsi="黑体" w:eastAsia="黑体" w:cs="Times New Roman"/>
          <w:color w:val="000000"/>
          <w:kern w:val="0"/>
          <w:sz w:val="32"/>
          <w:szCs w:val="32"/>
          <w14:ligatures w14:val="none"/>
        </w:rPr>
      </w:pPr>
      <w:r>
        <w:rPr>
          <w:rFonts w:hint="eastAsia" w:ascii="黑体" w:hAnsi="黑体" w:eastAsia="黑体" w:cs="Times New Roman"/>
          <w:color w:val="000000"/>
          <w:kern w:val="0"/>
          <w:sz w:val="32"/>
          <w:szCs w:val="32"/>
          <w14:ligatures w14:val="none"/>
        </w:rPr>
        <w:t>（二）</w:t>
      </w:r>
      <w:r>
        <w:rPr>
          <w:rFonts w:hint="eastAsia" w:ascii="Times New Roman" w:hAnsi="Times New Roman" w:eastAsia="黑体"/>
          <w:bCs/>
          <w:sz w:val="32"/>
          <w:szCs w:val="32"/>
        </w:rPr>
        <w:t>公益性用比例分析</w:t>
      </w:r>
    </w:p>
    <w:p w14:paraId="38A86A31">
      <w:pPr>
        <w:widowControl/>
        <w:shd w:val="clear" w:color="auto" w:fill="FFFFFF"/>
        <w:spacing w:line="360" w:lineRule="auto"/>
        <w:ind w:firstLine="640" w:firstLineChars="200"/>
        <w:rPr>
          <w:rStyle w:val="19"/>
          <w:rFonts w:hint="eastAsia"/>
        </w:rPr>
        <w:sectPr>
          <w:pgSz w:w="11906" w:h="16838"/>
          <w:pgMar w:top="1440" w:right="1800" w:bottom="1440" w:left="1800" w:header="851" w:footer="992" w:gutter="0"/>
          <w:cols w:space="425" w:num="1"/>
          <w:docGrid w:type="lines" w:linePitch="312" w:charSpace="0"/>
        </w:sectPr>
      </w:pPr>
      <w:r>
        <w:rPr>
          <w:rStyle w:val="19"/>
          <w:rFonts w:hint="eastAsia"/>
        </w:rPr>
        <w:t>根据《自然资源部关于印发&lt;土地征收成片开发标准&gt;的通知》（自然资规〔2023〕7号）规定，成片征收方案各片区基础设施、公共服务设施及其他公益性用地面积一般不低于40%，本方案公益性用地包含城镇村道路用地、防护绿地、铁路用地等合计11.1438公顷，占用地总面积的48.63%，符合文件规定的公益性用地占比要求。</w:t>
      </w:r>
    </w:p>
    <w:p w14:paraId="34206DAF">
      <w:pPr>
        <w:pStyle w:val="2"/>
        <w:spacing w:line="560" w:lineRule="exact"/>
        <w:ind w:firstLine="0" w:firstLineChars="0"/>
        <w:jc w:val="center"/>
        <w:rPr>
          <w:rFonts w:hint="eastAsia" w:ascii="仿宋_GB2312" w:hAnsi="仿宋" w:eastAsia="仿宋_GB2312" w:cs="仿宋"/>
          <w:sz w:val="28"/>
          <w:szCs w:val="28"/>
        </w:rPr>
      </w:pPr>
      <w:r>
        <w:rPr>
          <w:rFonts w:hint="eastAsia" w:ascii="仿宋_GB2312" w:hAnsi="仿宋" w:eastAsia="仿宋_GB2312" w:cs="仿宋"/>
          <w:sz w:val="28"/>
          <w:szCs w:val="28"/>
        </w:rPr>
        <w:t>表4-1 成片开发方案公益性用地比例情况表</w:t>
      </w:r>
    </w:p>
    <w:p w14:paraId="5B1CB1CF">
      <w:pPr>
        <w:pStyle w:val="3"/>
        <w:spacing w:after="0" w:line="560" w:lineRule="exact"/>
        <w:ind w:left="0" w:leftChars="0" w:firstLine="480"/>
        <w:jc w:val="right"/>
        <w:rPr>
          <w:rFonts w:hint="eastAsia" w:ascii="仿宋" w:hAnsi="仿宋" w:eastAsia="仿宋" w:cs="仿宋"/>
          <w:sz w:val="24"/>
          <w:szCs w:val="24"/>
        </w:rPr>
      </w:pPr>
      <w:r>
        <w:rPr>
          <w:rFonts w:hint="eastAsia" w:ascii="仿宋" w:hAnsi="仿宋" w:eastAsia="仿宋" w:cs="仿宋"/>
          <w:sz w:val="24"/>
          <w:szCs w:val="24"/>
        </w:rPr>
        <w:t>单位：公顷、%</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1841"/>
        <w:gridCol w:w="1986"/>
        <w:gridCol w:w="2008"/>
        <w:gridCol w:w="1019"/>
      </w:tblGrid>
      <w:tr w14:paraId="09EA5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9" w:type="pct"/>
            <w:noWrap/>
            <w:vAlign w:val="center"/>
          </w:tcPr>
          <w:p w14:paraId="76DE26DD">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片区</w:t>
            </w:r>
          </w:p>
        </w:tc>
        <w:tc>
          <w:tcPr>
            <w:tcW w:w="1080" w:type="pct"/>
            <w:noWrap/>
            <w:vAlign w:val="center"/>
          </w:tcPr>
          <w:p w14:paraId="4385F63A">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面积</w:t>
            </w:r>
          </w:p>
        </w:tc>
        <w:tc>
          <w:tcPr>
            <w:tcW w:w="1165" w:type="pct"/>
            <w:noWrap/>
            <w:vAlign w:val="center"/>
          </w:tcPr>
          <w:p w14:paraId="0543F859">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公益性用地</w:t>
            </w:r>
          </w:p>
        </w:tc>
        <w:tc>
          <w:tcPr>
            <w:tcW w:w="1178" w:type="pct"/>
            <w:noWrap/>
            <w:vAlign w:val="center"/>
          </w:tcPr>
          <w:p w14:paraId="1B9B29AE">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公益性用地比例</w:t>
            </w:r>
          </w:p>
        </w:tc>
        <w:tc>
          <w:tcPr>
            <w:tcW w:w="598" w:type="pct"/>
            <w:noWrap/>
            <w:vAlign w:val="center"/>
          </w:tcPr>
          <w:p w14:paraId="2A9AA64B">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备注</w:t>
            </w:r>
          </w:p>
        </w:tc>
      </w:tr>
      <w:tr w14:paraId="7F32F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9" w:type="pct"/>
            <w:noWrap/>
            <w:vAlign w:val="center"/>
          </w:tcPr>
          <w:p w14:paraId="7E8881EE">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片区1</w:t>
            </w:r>
          </w:p>
        </w:tc>
        <w:tc>
          <w:tcPr>
            <w:tcW w:w="1080" w:type="pct"/>
            <w:noWrap/>
            <w:vAlign w:val="center"/>
          </w:tcPr>
          <w:p w14:paraId="55ED8770">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6.6850</w:t>
            </w:r>
          </w:p>
        </w:tc>
        <w:tc>
          <w:tcPr>
            <w:tcW w:w="1165" w:type="pct"/>
            <w:noWrap/>
            <w:vAlign w:val="center"/>
          </w:tcPr>
          <w:p w14:paraId="1471B6D2">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4.3153</w:t>
            </w:r>
          </w:p>
        </w:tc>
        <w:tc>
          <w:tcPr>
            <w:tcW w:w="1178" w:type="pct"/>
            <w:noWrap/>
            <w:vAlign w:val="center"/>
          </w:tcPr>
          <w:p w14:paraId="697F55AD">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64.55</w:t>
            </w:r>
          </w:p>
        </w:tc>
        <w:tc>
          <w:tcPr>
            <w:tcW w:w="598" w:type="pct"/>
            <w:noWrap/>
            <w:vAlign w:val="center"/>
          </w:tcPr>
          <w:p w14:paraId="5506C150">
            <w:pPr>
              <w:widowControl/>
              <w:jc w:val="center"/>
              <w:rPr>
                <w:rFonts w:hint="eastAsia" w:ascii="仿宋_GB2312" w:hAnsi="宋体" w:eastAsia="仿宋_GB2312" w:cs="宋体"/>
                <w:color w:val="000000"/>
                <w:kern w:val="0"/>
                <w:sz w:val="24"/>
                <w:szCs w:val="24"/>
              </w:rPr>
            </w:pPr>
          </w:p>
        </w:tc>
      </w:tr>
      <w:tr w14:paraId="36CD1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9" w:type="pct"/>
            <w:noWrap/>
            <w:vAlign w:val="center"/>
          </w:tcPr>
          <w:p w14:paraId="603C9CAB">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片区2</w:t>
            </w:r>
          </w:p>
        </w:tc>
        <w:tc>
          <w:tcPr>
            <w:tcW w:w="1080" w:type="pct"/>
            <w:noWrap/>
            <w:vAlign w:val="center"/>
          </w:tcPr>
          <w:p w14:paraId="10532776">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6.5150</w:t>
            </w:r>
          </w:p>
        </w:tc>
        <w:tc>
          <w:tcPr>
            <w:tcW w:w="1165" w:type="pct"/>
            <w:noWrap/>
            <w:vAlign w:val="center"/>
          </w:tcPr>
          <w:p w14:paraId="611D9D73">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2.7131</w:t>
            </w:r>
          </w:p>
        </w:tc>
        <w:tc>
          <w:tcPr>
            <w:tcW w:w="1178" w:type="pct"/>
            <w:noWrap/>
            <w:vAlign w:val="center"/>
          </w:tcPr>
          <w:p w14:paraId="482E3ED6">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41.64</w:t>
            </w:r>
          </w:p>
        </w:tc>
        <w:tc>
          <w:tcPr>
            <w:tcW w:w="598" w:type="pct"/>
            <w:noWrap/>
            <w:vAlign w:val="center"/>
          </w:tcPr>
          <w:p w14:paraId="312D6D76">
            <w:pPr>
              <w:widowControl/>
              <w:jc w:val="center"/>
              <w:rPr>
                <w:rFonts w:hint="eastAsia" w:ascii="仿宋_GB2312" w:hAnsi="宋体" w:eastAsia="仿宋_GB2312" w:cs="宋体"/>
                <w:color w:val="000000"/>
                <w:kern w:val="0"/>
                <w:sz w:val="24"/>
                <w:szCs w:val="24"/>
              </w:rPr>
            </w:pPr>
          </w:p>
        </w:tc>
      </w:tr>
      <w:tr w14:paraId="7325A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9" w:type="pct"/>
            <w:noWrap/>
            <w:vAlign w:val="center"/>
          </w:tcPr>
          <w:p w14:paraId="7567FBDF">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片区3</w:t>
            </w:r>
          </w:p>
        </w:tc>
        <w:tc>
          <w:tcPr>
            <w:tcW w:w="1080" w:type="pct"/>
            <w:noWrap/>
            <w:vAlign w:val="center"/>
          </w:tcPr>
          <w:p w14:paraId="3136A05C">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9.7151</w:t>
            </w:r>
          </w:p>
        </w:tc>
        <w:tc>
          <w:tcPr>
            <w:tcW w:w="1165" w:type="pct"/>
            <w:noWrap/>
            <w:vAlign w:val="center"/>
          </w:tcPr>
          <w:p w14:paraId="17B2B720">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4.1154</w:t>
            </w:r>
          </w:p>
        </w:tc>
        <w:tc>
          <w:tcPr>
            <w:tcW w:w="1178" w:type="pct"/>
            <w:noWrap/>
            <w:vAlign w:val="center"/>
          </w:tcPr>
          <w:p w14:paraId="3E2807F7">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42.36</w:t>
            </w:r>
          </w:p>
        </w:tc>
        <w:tc>
          <w:tcPr>
            <w:tcW w:w="598" w:type="pct"/>
            <w:noWrap/>
            <w:vAlign w:val="center"/>
          </w:tcPr>
          <w:p w14:paraId="20C65132">
            <w:pPr>
              <w:widowControl/>
              <w:jc w:val="center"/>
              <w:rPr>
                <w:rFonts w:hint="eastAsia" w:ascii="仿宋_GB2312" w:hAnsi="宋体" w:eastAsia="仿宋_GB2312" w:cs="宋体"/>
                <w:color w:val="000000"/>
                <w:kern w:val="0"/>
                <w:sz w:val="24"/>
                <w:szCs w:val="24"/>
              </w:rPr>
            </w:pPr>
          </w:p>
        </w:tc>
      </w:tr>
      <w:tr w14:paraId="71038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9" w:type="pct"/>
            <w:noWrap/>
            <w:vAlign w:val="center"/>
          </w:tcPr>
          <w:p w14:paraId="15CB07D8">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合计</w:t>
            </w:r>
          </w:p>
        </w:tc>
        <w:tc>
          <w:tcPr>
            <w:tcW w:w="1080" w:type="pct"/>
            <w:noWrap/>
            <w:vAlign w:val="center"/>
          </w:tcPr>
          <w:p w14:paraId="28F89BAC">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22.9151</w:t>
            </w:r>
          </w:p>
        </w:tc>
        <w:tc>
          <w:tcPr>
            <w:tcW w:w="1165" w:type="pct"/>
            <w:noWrap/>
            <w:vAlign w:val="center"/>
          </w:tcPr>
          <w:p w14:paraId="6478E3C8">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11.1438</w:t>
            </w:r>
          </w:p>
        </w:tc>
        <w:tc>
          <w:tcPr>
            <w:tcW w:w="1178" w:type="pct"/>
            <w:noWrap/>
            <w:vAlign w:val="center"/>
          </w:tcPr>
          <w:p w14:paraId="0CC768BE">
            <w:pPr>
              <w:widowControl/>
              <w:jc w:val="center"/>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48.63</w:t>
            </w:r>
          </w:p>
        </w:tc>
        <w:tc>
          <w:tcPr>
            <w:tcW w:w="598" w:type="pct"/>
            <w:noWrap/>
            <w:vAlign w:val="center"/>
          </w:tcPr>
          <w:p w14:paraId="590A08E1">
            <w:pPr>
              <w:widowControl/>
              <w:jc w:val="center"/>
              <w:rPr>
                <w:rFonts w:hint="eastAsia" w:ascii="仿宋_GB2312" w:hAnsi="宋体" w:eastAsia="仿宋_GB2312" w:cs="宋体"/>
                <w:color w:val="000000"/>
                <w:kern w:val="0"/>
                <w:sz w:val="24"/>
                <w:szCs w:val="24"/>
              </w:rPr>
            </w:pPr>
          </w:p>
        </w:tc>
      </w:tr>
    </w:tbl>
    <w:p w14:paraId="2BD5DCA1">
      <w:pPr>
        <w:widowControl/>
        <w:shd w:val="clear" w:color="auto" w:fill="FFFFFF"/>
        <w:spacing w:line="360" w:lineRule="auto"/>
        <w:ind w:firstLine="640" w:firstLineChars="200"/>
        <w:rPr>
          <w:rStyle w:val="19"/>
          <w:rFonts w:hint="eastAsia"/>
        </w:rPr>
      </w:pPr>
    </w:p>
    <w:p w14:paraId="675E91A9">
      <w:pPr>
        <w:spacing w:line="360" w:lineRule="auto"/>
        <w:ind w:firstLine="640" w:firstLineChars="200"/>
        <w:outlineLvl w:val="0"/>
        <w:rPr>
          <w:rFonts w:ascii="Times New Roman" w:hAnsi="Times New Roman" w:eastAsia="黑体"/>
          <w:bCs/>
          <w:sz w:val="32"/>
          <w:szCs w:val="32"/>
        </w:rPr>
      </w:pPr>
      <w:r>
        <w:rPr>
          <w:rFonts w:hint="eastAsia" w:ascii="Times New Roman" w:hAnsi="Times New Roman" w:eastAsia="黑体"/>
          <w:bCs/>
          <w:sz w:val="32"/>
          <w:szCs w:val="32"/>
        </w:rPr>
        <w:t>五、规划符合情况</w:t>
      </w:r>
    </w:p>
    <w:p w14:paraId="0C7462A5">
      <w:pPr>
        <w:widowControl/>
        <w:shd w:val="clear" w:color="auto" w:fill="FFFFFF"/>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本方案符合国民经济和社会发展规划的发展定位、要求，有利于完成规划目标、任务，并承诺方案获批后，将纳入国民经济和社会发展年度计划。</w:t>
      </w:r>
    </w:p>
    <w:p w14:paraId="4D3F5256">
      <w:pPr>
        <w:widowControl/>
        <w:shd w:val="clear" w:color="auto" w:fill="FFFFFF"/>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方案不涉及永久基本农田、生态保护红线、历史文化保护红线和自然保护地、饮用水水源保护地等区域，成片开发范围全部位于国土空间总体规划确定的城镇开发边界内的集中建设区，符合《新余市国土空间总体规划（2021-2035年）》。</w:t>
      </w:r>
    </w:p>
    <w:p w14:paraId="7D37C2F7">
      <w:pPr>
        <w:spacing w:line="360" w:lineRule="auto"/>
        <w:ind w:firstLine="640" w:firstLineChars="200"/>
        <w:outlineLvl w:val="0"/>
        <w:rPr>
          <w:rFonts w:ascii="Times New Roman" w:hAnsi="Times New Roman" w:eastAsia="黑体"/>
          <w:bCs/>
          <w:sz w:val="32"/>
          <w:szCs w:val="32"/>
        </w:rPr>
      </w:pPr>
      <w:r>
        <w:rPr>
          <w:rFonts w:hint="eastAsia" w:ascii="Times New Roman" w:hAnsi="Times New Roman" w:eastAsia="黑体"/>
          <w:bCs/>
          <w:sz w:val="32"/>
          <w:szCs w:val="32"/>
        </w:rPr>
        <w:t>六、征地安置补偿措施</w:t>
      </w:r>
    </w:p>
    <w:p w14:paraId="5CED9119">
      <w:pPr>
        <w:widowControl/>
        <w:shd w:val="clear" w:color="auto" w:fill="FFFFFF"/>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维护被征地农民和农村集体经济组织的合法权益，规范征地补偿程序，根据《中华人民共和国土地管理法》、《江西省人民政府关于公布全省征地区片综合地价的通知》（赣府字〔2023〕23号）等相关规定开展工作，</w:t>
      </w:r>
      <w:r>
        <w:rPr>
          <w:rFonts w:hint="eastAsia" w:ascii="仿宋" w:hAnsi="仿宋" w:eastAsia="仿宋" w:cs="Times New Roman"/>
          <w:color w:val="000000"/>
          <w:kern w:val="0"/>
          <w:sz w:val="32"/>
          <w:szCs w:val="32"/>
          <w14:ligatures w14:val="none"/>
        </w:rPr>
        <w:t>成片开发实施过程将严格按规定履行征地报批前告知、现状调查及确认、听证、公告等程序。征地补偿依据《江西省人民政府关于公布全省征地区片综合地价的通知》(赣府字〔2023〕23号)规定执行。</w:t>
      </w:r>
    </w:p>
    <w:p w14:paraId="3AED446A">
      <w:pPr>
        <w:spacing w:line="360" w:lineRule="auto"/>
        <w:ind w:firstLine="640" w:firstLineChars="200"/>
        <w:outlineLvl w:val="0"/>
        <w:rPr>
          <w:rFonts w:ascii="Times New Roman" w:hAnsi="Times New Roman" w:eastAsia="黑体"/>
          <w:bCs/>
          <w:sz w:val="32"/>
          <w:szCs w:val="32"/>
        </w:rPr>
      </w:pPr>
      <w:r>
        <w:rPr>
          <w:rFonts w:hint="eastAsia" w:ascii="Times New Roman" w:hAnsi="Times New Roman" w:eastAsia="黑体"/>
          <w:bCs/>
          <w:sz w:val="32"/>
          <w:szCs w:val="32"/>
        </w:rPr>
        <w:t>七</w:t>
      </w:r>
      <w:r>
        <w:rPr>
          <w:rFonts w:ascii="Times New Roman" w:hAnsi="Times New Roman" w:eastAsia="黑体"/>
          <w:bCs/>
          <w:sz w:val="32"/>
          <w:szCs w:val="32"/>
        </w:rPr>
        <w:t>、结论</w:t>
      </w:r>
    </w:p>
    <w:p w14:paraId="107D12C7">
      <w:pPr>
        <w:widowControl/>
        <w:shd w:val="clear" w:color="auto" w:fill="FFFFFF"/>
        <w:spacing w:line="360" w:lineRule="auto"/>
        <w:ind w:firstLine="640" w:firstLineChars="200"/>
        <w:rPr>
          <w:rFonts w:eastAsia="仿宋"/>
        </w:rPr>
      </w:pPr>
      <w:r>
        <w:rPr>
          <w:rFonts w:hint="eastAsia" w:ascii="仿宋_GB2312" w:hAnsi="仿宋_GB2312" w:eastAsia="仿宋_GB2312" w:cs="仿宋_GB2312"/>
          <w:sz w:val="32"/>
          <w:szCs w:val="32"/>
        </w:rPr>
        <w:t>《新余市中心城区土地征收成片开发方案（2025-2026年）》符合自然资源部及江西省自然资源厅关于土地征收“成片开发”的标准，做到了保护耕地、保护生态环境、维护农民合法权益、节约集约用地，能够有利于实现经济社会高质量发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1MTJmZTMyZDJkYTMwMjIyZjdjMGUxNzBiMTJhZjYifQ=="/>
  </w:docVars>
  <w:rsids>
    <w:rsidRoot w:val="5BB86553"/>
    <w:rsid w:val="00014E33"/>
    <w:rsid w:val="000872BB"/>
    <w:rsid w:val="000928CB"/>
    <w:rsid w:val="000D5133"/>
    <w:rsid w:val="000F3946"/>
    <w:rsid w:val="00103FED"/>
    <w:rsid w:val="00121831"/>
    <w:rsid w:val="0013589F"/>
    <w:rsid w:val="0013671B"/>
    <w:rsid w:val="001607A9"/>
    <w:rsid w:val="001712A4"/>
    <w:rsid w:val="00194A04"/>
    <w:rsid w:val="001A7B0B"/>
    <w:rsid w:val="002304E3"/>
    <w:rsid w:val="002A5972"/>
    <w:rsid w:val="0030330E"/>
    <w:rsid w:val="00320BD9"/>
    <w:rsid w:val="00333A5E"/>
    <w:rsid w:val="003464BC"/>
    <w:rsid w:val="00352454"/>
    <w:rsid w:val="00357EA6"/>
    <w:rsid w:val="003827DA"/>
    <w:rsid w:val="00385178"/>
    <w:rsid w:val="00397008"/>
    <w:rsid w:val="00414380"/>
    <w:rsid w:val="00416582"/>
    <w:rsid w:val="00432BA7"/>
    <w:rsid w:val="00436F56"/>
    <w:rsid w:val="00454A12"/>
    <w:rsid w:val="00454E76"/>
    <w:rsid w:val="004707F9"/>
    <w:rsid w:val="004975F6"/>
    <w:rsid w:val="004C5C72"/>
    <w:rsid w:val="004E07E9"/>
    <w:rsid w:val="004E0C9C"/>
    <w:rsid w:val="00506AA1"/>
    <w:rsid w:val="00542253"/>
    <w:rsid w:val="005655CC"/>
    <w:rsid w:val="005C4A63"/>
    <w:rsid w:val="005D1725"/>
    <w:rsid w:val="0061419C"/>
    <w:rsid w:val="006444B3"/>
    <w:rsid w:val="00650F4B"/>
    <w:rsid w:val="00671EFA"/>
    <w:rsid w:val="006A185A"/>
    <w:rsid w:val="006A47EF"/>
    <w:rsid w:val="006F0547"/>
    <w:rsid w:val="006F38F5"/>
    <w:rsid w:val="00724CB6"/>
    <w:rsid w:val="00733120"/>
    <w:rsid w:val="00770FCD"/>
    <w:rsid w:val="0077478A"/>
    <w:rsid w:val="00776C7C"/>
    <w:rsid w:val="008015A6"/>
    <w:rsid w:val="0081615A"/>
    <w:rsid w:val="00840FEE"/>
    <w:rsid w:val="00861B03"/>
    <w:rsid w:val="00874062"/>
    <w:rsid w:val="008A2921"/>
    <w:rsid w:val="009163AA"/>
    <w:rsid w:val="00923189"/>
    <w:rsid w:val="009257C8"/>
    <w:rsid w:val="00944783"/>
    <w:rsid w:val="00964D03"/>
    <w:rsid w:val="00964D56"/>
    <w:rsid w:val="00984BA6"/>
    <w:rsid w:val="009A06C8"/>
    <w:rsid w:val="009C6DAC"/>
    <w:rsid w:val="009D231F"/>
    <w:rsid w:val="009F60D3"/>
    <w:rsid w:val="00A012F7"/>
    <w:rsid w:val="00A36287"/>
    <w:rsid w:val="00A5112E"/>
    <w:rsid w:val="00AA1C78"/>
    <w:rsid w:val="00AD764B"/>
    <w:rsid w:val="00B64034"/>
    <w:rsid w:val="00B672B7"/>
    <w:rsid w:val="00BB2AE6"/>
    <w:rsid w:val="00BB5208"/>
    <w:rsid w:val="00BD4FC0"/>
    <w:rsid w:val="00C06678"/>
    <w:rsid w:val="00CB35EC"/>
    <w:rsid w:val="00CB7063"/>
    <w:rsid w:val="00D00E83"/>
    <w:rsid w:val="00D03458"/>
    <w:rsid w:val="00D12CA3"/>
    <w:rsid w:val="00D64365"/>
    <w:rsid w:val="00D80E03"/>
    <w:rsid w:val="00D905F0"/>
    <w:rsid w:val="00DA217C"/>
    <w:rsid w:val="00E10E81"/>
    <w:rsid w:val="00E53D79"/>
    <w:rsid w:val="00EA0F09"/>
    <w:rsid w:val="00EA1FB1"/>
    <w:rsid w:val="00EA2799"/>
    <w:rsid w:val="00F27493"/>
    <w:rsid w:val="00F36186"/>
    <w:rsid w:val="00F42956"/>
    <w:rsid w:val="00FE69B8"/>
    <w:rsid w:val="43D12322"/>
    <w:rsid w:val="5BB86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next w:val="3"/>
    <w:link w:val="20"/>
    <w:qFormat/>
    <w:uiPriority w:val="0"/>
    <w:pPr>
      <w:spacing w:line="360" w:lineRule="auto"/>
      <w:ind w:firstLine="480" w:firstLineChars="200"/>
    </w:pPr>
    <w:rPr>
      <w:rFonts w:ascii="Calibri" w:hAnsi="Calibri" w:eastAsia="宋体" w:cs="Times New Roman"/>
      <w:sz w:val="24"/>
      <w14:ligatures w14:val="none"/>
    </w:rPr>
  </w:style>
  <w:style w:type="paragraph" w:styleId="3">
    <w:name w:val="Body Text Indent 2"/>
    <w:basedOn w:val="1"/>
    <w:link w:val="21"/>
    <w:qFormat/>
    <w:uiPriority w:val="0"/>
    <w:pPr>
      <w:spacing w:after="120" w:line="480" w:lineRule="auto"/>
      <w:ind w:left="420" w:leftChars="200"/>
    </w:pPr>
    <w:rPr>
      <w:rFonts w:ascii="Calibri" w:hAnsi="Calibri" w:eastAsia="宋体" w:cs="Times New Roman"/>
      <w14:ligatures w14:val="none"/>
    </w:rPr>
  </w:style>
  <w:style w:type="paragraph" w:styleId="4">
    <w:name w:val="footer"/>
    <w:basedOn w:val="1"/>
    <w:link w:val="18"/>
    <w:qFormat/>
    <w:uiPriority w:val="0"/>
    <w:pPr>
      <w:tabs>
        <w:tab w:val="center" w:pos="4153"/>
        <w:tab w:val="right" w:pos="8306"/>
      </w:tabs>
      <w:snapToGrid w:val="0"/>
      <w:jc w:val="left"/>
    </w:pPr>
    <w:rPr>
      <w:sz w:val="18"/>
      <w:szCs w:val="18"/>
    </w:rPr>
  </w:style>
  <w:style w:type="paragraph" w:styleId="5">
    <w:name w:val="header"/>
    <w:basedOn w:val="1"/>
    <w:link w:val="17"/>
    <w:qFormat/>
    <w:uiPriority w:val="0"/>
    <w:pPr>
      <w:tabs>
        <w:tab w:val="center" w:pos="4153"/>
        <w:tab w:val="right" w:pos="8306"/>
      </w:tabs>
      <w:snapToGrid w:val="0"/>
      <w:jc w:val="center"/>
    </w:pPr>
    <w:rPr>
      <w:sz w:val="18"/>
      <w:szCs w:val="18"/>
    </w:rPr>
  </w:style>
  <w:style w:type="character" w:styleId="8">
    <w:name w:val="Strong"/>
    <w:basedOn w:val="7"/>
    <w:qFormat/>
    <w:uiPriority w:val="22"/>
    <w:rPr>
      <w:b/>
      <w:bCs/>
    </w:rPr>
  </w:style>
  <w:style w:type="paragraph" w:customStyle="1" w:styleId="9">
    <w:name w:val="Char Char Char1 Char"/>
    <w:basedOn w:val="1"/>
    <w:uiPriority w:val="0"/>
    <w:rPr>
      <w:rFonts w:ascii="Tahoma" w:hAnsi="Tahoma" w:eastAsia="宋体" w:cs="Times New Roman"/>
      <w:sz w:val="24"/>
      <w:szCs w:val="24"/>
      <w14:ligatures w14:val="none"/>
    </w:rPr>
  </w:style>
  <w:style w:type="paragraph" w:customStyle="1" w:styleId="10">
    <w:name w:val="A段落"/>
    <w:basedOn w:val="1"/>
    <w:link w:val="11"/>
    <w:qFormat/>
    <w:uiPriority w:val="0"/>
    <w:pPr>
      <w:widowControl/>
      <w:shd w:val="clear" w:color="auto" w:fill="FFFFFF"/>
      <w:spacing w:line="560" w:lineRule="exact"/>
      <w:ind w:firstLine="643" w:firstLineChars="200"/>
    </w:pPr>
    <w:rPr>
      <w:rFonts w:ascii="仿宋" w:hAnsi="仿宋" w:eastAsia="仿宋" w:cs="Times New Roman"/>
      <w:color w:val="000000"/>
      <w:kern w:val="0"/>
      <w:sz w:val="32"/>
      <w:szCs w:val="32"/>
      <w14:ligatures w14:val="none"/>
    </w:rPr>
  </w:style>
  <w:style w:type="character" w:customStyle="1" w:styleId="11">
    <w:name w:val="A段落 字符"/>
    <w:basedOn w:val="7"/>
    <w:link w:val="10"/>
    <w:qFormat/>
    <w:uiPriority w:val="0"/>
    <w:rPr>
      <w:rFonts w:ascii="仿宋" w:hAnsi="仿宋" w:eastAsia="仿宋" w:cs="Times New Roman"/>
      <w:color w:val="000000"/>
      <w:sz w:val="32"/>
      <w:szCs w:val="32"/>
      <w:shd w:val="clear" w:color="auto" w:fill="FFFFFF"/>
    </w:rPr>
  </w:style>
  <w:style w:type="paragraph" w:styleId="12">
    <w:name w:val="List Paragraph"/>
    <w:basedOn w:val="1"/>
    <w:unhideWhenUsed/>
    <w:qFormat/>
    <w:uiPriority w:val="99"/>
    <w:pPr>
      <w:ind w:firstLine="420" w:firstLineChars="200"/>
    </w:pPr>
  </w:style>
  <w:style w:type="paragraph" w:customStyle="1" w:styleId="13">
    <w:name w:val="A4"/>
    <w:basedOn w:val="1"/>
    <w:link w:val="14"/>
    <w:qFormat/>
    <w:uiPriority w:val="0"/>
    <w:pPr>
      <w:spacing w:line="360" w:lineRule="auto"/>
      <w:ind w:firstLine="562" w:firstLineChars="200"/>
      <w:outlineLvl w:val="3"/>
    </w:pPr>
    <w:rPr>
      <w:rFonts w:ascii="仿宋_GB2312" w:hAnsi="Times New Roman" w:eastAsia="仿宋_GB2312" w:cs="Times New Roman"/>
      <w:b/>
      <w:bCs/>
      <w:sz w:val="28"/>
      <w:szCs w:val="28"/>
      <w14:ligatures w14:val="none"/>
    </w:rPr>
  </w:style>
  <w:style w:type="character" w:customStyle="1" w:styleId="14">
    <w:name w:val="A4 字符"/>
    <w:basedOn w:val="7"/>
    <w:link w:val="13"/>
    <w:qFormat/>
    <w:uiPriority w:val="0"/>
    <w:rPr>
      <w:rFonts w:ascii="仿宋_GB2312" w:hAnsi="Times New Roman" w:eastAsia="仿宋_GB2312" w:cs="Times New Roman"/>
      <w:b/>
      <w:bCs/>
      <w:kern w:val="2"/>
      <w:sz w:val="28"/>
      <w:szCs w:val="28"/>
    </w:rPr>
  </w:style>
  <w:style w:type="paragraph" w:customStyle="1" w:styleId="15">
    <w:name w:val="Char Char Char1 Char1"/>
    <w:basedOn w:val="1"/>
    <w:qFormat/>
    <w:uiPriority w:val="0"/>
    <w:rPr>
      <w:rFonts w:ascii="Tahoma" w:hAnsi="Tahoma" w:eastAsia="宋体" w:cs="Times New Roman"/>
      <w:sz w:val="24"/>
      <w:szCs w:val="24"/>
      <w14:ligatures w14:val="none"/>
    </w:rPr>
  </w:style>
  <w:style w:type="character" w:customStyle="1" w:styleId="16">
    <w:name w:val="cosd-citation-citationid"/>
    <w:basedOn w:val="7"/>
    <w:qFormat/>
    <w:uiPriority w:val="0"/>
  </w:style>
  <w:style w:type="character" w:customStyle="1" w:styleId="17">
    <w:name w:val="页眉 字符"/>
    <w:basedOn w:val="7"/>
    <w:link w:val="5"/>
    <w:qFormat/>
    <w:uiPriority w:val="0"/>
    <w:rPr>
      <w:kern w:val="2"/>
      <w:sz w:val="18"/>
      <w:szCs w:val="18"/>
      <w14:ligatures w14:val="standardContextual"/>
    </w:rPr>
  </w:style>
  <w:style w:type="character" w:customStyle="1" w:styleId="18">
    <w:name w:val="页脚 字符"/>
    <w:basedOn w:val="7"/>
    <w:link w:val="4"/>
    <w:qFormat/>
    <w:uiPriority w:val="0"/>
    <w:rPr>
      <w:kern w:val="2"/>
      <w:sz w:val="18"/>
      <w:szCs w:val="18"/>
      <w14:ligatures w14:val="standardContextual"/>
    </w:rPr>
  </w:style>
  <w:style w:type="character" w:customStyle="1" w:styleId="19">
    <w:name w:val="A段落 Char"/>
    <w:qFormat/>
    <w:uiPriority w:val="0"/>
    <w:rPr>
      <w:rFonts w:ascii="仿宋_GB2312" w:hAnsi="仿宋_GB2312" w:eastAsia="仿宋_GB2312" w:cs="仿宋_GB2312"/>
      <w:kern w:val="2"/>
      <w:sz w:val="32"/>
      <w:szCs w:val="32"/>
    </w:rPr>
  </w:style>
  <w:style w:type="character" w:customStyle="1" w:styleId="20">
    <w:name w:val="正文文本缩进 字符"/>
    <w:basedOn w:val="7"/>
    <w:link w:val="2"/>
    <w:qFormat/>
    <w:uiPriority w:val="0"/>
    <w:rPr>
      <w:rFonts w:ascii="Calibri" w:hAnsi="Calibri" w:eastAsia="宋体" w:cs="Times New Roman"/>
      <w:kern w:val="2"/>
      <w:sz w:val="24"/>
      <w:szCs w:val="22"/>
    </w:rPr>
  </w:style>
  <w:style w:type="character" w:customStyle="1" w:styleId="21">
    <w:name w:val="正文文本缩进 2 字符"/>
    <w:basedOn w:val="7"/>
    <w:link w:val="3"/>
    <w:qFormat/>
    <w:uiPriority w:val="0"/>
    <w:rPr>
      <w:rFonts w:ascii="Calibri" w:hAnsi="Calibri" w:eastAsia="宋体" w:cs="Times New Roman"/>
      <w:kern w:val="2"/>
      <w:sz w:val="21"/>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2507</Words>
  <Characters>2741</Characters>
  <Lines>20</Lines>
  <Paragraphs>5</Paragraphs>
  <TotalTime>24</TotalTime>
  <ScaleCrop>false</ScaleCrop>
  <LinksUpToDate>false</LinksUpToDate>
  <CharactersWithSpaces>2748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2025-07-17T08:50:00Z</dcterms:created>
  <dc:creator>夜二</dc:creator>
  <cp:lastModifiedBy>WPS_1589190007</cp:lastModifiedBy>
  <dcterms:modified xsi:type="dcterms:W3CDTF">2025-07-24T07:35:47Z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9AB175800796417CAAF73C84DB21DEB3_11</vt:lpwstr>
  </property>
  <property fmtid="{D5CDD505-2E9C-101B-9397-08002B2CF9AE}" pid="4" name="KSOTemplateDocerSaveRecord">
    <vt:lpwstr>eyJoZGlkIjoiOGU4YjE2OTkzNDE1NWM0NjViNzNmOTIwNzA2YmU3MTUiLCJ1c2VySWQiOiI5ODI3MDg0ODIifQ==</vt:lpwstr>
  </property>
</Properties>
</file>