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75A3F">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78207210">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02C063AF">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7EFE3823">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0307B308">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0D660B44">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3B62DA55">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4E30993C">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7A32FC96">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0ABB85A8">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6F4BD24A">
      <w:pPr>
        <w:pStyle w:val="2"/>
        <w:widowControl/>
        <w:shd w:val="clear" w:color="auto" w:fill="FFFFFF"/>
        <w:spacing w:beforeAutospacing="0" w:afterAutospacing="0"/>
        <w:jc w:val="center"/>
        <w:rPr>
          <w:rFonts w:ascii="方正小标宋简体" w:hAnsi="宋体" w:eastAsia="方正小标宋简体" w:cs="宋体"/>
          <w:color w:val="000000"/>
          <w:sz w:val="18"/>
          <w:szCs w:val="18"/>
          <w:shd w:val="clear" w:color="auto" w:fill="FFFFFF"/>
        </w:rPr>
      </w:pPr>
    </w:p>
    <w:p w14:paraId="27C689A8">
      <w:pPr>
        <w:pStyle w:val="2"/>
        <w:widowControl/>
        <w:shd w:val="clear" w:color="auto" w:fill="FFFFFF"/>
        <w:spacing w:beforeAutospacing="0" w:afterAutospacing="0" w:line="600" w:lineRule="exact"/>
        <w:jc w:val="center"/>
        <w:rPr>
          <w:rFonts w:ascii="方正小标宋简体" w:hAnsi="宋体" w:eastAsia="方正小标宋简体" w:cs="宋体"/>
          <w:color w:val="000000"/>
          <w:sz w:val="44"/>
          <w:szCs w:val="44"/>
          <w:shd w:val="clear" w:color="auto" w:fill="FFFFFF"/>
        </w:rPr>
      </w:pPr>
      <w:r>
        <w:rPr>
          <w:rFonts w:hint="eastAsia" w:ascii="方正小标宋简体" w:hAnsi="宋体" w:eastAsia="方正小标宋简体" w:cs="宋体"/>
          <w:color w:val="000000"/>
          <w:sz w:val="44"/>
          <w:szCs w:val="44"/>
          <w:shd w:val="clear" w:color="auto" w:fill="FFFFFF"/>
        </w:rPr>
        <w:t>市行管委</w:t>
      </w:r>
      <w:r>
        <w:rPr>
          <w:rFonts w:ascii="方正小标宋简体" w:hAnsi="宋体" w:eastAsia="方正小标宋简体" w:cs="宋体"/>
          <w:color w:val="000000"/>
          <w:sz w:val="44"/>
          <w:szCs w:val="44"/>
          <w:shd w:val="clear" w:color="auto" w:fill="FFFFFF"/>
        </w:rPr>
        <w:t>2019</w:t>
      </w:r>
      <w:r>
        <w:rPr>
          <w:rFonts w:hint="eastAsia" w:ascii="方正小标宋简体" w:hAnsi="宋体" w:eastAsia="方正小标宋简体" w:cs="宋体"/>
          <w:color w:val="000000"/>
          <w:sz w:val="44"/>
          <w:szCs w:val="44"/>
          <w:shd w:val="clear" w:color="auto" w:fill="FFFFFF"/>
        </w:rPr>
        <w:t>年度政府信息公开工作</w:t>
      </w:r>
    </w:p>
    <w:p w14:paraId="6E602845">
      <w:pPr>
        <w:pStyle w:val="2"/>
        <w:widowControl/>
        <w:shd w:val="clear" w:color="auto" w:fill="FFFFFF"/>
        <w:spacing w:beforeAutospacing="0" w:afterAutospacing="0" w:line="600" w:lineRule="exact"/>
        <w:jc w:val="center"/>
        <w:rPr>
          <w:rFonts w:ascii="方正小标宋简体" w:eastAsia="方正小标宋简体" w:cs="宋体"/>
          <w:color w:val="000000"/>
          <w:sz w:val="44"/>
          <w:szCs w:val="44"/>
        </w:rPr>
      </w:pPr>
      <w:r>
        <w:rPr>
          <w:rFonts w:hint="eastAsia" w:ascii="方正小标宋简体" w:hAnsi="宋体" w:eastAsia="方正小标宋简体" w:cs="宋体"/>
          <w:color w:val="000000"/>
          <w:sz w:val="44"/>
          <w:szCs w:val="44"/>
          <w:shd w:val="clear" w:color="auto" w:fill="FFFFFF"/>
        </w:rPr>
        <w:t>年度报告</w:t>
      </w:r>
    </w:p>
    <w:p w14:paraId="33B80542">
      <w:pPr>
        <w:pStyle w:val="2"/>
        <w:widowControl/>
        <w:shd w:val="clear" w:color="auto" w:fill="FFFFFF"/>
        <w:spacing w:beforeAutospacing="0" w:afterAutospacing="0"/>
        <w:ind w:firstLine="420"/>
        <w:jc w:val="both"/>
        <w:rPr>
          <w:rFonts w:ascii="宋体" w:cs="宋体"/>
          <w:color w:val="000000"/>
        </w:rPr>
      </w:pPr>
    </w:p>
    <w:p w14:paraId="00ADCA91">
      <w:pPr>
        <w:pStyle w:val="2"/>
        <w:widowControl/>
        <w:shd w:val="clear" w:color="auto" w:fill="FFFFFF"/>
        <w:spacing w:beforeAutospacing="0" w:afterAutospacing="0" w:line="410" w:lineRule="exact"/>
        <w:ind w:firstLine="420"/>
        <w:jc w:val="both"/>
        <w:rPr>
          <w:rFonts w:ascii="宋体" w:cs="宋体"/>
          <w:color w:val="000000"/>
          <w:sz w:val="28"/>
          <w:szCs w:val="28"/>
        </w:rPr>
      </w:pPr>
      <w:r>
        <w:rPr>
          <w:rFonts w:hint="eastAsia" w:ascii="宋体" w:hAnsi="宋体" w:cs="宋体"/>
          <w:b/>
          <w:color w:val="000000"/>
          <w:sz w:val="28"/>
          <w:szCs w:val="28"/>
          <w:shd w:val="clear" w:color="auto" w:fill="FFFFFF"/>
        </w:rPr>
        <w:t>一、总体情况</w:t>
      </w:r>
    </w:p>
    <w:p w14:paraId="2F198808">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2019</w:t>
      </w:r>
      <w:r>
        <w:rPr>
          <w:rFonts w:hint="eastAsia" w:ascii="宋体" w:hAnsi="宋体" w:cs="宋体"/>
          <w:color w:val="000000"/>
          <w:sz w:val="28"/>
          <w:szCs w:val="28"/>
          <w:shd w:val="clear" w:color="auto" w:fill="FFFFFF"/>
        </w:rPr>
        <w:t>年以来，在市政务信息公开工作领导小组的高度重视下，我办紧紧围绕市委</w:t>
      </w:r>
      <w:r>
        <w:rPr>
          <w:rFonts w:hint="eastAsia" w:ascii="宋体" w:hAnsi="宋体" w:cs="宋体"/>
          <w:color w:val="000000"/>
          <w:sz w:val="28"/>
          <w:szCs w:val="28"/>
          <w:shd w:val="clear" w:color="auto" w:fill="FFFFFF"/>
          <w:lang w:eastAsia="zh-CN"/>
        </w:rPr>
        <w:t>、</w:t>
      </w:r>
      <w:bookmarkStart w:id="0" w:name="_GoBack"/>
      <w:bookmarkEnd w:id="0"/>
      <w:r>
        <w:rPr>
          <w:rFonts w:hint="eastAsia" w:ascii="宋体" w:hAnsi="宋体" w:cs="宋体"/>
          <w:color w:val="000000"/>
          <w:sz w:val="28"/>
          <w:szCs w:val="28"/>
          <w:shd w:val="clear" w:color="auto" w:fill="FFFFFF"/>
        </w:rPr>
        <w:t>市政府中心工作，认真贯彻实施《中华人民共和国政府信息公开条例》，加强领导、明确责任，健全制度、拓展形式，加强检查、抓好监督，继续把政府信息公开作为一项重要的常规工作来抓，夯实政府信息公开工作基础，拓展公开渠道，创新公开方式，加大公开力度，平稳、有序地推进政府信息公开工作，现将今年以来我委政务公开工作自查情况报告如下：</w:t>
      </w:r>
    </w:p>
    <w:p w14:paraId="29907686">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一）继续抓好行政审批服务中心的现场管理和政务公开建设。按照中办、国办《关于进一步深化政务公开工作的意见》要求，结合我市深化“放管服”改革的实际需要，我们把政务服务政务公开工作的基础能力建设摆在</w:t>
      </w:r>
      <w:r>
        <w:rPr>
          <w:rFonts w:ascii="宋体" w:hAnsi="宋体" w:cs="宋体"/>
          <w:color w:val="000000"/>
          <w:sz w:val="28"/>
          <w:szCs w:val="28"/>
          <w:shd w:val="clear" w:color="auto" w:fill="FFFFFF"/>
        </w:rPr>
        <w:t>2019</w:t>
      </w:r>
      <w:r>
        <w:rPr>
          <w:rFonts w:hint="eastAsia" w:ascii="宋体" w:hAnsi="宋体" w:cs="宋体"/>
          <w:color w:val="000000"/>
          <w:sz w:val="28"/>
          <w:szCs w:val="28"/>
          <w:shd w:val="clear" w:color="auto" w:fill="FFFFFF"/>
        </w:rPr>
        <w:t>年各项工作的首位，不断进行造势、借势。我委的“放管服”工作吸引了外地兄弟单位、新华社、省、市多家新闻媒体来访调研参观采访交流近</w:t>
      </w:r>
      <w:r>
        <w:rPr>
          <w:rFonts w:ascii="宋体" w:hAnsi="宋体" w:cs="宋体"/>
          <w:color w:val="000000"/>
          <w:sz w:val="28"/>
          <w:szCs w:val="28"/>
          <w:shd w:val="clear" w:color="auto" w:fill="FFFFFF"/>
        </w:rPr>
        <w:t>20</w:t>
      </w:r>
      <w:r>
        <w:rPr>
          <w:rFonts w:hint="eastAsia" w:ascii="宋体" w:hAnsi="宋体" w:cs="宋体"/>
          <w:color w:val="000000"/>
          <w:sz w:val="28"/>
          <w:szCs w:val="28"/>
          <w:shd w:val="clear" w:color="auto" w:fill="FFFFFF"/>
        </w:rPr>
        <w:t>次。</w:t>
      </w:r>
    </w:p>
    <w:p w14:paraId="23EAE355">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（二）深化改革，便民利民，全力打造“办事最方便”的政务服务平台。</w:t>
      </w:r>
    </w:p>
    <w:p w14:paraId="3127998E">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2019</w:t>
      </w:r>
      <w:r>
        <w:rPr>
          <w:rFonts w:hint="eastAsia" w:ascii="宋体" w:hAnsi="宋体" w:cs="宋体"/>
          <w:color w:val="000000"/>
          <w:sz w:val="28"/>
          <w:szCs w:val="28"/>
          <w:shd w:val="clear" w:color="auto" w:fill="FFFFFF"/>
        </w:rPr>
        <w:t>年，我委紧紧围绕深化</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放管服</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改革目标，规范行政审批行为，优化服务流程，提升服务效能，积极打造“四最”营商环境。</w:t>
      </w:r>
    </w:p>
    <w:p w14:paraId="14F7E336">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1.</w:t>
      </w:r>
      <w:r>
        <w:rPr>
          <w:rFonts w:hint="eastAsia" w:ascii="宋体" w:hAnsi="宋体" w:cs="宋体"/>
          <w:color w:val="000000"/>
          <w:sz w:val="28"/>
          <w:szCs w:val="28"/>
          <w:shd w:val="clear" w:color="auto" w:fill="FFFFFF"/>
        </w:rPr>
        <w:t>聚焦难点，推进政务服务“一门办”。按照“进是原则，不进是例外”要求，完善政务服务大厅建设，推进行政审批进驻市政务服务中心，落实“只进一扇门”工作。前期准备慎之又慎。反复论证原址改造的可行性，委领导多次带队学习考察浙江、广东及省内等地的政务服务大厅。高标准严要求启动。邀请市纪委驻市政府办纪检组参与摇号、公开邀请招标。</w:t>
      </w:r>
      <w:r>
        <w:rPr>
          <w:rFonts w:hint="eastAsia" w:ascii="宋体" w:hAnsi="宋体" w:cs="宋体"/>
          <w:color w:val="000000"/>
          <w:sz w:val="28"/>
          <w:szCs w:val="28"/>
          <w:shd w:val="clear" w:color="auto" w:fill="FFFFFF"/>
          <w:lang w:eastAsia="zh-CN"/>
        </w:rPr>
        <w:t>截至</w:t>
      </w:r>
      <w:r>
        <w:rPr>
          <w:rFonts w:hint="eastAsia" w:ascii="宋体" w:hAnsi="宋体" w:cs="宋体"/>
          <w:color w:val="000000"/>
          <w:sz w:val="28"/>
          <w:szCs w:val="28"/>
          <w:shd w:val="clear" w:color="auto" w:fill="FFFFFF"/>
        </w:rPr>
        <w:t>目前，选取了中介代理机构和大厅装修改造设计公司，下一步将按照时间节点完成大厅设计方案、开展大厅改造工程和软硬件的招标，启动大厅装修改造。推行五个“一窗式”改革，即“企业注册开办、社会事业类审批、不动产登记、工程建设项目审批、公安户籍办理”，按照“前台综合受理、后台分类审批、统一窗口出件”的模式收、出件。企业开办“一窗式”实现了注册开办</w:t>
      </w:r>
      <w:r>
        <w:rPr>
          <w:rFonts w:ascii="宋体" w:hAnsi="宋体" w:cs="宋体"/>
          <w:color w:val="000000"/>
          <w:sz w:val="28"/>
          <w:szCs w:val="28"/>
          <w:shd w:val="clear" w:color="auto" w:fill="FFFFFF"/>
        </w:rPr>
        <w:t>3</w:t>
      </w:r>
      <w:r>
        <w:rPr>
          <w:rFonts w:hint="eastAsia" w:ascii="宋体" w:hAnsi="宋体" w:cs="宋体"/>
          <w:color w:val="000000"/>
          <w:sz w:val="28"/>
          <w:szCs w:val="28"/>
          <w:shd w:val="clear" w:color="auto" w:fill="FFFFFF"/>
        </w:rPr>
        <w:t>个工作日完成；不动产登记“一窗式”实现了一般登记从以前的</w:t>
      </w:r>
      <w:r>
        <w:rPr>
          <w:rFonts w:ascii="宋体" w:hAnsi="宋体" w:cs="宋体"/>
          <w:color w:val="000000"/>
          <w:sz w:val="28"/>
          <w:szCs w:val="28"/>
          <w:shd w:val="clear" w:color="auto" w:fill="FFFFFF"/>
        </w:rPr>
        <w:t>15</w:t>
      </w:r>
      <w:r>
        <w:rPr>
          <w:rFonts w:hint="eastAsia" w:ascii="宋体" w:hAnsi="宋体" w:cs="宋体"/>
          <w:color w:val="000000"/>
          <w:sz w:val="28"/>
          <w:szCs w:val="28"/>
          <w:shd w:val="clear" w:color="auto" w:fill="FFFFFF"/>
        </w:rPr>
        <w:t>个工作日压缩到</w:t>
      </w:r>
      <w:r>
        <w:rPr>
          <w:rFonts w:ascii="宋体" w:hAnsi="宋体" w:cs="宋体"/>
          <w:color w:val="000000"/>
          <w:sz w:val="28"/>
          <w:szCs w:val="28"/>
          <w:shd w:val="clear" w:color="auto" w:fill="FFFFFF"/>
        </w:rPr>
        <w:t>7</w:t>
      </w:r>
      <w:r>
        <w:rPr>
          <w:rFonts w:hint="eastAsia" w:ascii="宋体" w:hAnsi="宋体" w:cs="宋体"/>
          <w:color w:val="000000"/>
          <w:sz w:val="28"/>
          <w:szCs w:val="28"/>
          <w:shd w:val="clear" w:color="auto" w:fill="FFFFFF"/>
        </w:rPr>
        <w:t>个工作日，一般抵押登记压缩到</w:t>
      </w:r>
      <w:r>
        <w:rPr>
          <w:rFonts w:ascii="宋体" w:hAnsi="宋体" w:cs="宋体"/>
          <w:color w:val="000000"/>
          <w:sz w:val="28"/>
          <w:szCs w:val="28"/>
          <w:shd w:val="clear" w:color="auto" w:fill="FFFFFF"/>
        </w:rPr>
        <w:t>3</w:t>
      </w:r>
      <w:r>
        <w:rPr>
          <w:rFonts w:hint="eastAsia" w:ascii="宋体" w:hAnsi="宋体" w:cs="宋体"/>
          <w:color w:val="000000"/>
          <w:sz w:val="28"/>
          <w:szCs w:val="28"/>
          <w:shd w:val="clear" w:color="auto" w:fill="FFFFFF"/>
        </w:rPr>
        <w:t>个工作日，减少了办证群众来回奔波之苦、避免了办事群众“多头跑、多次跑”，群众和企业满意度不断提升。</w:t>
      </w:r>
    </w:p>
    <w:p w14:paraId="7FDC40FC">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2.</w:t>
      </w:r>
      <w:r>
        <w:rPr>
          <w:rFonts w:hint="eastAsia" w:ascii="宋体" w:hAnsi="宋体" w:cs="宋体"/>
          <w:color w:val="000000"/>
          <w:sz w:val="28"/>
          <w:szCs w:val="28"/>
          <w:shd w:val="clear" w:color="auto" w:fill="FFFFFF"/>
        </w:rPr>
        <w:t>打通堵点，推进政务服务“一网办”。注重发挥网上办事的作用，推进互联网与政务服务深度融合，形成覆盖全市的整体联动、部门协同、入口统一、一网办理的政务服务体系。推动网上审批入口往政务服务网集中，对接国家一体化在线服务平台，实现了</w:t>
      </w:r>
      <w:r>
        <w:rPr>
          <w:rFonts w:ascii="宋体" w:hAnsi="宋体" w:cs="宋体"/>
          <w:color w:val="000000"/>
          <w:sz w:val="28"/>
          <w:szCs w:val="28"/>
          <w:shd w:val="clear" w:color="auto" w:fill="FFFFFF"/>
        </w:rPr>
        <w:t>38</w:t>
      </w:r>
      <w:r>
        <w:rPr>
          <w:rFonts w:hint="eastAsia" w:ascii="宋体" w:hAnsi="宋体" w:cs="宋体"/>
          <w:color w:val="000000"/>
          <w:sz w:val="28"/>
          <w:szCs w:val="28"/>
          <w:shd w:val="clear" w:color="auto" w:fill="FFFFFF"/>
        </w:rPr>
        <w:t>个单位</w:t>
      </w:r>
      <w:r>
        <w:rPr>
          <w:rFonts w:ascii="宋体" w:hAnsi="宋体" w:cs="宋体"/>
          <w:color w:val="000000"/>
          <w:sz w:val="28"/>
          <w:szCs w:val="28"/>
          <w:shd w:val="clear" w:color="auto" w:fill="FFFFFF"/>
        </w:rPr>
        <w:t>3312</w:t>
      </w:r>
      <w:r>
        <w:rPr>
          <w:rFonts w:hint="eastAsia" w:ascii="宋体" w:hAnsi="宋体" w:cs="宋体"/>
          <w:color w:val="000000"/>
          <w:sz w:val="28"/>
          <w:szCs w:val="28"/>
          <w:shd w:val="clear" w:color="auto" w:fill="FFFFFF"/>
        </w:rPr>
        <w:t>项政务服务事项，统一标准网上集中办理。建设“赣服通”新余分厅，积极推广便民服务手机“</w:t>
      </w:r>
      <w:r>
        <w:rPr>
          <w:rFonts w:ascii="宋体" w:hAnsi="宋体" w:cs="宋体"/>
          <w:color w:val="000000"/>
          <w:sz w:val="28"/>
          <w:szCs w:val="28"/>
          <w:shd w:val="clear" w:color="auto" w:fill="FFFFFF"/>
        </w:rPr>
        <w:t>APP</w:t>
      </w:r>
      <w:r>
        <w:rPr>
          <w:rFonts w:hint="eastAsia" w:ascii="宋体" w:hAnsi="宋体" w:cs="宋体"/>
          <w:color w:val="000000"/>
          <w:sz w:val="28"/>
          <w:szCs w:val="28"/>
          <w:shd w:val="clear" w:color="auto" w:fill="FFFFFF"/>
        </w:rPr>
        <w:t>”</w:t>
      </w:r>
      <w:r>
        <w:rPr>
          <w:rFonts w:ascii="宋体" w:cs="宋体"/>
          <w:color w:val="000000"/>
          <w:sz w:val="28"/>
          <w:szCs w:val="28"/>
          <w:shd w:val="clear" w:color="auto" w:fill="FFFFFF"/>
        </w:rPr>
        <w:t>,</w:t>
      </w:r>
      <w:r>
        <w:rPr>
          <w:rFonts w:hint="eastAsia" w:ascii="宋体" w:hAnsi="宋体" w:cs="宋体"/>
          <w:color w:val="000000"/>
          <w:sz w:val="28"/>
          <w:szCs w:val="28"/>
          <w:shd w:val="clear" w:color="auto" w:fill="FFFFFF"/>
        </w:rPr>
        <w:t>让企业和群众拿起手机就能办“政事”，实现了“手机在手，说办就办”。</w:t>
      </w:r>
      <w:r>
        <w:rPr>
          <w:rFonts w:ascii="宋体" w:hAnsi="宋体" w:cs="宋体"/>
          <w:color w:val="000000"/>
          <w:sz w:val="28"/>
          <w:szCs w:val="28"/>
          <w:shd w:val="clear" w:color="auto" w:fill="FFFFFF"/>
        </w:rPr>
        <w:t>317</w:t>
      </w:r>
      <w:r>
        <w:rPr>
          <w:rFonts w:hint="eastAsia" w:ascii="宋体" w:hAnsi="宋体" w:cs="宋体"/>
          <w:color w:val="000000"/>
          <w:sz w:val="28"/>
          <w:szCs w:val="28"/>
          <w:shd w:val="clear" w:color="auto" w:fill="FFFFFF"/>
        </w:rPr>
        <w:t>项高频事项实现了政务服务、便民服务的一站式办理和电子证照的实时在线校验，切实增强人民群众的获得感和幸福感。</w:t>
      </w:r>
      <w:r>
        <w:rPr>
          <w:rFonts w:hint="eastAsia" w:ascii="宋体" w:hAnsi="宋体" w:cs="宋体"/>
          <w:color w:val="000000"/>
          <w:sz w:val="28"/>
          <w:szCs w:val="28"/>
          <w:shd w:val="clear" w:color="auto" w:fill="FFFFFF"/>
          <w:lang w:eastAsia="zh-CN"/>
        </w:rPr>
        <w:t>截至</w:t>
      </w:r>
      <w:r>
        <w:rPr>
          <w:rFonts w:hint="eastAsia" w:ascii="宋体" w:hAnsi="宋体" w:cs="宋体"/>
          <w:color w:val="000000"/>
          <w:sz w:val="28"/>
          <w:szCs w:val="28"/>
          <w:shd w:val="clear" w:color="auto" w:fill="FFFFFF"/>
        </w:rPr>
        <w:t>目前，我市“赣服通”新余分厅注册用户数达</w:t>
      </w:r>
      <w:r>
        <w:rPr>
          <w:rFonts w:ascii="宋体" w:hAnsi="宋体" w:cs="宋体"/>
          <w:color w:val="000000"/>
          <w:sz w:val="28"/>
          <w:szCs w:val="28"/>
          <w:shd w:val="clear" w:color="auto" w:fill="FFFFFF"/>
        </w:rPr>
        <w:t>21.56</w:t>
      </w:r>
      <w:r>
        <w:rPr>
          <w:rFonts w:hint="eastAsia" w:ascii="宋体" w:hAnsi="宋体" w:cs="宋体"/>
          <w:color w:val="000000"/>
          <w:sz w:val="28"/>
          <w:szCs w:val="28"/>
          <w:shd w:val="clear" w:color="auto" w:fill="FFFFFF"/>
        </w:rPr>
        <w:t>万人，占全市人口的</w:t>
      </w:r>
      <w:r>
        <w:rPr>
          <w:rFonts w:ascii="宋体" w:hAnsi="宋体" w:cs="宋体"/>
          <w:color w:val="000000"/>
          <w:sz w:val="28"/>
          <w:szCs w:val="28"/>
          <w:shd w:val="clear" w:color="auto" w:fill="FFFFFF"/>
        </w:rPr>
        <w:t>18.17%</w:t>
      </w:r>
      <w:r>
        <w:rPr>
          <w:rFonts w:hint="eastAsia" w:ascii="宋体" w:hAnsi="宋体" w:cs="宋体"/>
          <w:color w:val="000000"/>
          <w:sz w:val="28"/>
          <w:szCs w:val="28"/>
          <w:shd w:val="clear" w:color="auto" w:fill="FFFFFF"/>
        </w:rPr>
        <w:t>，占比排名全省第一，注重线上线下结合，加快打造</w:t>
      </w:r>
      <w:r>
        <w:rPr>
          <w:rFonts w:ascii="宋体" w:hAnsi="宋体" w:cs="宋体"/>
          <w:color w:val="000000"/>
          <w:sz w:val="28"/>
          <w:szCs w:val="28"/>
          <w:shd w:val="clear" w:color="auto" w:fill="FFFFFF"/>
        </w:rPr>
        <w:t>24</w:t>
      </w:r>
      <w:r>
        <w:rPr>
          <w:rFonts w:hint="eastAsia" w:ascii="宋体" w:hAnsi="宋体" w:cs="宋体"/>
          <w:color w:val="000000"/>
          <w:sz w:val="28"/>
          <w:szCs w:val="28"/>
          <w:shd w:val="clear" w:color="auto" w:fill="FFFFFF"/>
        </w:rPr>
        <w:t>小时自助服务区，实现线下智能申报、线上审批、自助取证等功能，切实方便群众办事。</w:t>
      </w:r>
    </w:p>
    <w:p w14:paraId="2AA1C509">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3.</w:t>
      </w:r>
      <w:r>
        <w:rPr>
          <w:rFonts w:hint="eastAsia" w:ascii="宋体" w:hAnsi="宋体" w:cs="宋体"/>
          <w:color w:val="000000"/>
          <w:sz w:val="28"/>
          <w:szCs w:val="28"/>
          <w:shd w:val="clear" w:color="auto" w:fill="FFFFFF"/>
        </w:rPr>
        <w:t>去除痛点，推进政务服务“一次办”。坚持在行政审批上做“减法”，在优化服务上做“加法”，持续推进“一站式”服务创新，让群众“一来就会”，“一次就成”，不断推动政务服务迈上新台阶。</w:t>
      </w:r>
      <w:r>
        <w:rPr>
          <w:rFonts w:ascii="宋体" w:hAnsi="宋体" w:cs="宋体"/>
          <w:color w:val="000000"/>
          <w:sz w:val="28"/>
          <w:szCs w:val="28"/>
          <w:shd w:val="clear" w:color="auto" w:fill="FFFFFF"/>
        </w:rPr>
        <w:t>865</w:t>
      </w:r>
      <w:r>
        <w:rPr>
          <w:rFonts w:hint="eastAsia" w:ascii="宋体" w:hAnsi="宋体" w:cs="宋体"/>
          <w:color w:val="000000"/>
          <w:sz w:val="28"/>
          <w:szCs w:val="28"/>
          <w:shd w:val="clear" w:color="auto" w:fill="FFFFFF"/>
        </w:rPr>
        <w:t>项依申请政务服务事项实现了“最多跑一次”，市本级依申请类事项“一次不跑”“只跑一次”办理率达到</w:t>
      </w:r>
      <w:r>
        <w:rPr>
          <w:rFonts w:ascii="宋体" w:hAnsi="宋体" w:cs="宋体"/>
          <w:color w:val="000000"/>
          <w:sz w:val="28"/>
          <w:szCs w:val="28"/>
          <w:shd w:val="clear" w:color="auto" w:fill="FFFFFF"/>
        </w:rPr>
        <w:t>96.54%</w:t>
      </w:r>
      <w:r>
        <w:rPr>
          <w:rFonts w:hint="eastAsia" w:ascii="宋体" w:hAnsi="宋体" w:cs="宋体"/>
          <w:color w:val="000000"/>
          <w:sz w:val="28"/>
          <w:szCs w:val="28"/>
          <w:shd w:val="clear" w:color="auto" w:fill="FFFFFF"/>
        </w:rPr>
        <w:t>，位居全省前列。</w:t>
      </w:r>
      <w:r>
        <w:rPr>
          <w:rFonts w:ascii="宋体" w:hAnsi="宋体" w:cs="宋体"/>
          <w:color w:val="000000"/>
          <w:sz w:val="28"/>
          <w:szCs w:val="28"/>
          <w:shd w:val="clear" w:color="auto" w:fill="FFFFFF"/>
        </w:rPr>
        <w:t>1-9</w:t>
      </w:r>
      <w:r>
        <w:rPr>
          <w:rFonts w:hint="eastAsia" w:ascii="宋体" w:hAnsi="宋体" w:cs="宋体"/>
          <w:color w:val="000000"/>
          <w:sz w:val="28"/>
          <w:szCs w:val="28"/>
          <w:shd w:val="clear" w:color="auto" w:fill="FFFFFF"/>
        </w:rPr>
        <w:t>月，共办理</w:t>
      </w:r>
      <w:r>
        <w:rPr>
          <w:rFonts w:ascii="宋体" w:hAnsi="宋体" w:cs="宋体"/>
          <w:color w:val="000000"/>
          <w:sz w:val="28"/>
          <w:szCs w:val="28"/>
          <w:shd w:val="clear" w:color="auto" w:fill="FFFFFF"/>
        </w:rPr>
        <w:t>52.94</w:t>
      </w:r>
      <w:r>
        <w:rPr>
          <w:rFonts w:hint="eastAsia" w:ascii="宋体" w:hAnsi="宋体" w:cs="宋体"/>
          <w:color w:val="000000"/>
          <w:sz w:val="28"/>
          <w:szCs w:val="28"/>
          <w:shd w:val="clear" w:color="auto" w:fill="FFFFFF"/>
        </w:rPr>
        <w:t>万件。对入驻市行政审批服务中心办理的“一次不跑”“只跑一次”事项，实行邮政</w:t>
      </w:r>
      <w:r>
        <w:rPr>
          <w:rFonts w:ascii="宋体" w:hAnsi="宋体" w:cs="宋体"/>
          <w:color w:val="000000"/>
          <w:sz w:val="28"/>
          <w:szCs w:val="28"/>
          <w:shd w:val="clear" w:color="auto" w:fill="FFFFFF"/>
        </w:rPr>
        <w:t>EMS</w:t>
      </w:r>
      <w:r>
        <w:rPr>
          <w:rFonts w:hint="eastAsia" w:ascii="宋体" w:hAnsi="宋体" w:cs="宋体"/>
          <w:color w:val="000000"/>
          <w:sz w:val="28"/>
          <w:szCs w:val="28"/>
          <w:shd w:val="clear" w:color="auto" w:fill="FFFFFF"/>
        </w:rPr>
        <w:t>送达服务，由政府为企业和群众快递办件买单，办事效率、服务品质全面优化。梳理公布了</w:t>
      </w:r>
      <w:r>
        <w:rPr>
          <w:rFonts w:ascii="宋体" w:hAnsi="宋体" w:cs="宋体"/>
          <w:color w:val="000000"/>
          <w:sz w:val="28"/>
          <w:szCs w:val="28"/>
          <w:shd w:val="clear" w:color="auto" w:fill="FFFFFF"/>
        </w:rPr>
        <w:t>181</w:t>
      </w:r>
      <w:r>
        <w:rPr>
          <w:rFonts w:hint="eastAsia" w:ascii="宋体" w:hAnsi="宋体" w:cs="宋体"/>
          <w:color w:val="000000"/>
          <w:sz w:val="28"/>
          <w:szCs w:val="28"/>
          <w:shd w:val="clear" w:color="auto" w:fill="FFFFFF"/>
        </w:rPr>
        <w:t>项“就近办”个人事项，将审批服务延伸到乡（镇、街道）、社区，将服务送到了群众的“家门口”。分批取消调整各类证明事项</w:t>
      </w:r>
      <w:r>
        <w:rPr>
          <w:rFonts w:ascii="宋体" w:hAnsi="宋体" w:cs="宋体"/>
          <w:color w:val="000000"/>
          <w:sz w:val="28"/>
          <w:szCs w:val="28"/>
          <w:shd w:val="clear" w:color="auto" w:fill="FFFFFF"/>
        </w:rPr>
        <w:t>254</w:t>
      </w:r>
      <w:r>
        <w:rPr>
          <w:rFonts w:hint="eastAsia" w:ascii="宋体" w:hAnsi="宋体" w:cs="宋体"/>
          <w:color w:val="000000"/>
          <w:sz w:val="28"/>
          <w:szCs w:val="28"/>
          <w:shd w:val="clear" w:color="auto" w:fill="FFFFFF"/>
        </w:rPr>
        <w:t>项；取消了</w:t>
      </w:r>
      <w:r>
        <w:rPr>
          <w:rFonts w:ascii="宋体" w:hAnsi="宋体" w:cs="宋体"/>
          <w:color w:val="000000"/>
          <w:sz w:val="28"/>
          <w:szCs w:val="28"/>
          <w:shd w:val="clear" w:color="auto" w:fill="FFFFFF"/>
        </w:rPr>
        <w:t>265</w:t>
      </w:r>
      <w:r>
        <w:rPr>
          <w:rFonts w:hint="eastAsia" w:ascii="宋体" w:hAnsi="宋体" w:cs="宋体"/>
          <w:color w:val="000000"/>
          <w:sz w:val="28"/>
          <w:szCs w:val="28"/>
          <w:shd w:val="clear" w:color="auto" w:fill="FFFFFF"/>
        </w:rPr>
        <w:t>项事项的“其他材料”“有关材料”等模糊性表述和“兜底性”条款，制定了全市统一的办事指南以及通用的格式文本，让企业和群众看得明白，办起来简单。市政务服务大厅实行</w:t>
      </w:r>
      <w:r>
        <w:rPr>
          <w:rFonts w:ascii="宋体" w:hAnsi="宋体" w:cs="宋体"/>
          <w:color w:val="000000"/>
          <w:sz w:val="28"/>
          <w:szCs w:val="28"/>
          <w:shd w:val="clear" w:color="auto" w:fill="FFFFFF"/>
        </w:rPr>
        <w:t>365</w:t>
      </w:r>
      <w:r>
        <w:rPr>
          <w:rFonts w:hint="eastAsia" w:ascii="宋体" w:hAnsi="宋体" w:cs="宋体"/>
          <w:color w:val="000000"/>
          <w:sz w:val="28"/>
          <w:szCs w:val="28"/>
          <w:shd w:val="clear" w:color="auto" w:fill="FFFFFF"/>
        </w:rPr>
        <w:t>天政务服务不打烊，并向县</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区</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、乡镇便民服务中心延伸。</w:t>
      </w:r>
      <w:r>
        <w:rPr>
          <w:rFonts w:ascii="宋体" w:hAnsi="宋体" w:cs="宋体"/>
          <w:color w:val="000000"/>
          <w:sz w:val="28"/>
          <w:szCs w:val="28"/>
          <w:shd w:val="clear" w:color="auto" w:fill="FFFFFF"/>
        </w:rPr>
        <w:t>1-10</w:t>
      </w:r>
      <w:r>
        <w:rPr>
          <w:rFonts w:hint="eastAsia" w:ascii="宋体" w:hAnsi="宋体" w:cs="宋体"/>
          <w:color w:val="000000"/>
          <w:sz w:val="28"/>
          <w:szCs w:val="28"/>
          <w:shd w:val="clear" w:color="auto" w:fill="FFFFFF"/>
        </w:rPr>
        <w:t>月份，全市延时错时服务共办理</w:t>
      </w:r>
      <w:r>
        <w:rPr>
          <w:rFonts w:ascii="宋体" w:hAnsi="宋体" w:cs="宋体"/>
          <w:color w:val="000000"/>
          <w:sz w:val="28"/>
          <w:szCs w:val="28"/>
          <w:shd w:val="clear" w:color="auto" w:fill="FFFFFF"/>
        </w:rPr>
        <w:t>32004</w:t>
      </w:r>
      <w:r>
        <w:rPr>
          <w:rFonts w:hint="eastAsia" w:ascii="宋体" w:hAnsi="宋体" w:cs="宋体"/>
          <w:color w:val="000000"/>
          <w:sz w:val="28"/>
          <w:szCs w:val="28"/>
          <w:shd w:val="clear" w:color="auto" w:fill="FFFFFF"/>
        </w:rPr>
        <w:t>件。</w:t>
      </w:r>
    </w:p>
    <w:p w14:paraId="7D9B7B61">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4.</w:t>
      </w:r>
      <w:r>
        <w:rPr>
          <w:rFonts w:hint="eastAsia" w:ascii="宋体" w:hAnsi="宋体" w:cs="宋体"/>
          <w:color w:val="000000"/>
          <w:sz w:val="28"/>
          <w:szCs w:val="28"/>
          <w:shd w:val="clear" w:color="auto" w:fill="FFFFFF"/>
        </w:rPr>
        <w:t>跟踪监察，加强网上审批监察力度。行政服务信息化监督科通过对所有网上审批事项的办结时限、审批依据、审批流程全程进行监察，对超时、不按审批流程或审批依据不齐全的等不规范审批行为及时预警与纠错。</w:t>
      </w:r>
      <w:r>
        <w:rPr>
          <w:rFonts w:ascii="宋体" w:hAnsi="宋体" w:cs="宋体"/>
          <w:color w:val="000000"/>
          <w:sz w:val="28"/>
          <w:szCs w:val="28"/>
          <w:shd w:val="clear" w:color="auto" w:fill="FFFFFF"/>
        </w:rPr>
        <w:t>1-9</w:t>
      </w:r>
      <w:r>
        <w:rPr>
          <w:rFonts w:hint="eastAsia" w:ascii="宋体" w:hAnsi="宋体" w:cs="宋体"/>
          <w:color w:val="000000"/>
          <w:sz w:val="28"/>
          <w:szCs w:val="28"/>
          <w:shd w:val="clear" w:color="auto" w:fill="FFFFFF"/>
        </w:rPr>
        <w:t>月，监察到全市网上行政审批系统共受理行政审批事项</w:t>
      </w:r>
      <w:r>
        <w:rPr>
          <w:rFonts w:ascii="宋体" w:hAnsi="宋体" w:cs="宋体"/>
          <w:color w:val="000000"/>
          <w:sz w:val="28"/>
          <w:szCs w:val="28"/>
          <w:shd w:val="clear" w:color="auto" w:fill="FFFFFF"/>
        </w:rPr>
        <w:t>10390</w:t>
      </w:r>
      <w:r>
        <w:rPr>
          <w:rFonts w:hint="eastAsia" w:ascii="宋体" w:hAnsi="宋体" w:cs="宋体"/>
          <w:color w:val="000000"/>
          <w:sz w:val="28"/>
          <w:szCs w:val="28"/>
          <w:shd w:val="clear" w:color="auto" w:fill="FFFFFF"/>
        </w:rPr>
        <w:t>件，办结</w:t>
      </w:r>
      <w:r>
        <w:rPr>
          <w:rFonts w:ascii="宋体" w:hAnsi="宋体" w:cs="宋体"/>
          <w:color w:val="000000"/>
          <w:sz w:val="28"/>
          <w:szCs w:val="28"/>
          <w:shd w:val="clear" w:color="auto" w:fill="FFFFFF"/>
        </w:rPr>
        <w:t>10287</w:t>
      </w:r>
      <w:r>
        <w:rPr>
          <w:rFonts w:hint="eastAsia" w:ascii="宋体" w:hAnsi="宋体" w:cs="宋体"/>
          <w:color w:val="000000"/>
          <w:sz w:val="28"/>
          <w:szCs w:val="28"/>
          <w:shd w:val="clear" w:color="auto" w:fill="FFFFFF"/>
        </w:rPr>
        <w:t>件，办结率</w:t>
      </w:r>
      <w:r>
        <w:rPr>
          <w:rFonts w:ascii="宋体" w:hAnsi="宋体" w:cs="宋体"/>
          <w:color w:val="000000"/>
          <w:sz w:val="28"/>
          <w:szCs w:val="28"/>
          <w:shd w:val="clear" w:color="auto" w:fill="FFFFFF"/>
        </w:rPr>
        <w:t>99.01%</w:t>
      </w:r>
      <w:r>
        <w:rPr>
          <w:rFonts w:hint="eastAsia" w:ascii="宋体" w:hAnsi="宋体" w:cs="宋体"/>
          <w:color w:val="000000"/>
          <w:sz w:val="28"/>
          <w:szCs w:val="28"/>
          <w:shd w:val="clear" w:color="auto" w:fill="FFFFFF"/>
        </w:rPr>
        <w:t>。监察到</w:t>
      </w:r>
      <w:r>
        <w:rPr>
          <w:rFonts w:ascii="宋体" w:hAnsi="宋体" w:cs="宋体"/>
          <w:color w:val="000000"/>
          <w:sz w:val="28"/>
          <w:szCs w:val="28"/>
          <w:shd w:val="clear" w:color="auto" w:fill="FFFFFF"/>
        </w:rPr>
        <w:t>73</w:t>
      </w:r>
      <w:r>
        <w:rPr>
          <w:rFonts w:hint="eastAsia" w:ascii="宋体" w:hAnsi="宋体" w:cs="宋体"/>
          <w:color w:val="000000"/>
          <w:sz w:val="28"/>
          <w:szCs w:val="28"/>
          <w:shd w:val="clear" w:color="auto" w:fill="FFFFFF"/>
        </w:rPr>
        <w:t>项行政审批事项出现“黄灯”预警，经监察员及时提醒督促，全部在规定时间内办结，未出现亮“红灯”现象。</w:t>
      </w:r>
    </w:p>
    <w:p w14:paraId="2C9D12FE">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（三）积极回应社会关切方面，强化制度机制建设。</w:t>
      </w:r>
    </w:p>
    <w:p w14:paraId="2EA5221B">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一是创新政府管理体制。通过建立决策、审批、监管既相互协调又相互制约的运行机制，着力解决政府干预过多，监管不到位和效率不高等问题。目前，正在抓紧进行审批事项和权限调整、审批网络系统建设、审批流程再造等工作。二是加强收费清单管理。我们根据简政放权的工作要求</w:t>
      </w:r>
      <w:r>
        <w:rPr>
          <w:rFonts w:ascii="宋体" w:cs="宋体"/>
          <w:color w:val="000000"/>
          <w:sz w:val="28"/>
          <w:szCs w:val="28"/>
          <w:shd w:val="clear" w:color="auto" w:fill="FFFFFF"/>
        </w:rPr>
        <w:t>,</w:t>
      </w:r>
      <w:r>
        <w:rPr>
          <w:rFonts w:hint="eastAsia" w:ascii="宋体" w:hAnsi="宋体" w:cs="宋体"/>
          <w:color w:val="000000"/>
          <w:sz w:val="28"/>
          <w:szCs w:val="28"/>
          <w:shd w:val="clear" w:color="auto" w:fill="FFFFFF"/>
        </w:rPr>
        <w:t>定期对国家和省、市取消下放审批项目进行了核定、调整，不断规范行政审批项目收费，实行政府定价目录清单管理，即时在门户网站予以公示公告，及时强化事中事后监管，严禁利用行政资源强制收取费用。三是自觉接受“两代表一委员”、司法、舆论和社会监督。年初以来，根据市政府办公厅要求，我办主办市人大建议</w:t>
      </w:r>
      <w:r>
        <w:rPr>
          <w:rFonts w:ascii="宋体" w:hAnsi="宋体" w:cs="宋体"/>
          <w:color w:val="000000"/>
          <w:sz w:val="28"/>
          <w:szCs w:val="28"/>
          <w:shd w:val="clear" w:color="auto" w:fill="FFFFFF"/>
        </w:rPr>
        <w:t>1</w:t>
      </w:r>
      <w:r>
        <w:rPr>
          <w:rFonts w:hint="eastAsia" w:ascii="宋体" w:hAnsi="宋体" w:cs="宋体"/>
          <w:color w:val="000000"/>
          <w:sz w:val="28"/>
          <w:szCs w:val="28"/>
          <w:shd w:val="clear" w:color="auto" w:fill="FFFFFF"/>
        </w:rPr>
        <w:t>件、市政协提案</w:t>
      </w:r>
      <w:r>
        <w:rPr>
          <w:rFonts w:ascii="宋体" w:hAnsi="宋体" w:cs="宋体"/>
          <w:color w:val="000000"/>
          <w:sz w:val="28"/>
          <w:szCs w:val="28"/>
          <w:shd w:val="clear" w:color="auto" w:fill="FFFFFF"/>
        </w:rPr>
        <w:t>1</w:t>
      </w:r>
      <w:r>
        <w:rPr>
          <w:rFonts w:hint="eastAsia" w:ascii="宋体" w:hAnsi="宋体" w:cs="宋体"/>
          <w:color w:val="000000"/>
          <w:sz w:val="28"/>
          <w:szCs w:val="28"/>
          <w:shd w:val="clear" w:color="auto" w:fill="FFFFFF"/>
        </w:rPr>
        <w:t>件，已全部按时办结，办结率、见面率、满意率均为</w:t>
      </w:r>
      <w:r>
        <w:rPr>
          <w:rFonts w:ascii="宋体" w:hAnsi="宋体" w:cs="宋体"/>
          <w:color w:val="000000"/>
          <w:sz w:val="28"/>
          <w:szCs w:val="28"/>
          <w:shd w:val="clear" w:color="auto" w:fill="FFFFFF"/>
        </w:rPr>
        <w:t>100%</w:t>
      </w:r>
      <w:r>
        <w:rPr>
          <w:rFonts w:hint="eastAsia" w:ascii="宋体" w:hAnsi="宋体" w:cs="宋体"/>
          <w:color w:val="000000"/>
          <w:sz w:val="28"/>
          <w:szCs w:val="28"/>
          <w:shd w:val="clear" w:color="auto" w:fill="FFFFFF"/>
        </w:rPr>
        <w:t>。同时，市长信箱、</w:t>
      </w:r>
      <w:r>
        <w:rPr>
          <w:rFonts w:ascii="宋体" w:hAnsi="宋体" w:cs="宋体"/>
          <w:color w:val="000000"/>
          <w:sz w:val="28"/>
          <w:szCs w:val="28"/>
          <w:shd w:val="clear" w:color="auto" w:fill="FFFFFF"/>
        </w:rPr>
        <w:t>12345</w:t>
      </w:r>
      <w:r>
        <w:rPr>
          <w:rFonts w:hint="eastAsia" w:ascii="宋体" w:hAnsi="宋体" w:cs="宋体"/>
          <w:color w:val="000000"/>
          <w:sz w:val="28"/>
          <w:szCs w:val="28"/>
          <w:shd w:val="clear" w:color="auto" w:fill="FFFFFF"/>
        </w:rPr>
        <w:t>市民热线等民意诉求平台都能够按规定时限完成办理。四是加强政府自身建设。为建立完善的审批服务体系，方便服务对象办理各种审批事项，推进建设服务型政府，制定了《市行政审批服务中心预约服务制度》、《市行政审批服务中心全程代办服务办法》、《市行政审批服务中心预约服务制度》等制度进一步方便了服务对象，推进了服务型政府建设。五是在审批服务中心设立了“互联互通信息查询机”，浪潮公司正在进行接口开发和技术对接工作，并在驻厅窗口中，特别设立了查询企业信用窗口，更好地方便企业与群众进行实时查询。</w:t>
      </w:r>
    </w:p>
    <w:p w14:paraId="5AD01353">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四</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加强政府信息主动公开基本目录建设。</w:t>
      </w:r>
    </w:p>
    <w:p w14:paraId="321F42D8">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一是清理规范行政审批事项。今年以来，根据简政放权的工作要求，对国家和省、市取消下放审批项目的名称、设定依据、工作流程、审批要件、办理时限、收费标准等要素进行核定、调整</w:t>
      </w:r>
      <w:r>
        <w:rPr>
          <w:rFonts w:ascii="宋体" w:cs="宋体"/>
          <w:color w:val="000000"/>
          <w:sz w:val="28"/>
          <w:szCs w:val="28"/>
          <w:shd w:val="clear" w:color="auto" w:fill="FFFFFF"/>
        </w:rPr>
        <w:t>,</w:t>
      </w:r>
      <w:r>
        <w:rPr>
          <w:rFonts w:hint="eastAsia" w:ascii="宋体" w:hAnsi="宋体" w:cs="宋体"/>
          <w:color w:val="000000"/>
          <w:sz w:val="28"/>
          <w:szCs w:val="28"/>
          <w:shd w:val="clear" w:color="auto" w:fill="FFFFFF"/>
        </w:rPr>
        <w:t>并对项目实行动态化清理。对投资发展相关的审批事项逐一梳理、逐条核对、严格审查，最终形成《新余市投资项目市级审批事项清单》。二是规范与行政审批相关的中介服务事项。按照《市人民政府办公厅关于清理规范市政府部门行政审批中介服务的实施意见》要求，我们对各部门行政审批事项涉及的中介服务进行了清理。</w:t>
      </w:r>
    </w:p>
    <w:p w14:paraId="7F14F109">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五</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推动政务服务实体办事平台与部门业务系统融合，并向网上办理延伸。</w:t>
      </w:r>
    </w:p>
    <w:p w14:paraId="668C6409">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一是电子政务平台建设。以资源整合、业务协同、信息共享、社会参与为重点，着力构建“跨部门、跨区域、跨线条”的网上并联审批系统，全面推动我市政务服务工作科学化、标准化、智能化。二是推进政府信息公开。对我市目前保留的行政审批事项清单、投资项目市级审批事项清单都进行了网上公示。同时，对清理规范的事项清单实行动态管理，即时予以网上公示。三是加强政务服务大厅标准化建设。加强三级政务服务体系建设。对县（区）服务中心网站建设进行指导，督促各县（区）将进驻项目在网上进行公示，对审批受理情况及时进行更新。四是促进实体办事平台与部门业务系统融合。我委按照“统筹设计、精简高效、批管分离”组建原则，对驻厅的部门和人员做好业务衔接；对未划入事项进行规范，切实做到“大厅之外无审批”。</w:t>
      </w:r>
    </w:p>
    <w:p w14:paraId="3A6B6506">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六</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做好政务公开专项活动。</w:t>
      </w:r>
    </w:p>
    <w:p w14:paraId="423D9FF3">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一是建立新闻发言人制度。此外，今年</w:t>
      </w:r>
      <w:r>
        <w:rPr>
          <w:rFonts w:ascii="宋体" w:hAnsi="宋体" w:cs="宋体"/>
          <w:color w:val="000000"/>
          <w:sz w:val="28"/>
          <w:szCs w:val="28"/>
          <w:shd w:val="clear" w:color="auto" w:fill="FFFFFF"/>
        </w:rPr>
        <w:t>6</w:t>
      </w:r>
      <w:r>
        <w:rPr>
          <w:rFonts w:hint="eastAsia" w:ascii="宋体" w:hAnsi="宋体" w:cs="宋体"/>
          <w:color w:val="000000"/>
          <w:sz w:val="28"/>
          <w:szCs w:val="28"/>
          <w:shd w:val="clear" w:color="auto" w:fill="FFFFFF"/>
        </w:rPr>
        <w:t>月、</w:t>
      </w:r>
      <w:r>
        <w:rPr>
          <w:rFonts w:ascii="宋体" w:hAnsi="宋体" w:cs="宋体"/>
          <w:color w:val="000000"/>
          <w:sz w:val="28"/>
          <w:szCs w:val="28"/>
          <w:shd w:val="clear" w:color="auto" w:fill="FFFFFF"/>
        </w:rPr>
        <w:t>9</w:t>
      </w:r>
      <w:r>
        <w:rPr>
          <w:rFonts w:hint="eastAsia" w:ascii="宋体" w:hAnsi="宋体" w:cs="宋体"/>
          <w:color w:val="000000"/>
          <w:sz w:val="28"/>
          <w:szCs w:val="28"/>
          <w:shd w:val="clear" w:color="auto" w:fill="FFFFFF"/>
        </w:rPr>
        <w:t>月和</w:t>
      </w:r>
      <w:r>
        <w:rPr>
          <w:rFonts w:ascii="宋体" w:hAnsi="宋体" w:cs="宋体"/>
          <w:color w:val="000000"/>
          <w:sz w:val="28"/>
          <w:szCs w:val="28"/>
          <w:shd w:val="clear" w:color="auto" w:fill="FFFFFF"/>
        </w:rPr>
        <w:t>12</w:t>
      </w:r>
      <w:r>
        <w:rPr>
          <w:rFonts w:hint="eastAsia" w:ascii="宋体" w:hAnsi="宋体" w:cs="宋体"/>
          <w:color w:val="000000"/>
          <w:sz w:val="28"/>
          <w:szCs w:val="28"/>
          <w:shd w:val="clear" w:color="auto" w:fill="FFFFFF"/>
        </w:rPr>
        <w:t>月，我委市公共资源交易中心、市行政服务管理监督科、市投资项目代办服务科三个科室的分管领导组织了</w:t>
      </w:r>
      <w:r>
        <w:rPr>
          <w:rFonts w:ascii="宋体" w:hAnsi="宋体" w:cs="宋体"/>
          <w:color w:val="000000"/>
          <w:sz w:val="28"/>
          <w:szCs w:val="28"/>
          <w:shd w:val="clear" w:color="auto" w:fill="FFFFFF"/>
        </w:rPr>
        <w:t>3</w:t>
      </w:r>
      <w:r>
        <w:rPr>
          <w:rFonts w:hint="eastAsia" w:ascii="宋体" w:hAnsi="宋体" w:cs="宋体"/>
          <w:color w:val="000000"/>
          <w:sz w:val="28"/>
          <w:szCs w:val="28"/>
          <w:shd w:val="clear" w:color="auto" w:fill="FFFFFF"/>
        </w:rPr>
        <w:t>次新闻发布会。二是积极筹建网站、微博、微信，今年六月份开通了“新余行政服务”公众号，每天坚持更新本委政务公开动态、发布最新政策、公布便民措施。三是积极主动组织参加政务公开日的现场活动。</w:t>
      </w:r>
    </w:p>
    <w:p w14:paraId="6210D6B7">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七</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强化政府信息公开意识，健全政府信息公开工作机构和人员。</w:t>
      </w:r>
    </w:p>
    <w:p w14:paraId="05D30763">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开展政府信息公开教育，认真学习相关文件，进一步对政府信息公开工作重要性的认识，不断强化政府信息公开理念，增强推进政府信息公开的紧迫感和责任感，为开展政府信息公开工作奠定良好的思想基础。及时调整充实政府信息公开工作领导小组，抽调业务精通、责任心强的人员专门负责政府信息公开工作，真正将政府信息公开工作的各项任务要求和措施落到实处。</w:t>
      </w:r>
    </w:p>
    <w:p w14:paraId="24F25962">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八</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完善政府信息公开工作制度。</w:t>
      </w:r>
    </w:p>
    <w:p w14:paraId="29CED292">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把完善和落实制度作为工作重点，健全和完善了政府信息主动公开工作制度和依申请公开工作流程。</w:t>
      </w:r>
    </w:p>
    <w:p w14:paraId="0D61A2FD">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九</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健全政府信息公开平台，丰富政府信息公开内容。利用我办公开网站、政务公开栏等载体及时发布政务信息，进一步拓宽政府信息公开平台。认真梳理应主动公开政府信息，细化分类、完善目录、规范表述，不断拓展业务类、决策类等信息公开内容，信息公开内容更加符合群众的需求。</w:t>
      </w:r>
    </w:p>
    <w:p w14:paraId="5B2E6C8E">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十</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依申请公开情况。</w:t>
      </w:r>
    </w:p>
    <w:p w14:paraId="370A5339">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全年我委未收到信息公开申请。信息公开收费及减免情况：我委在开展政务信息公开工作过程中，坚持为民、利民的原则，至今未收取任何复印、邮寄等各类费用。没有因政府信息公开申请行政复议、提起行政诉讼情况。</w:t>
      </w:r>
    </w:p>
    <w:p w14:paraId="57EDEC3D">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十一</w:t>
      </w:r>
      <w:r>
        <w:rPr>
          <w:rFonts w:ascii="宋体" w:hAnsi="宋体" w:cs="宋体"/>
          <w:color w:val="000000"/>
          <w:sz w:val="28"/>
          <w:szCs w:val="28"/>
          <w:shd w:val="clear" w:color="auto" w:fill="FFFFFF"/>
        </w:rPr>
        <w:t>)</w:t>
      </w:r>
      <w:r>
        <w:rPr>
          <w:rFonts w:hint="eastAsia" w:ascii="宋体" w:hAnsi="宋体" w:cs="宋体"/>
          <w:color w:val="000000"/>
          <w:sz w:val="28"/>
          <w:szCs w:val="28"/>
          <w:shd w:val="clear" w:color="auto" w:fill="FFFFFF"/>
        </w:rPr>
        <w:t>严格保密审查制度。</w:t>
      </w:r>
    </w:p>
    <w:p w14:paraId="78237C62">
      <w:pPr>
        <w:pStyle w:val="2"/>
        <w:widowControl/>
        <w:shd w:val="clear" w:color="auto" w:fill="FFFFFF"/>
        <w:spacing w:before="100" w:after="100" w:line="460" w:lineRule="exact"/>
        <w:ind w:firstLine="420"/>
        <w:rPr>
          <w:rFonts w:ascii="宋体" w:cs="宋体"/>
          <w:color w:val="000000"/>
          <w:sz w:val="28"/>
          <w:szCs w:val="28"/>
          <w:shd w:val="clear" w:color="auto" w:fill="FFFFFF"/>
        </w:rPr>
      </w:pPr>
      <w:r>
        <w:rPr>
          <w:rFonts w:hint="eastAsia" w:ascii="宋体" w:hAnsi="宋体" w:cs="宋体"/>
          <w:color w:val="000000"/>
          <w:sz w:val="28"/>
          <w:szCs w:val="28"/>
          <w:shd w:val="clear" w:color="auto" w:fill="FFFFFF"/>
        </w:rPr>
        <w:t>坚持“先审查，后公开”和“一事一审”原则。主动公开、免予公开、依申请公开的内容</w:t>
      </w:r>
      <w:r>
        <w:rPr>
          <w:rFonts w:ascii="宋体" w:cs="宋体"/>
          <w:color w:val="000000"/>
          <w:sz w:val="28"/>
          <w:szCs w:val="28"/>
          <w:shd w:val="clear" w:color="auto" w:fill="FFFFFF"/>
        </w:rPr>
        <w:t>,</w:t>
      </w:r>
      <w:r>
        <w:rPr>
          <w:rFonts w:hint="eastAsia" w:ascii="宋体" w:hAnsi="宋体" w:cs="宋体"/>
          <w:color w:val="000000"/>
          <w:sz w:val="28"/>
          <w:szCs w:val="28"/>
          <w:shd w:val="clear" w:color="auto" w:fill="FFFFFF"/>
        </w:rPr>
        <w:t>应填写信息公开审核单，提报分管领导审阅签字后，报办主要领导审批签发，予以公开。对审核不严、公开内容失真、造成负面影响以及出现泄密等问题的，我办纪检组将依法追究主要负责人和相关责任人的责任。</w:t>
      </w:r>
    </w:p>
    <w:p w14:paraId="5B8C16E2">
      <w:pPr>
        <w:pStyle w:val="2"/>
        <w:widowControl/>
        <w:shd w:val="clear" w:color="auto" w:fill="FFFFFF"/>
        <w:spacing w:after="240"/>
        <w:ind w:firstLine="420"/>
        <w:rPr>
          <w:rFonts w:ascii="宋体" w:cs="宋体"/>
          <w:b/>
          <w:color w:val="000000"/>
          <w:shd w:val="clear" w:color="auto" w:fill="FFFFFF"/>
        </w:rPr>
      </w:pPr>
    </w:p>
    <w:p w14:paraId="63EAA6E5">
      <w:pPr>
        <w:pStyle w:val="2"/>
        <w:widowControl/>
        <w:shd w:val="clear" w:color="auto" w:fill="FFFFFF"/>
        <w:spacing w:after="240"/>
        <w:ind w:firstLine="420"/>
        <w:rPr>
          <w:rFonts w:ascii="宋体" w:cs="宋体"/>
          <w:b/>
          <w:color w:val="000000"/>
          <w:shd w:val="clear" w:color="auto" w:fill="FFFFFF"/>
        </w:rPr>
      </w:pPr>
    </w:p>
    <w:p w14:paraId="5631F99F">
      <w:pPr>
        <w:pStyle w:val="2"/>
        <w:widowControl/>
        <w:shd w:val="clear" w:color="auto" w:fill="FFFFFF"/>
        <w:spacing w:after="240"/>
        <w:ind w:firstLine="420"/>
        <w:rPr>
          <w:rFonts w:ascii="宋体" w:cs="宋体"/>
          <w:b/>
          <w:color w:val="000000"/>
          <w:shd w:val="clear" w:color="auto" w:fill="FFFFFF"/>
        </w:rPr>
      </w:pPr>
    </w:p>
    <w:p w14:paraId="2906DB6C">
      <w:pPr>
        <w:pStyle w:val="2"/>
        <w:widowControl/>
        <w:shd w:val="clear" w:color="auto" w:fill="FFFFFF"/>
        <w:spacing w:after="240"/>
        <w:ind w:firstLine="420"/>
        <w:rPr>
          <w:rFonts w:ascii="宋体" w:cs="宋体"/>
          <w:b/>
          <w:color w:val="000000"/>
          <w:shd w:val="clear" w:color="auto" w:fill="FFFFFF"/>
        </w:rPr>
      </w:pPr>
    </w:p>
    <w:p w14:paraId="143D5E93">
      <w:pPr>
        <w:pStyle w:val="2"/>
        <w:widowControl/>
        <w:shd w:val="clear" w:color="auto" w:fill="FFFFFF"/>
        <w:spacing w:after="240"/>
        <w:ind w:firstLine="420"/>
        <w:rPr>
          <w:rFonts w:ascii="宋体" w:cs="宋体"/>
          <w:b/>
          <w:color w:val="000000"/>
          <w:shd w:val="clear" w:color="auto" w:fill="FFFFFF"/>
        </w:rPr>
      </w:pPr>
    </w:p>
    <w:p w14:paraId="72718FFD">
      <w:pPr>
        <w:pStyle w:val="2"/>
        <w:widowControl/>
        <w:shd w:val="clear" w:color="auto" w:fill="FFFFFF"/>
        <w:spacing w:after="240"/>
        <w:ind w:firstLine="420"/>
        <w:rPr>
          <w:rFonts w:ascii="宋体" w:cs="宋体"/>
          <w:b/>
          <w:color w:val="000000"/>
          <w:shd w:val="clear" w:color="auto" w:fill="FFFFFF"/>
        </w:rPr>
      </w:pPr>
    </w:p>
    <w:p w14:paraId="11A46DE0">
      <w:pPr>
        <w:pStyle w:val="2"/>
        <w:widowControl/>
        <w:shd w:val="clear" w:color="auto" w:fill="FFFFFF"/>
        <w:spacing w:after="240"/>
        <w:ind w:firstLine="420"/>
        <w:rPr>
          <w:rFonts w:ascii="宋体" w:cs="宋体"/>
          <w:b/>
          <w:color w:val="000000"/>
          <w:shd w:val="clear" w:color="auto" w:fill="FFFFFF"/>
        </w:rPr>
      </w:pPr>
    </w:p>
    <w:p w14:paraId="62C6A3A2">
      <w:pPr>
        <w:pStyle w:val="2"/>
        <w:widowControl/>
        <w:shd w:val="clear" w:color="auto" w:fill="FFFFFF"/>
        <w:spacing w:after="240"/>
        <w:ind w:firstLine="420"/>
        <w:rPr>
          <w:rFonts w:ascii="宋体" w:cs="宋体"/>
          <w:color w:val="000000"/>
        </w:rPr>
      </w:pPr>
      <w:r>
        <w:rPr>
          <w:rFonts w:hint="eastAsia" w:ascii="宋体" w:hAnsi="宋体" w:cs="宋体"/>
          <w:b/>
          <w:color w:val="000000"/>
          <w:shd w:val="clear" w:color="auto" w:fill="FFFFFF"/>
        </w:rPr>
        <w:t>二、主动公开政府信息情况</w:t>
      </w:r>
    </w:p>
    <w:tbl>
      <w:tblPr>
        <w:tblStyle w:val="3"/>
        <w:tblW w:w="8480" w:type="dxa"/>
        <w:jc w:val="center"/>
        <w:tblLayout w:type="fixed"/>
        <w:tblCellMar>
          <w:top w:w="0" w:type="dxa"/>
          <w:left w:w="0" w:type="dxa"/>
          <w:bottom w:w="0" w:type="dxa"/>
          <w:right w:w="0" w:type="dxa"/>
        </w:tblCellMar>
      </w:tblPr>
      <w:tblGrid>
        <w:gridCol w:w="2779"/>
        <w:gridCol w:w="2047"/>
        <w:gridCol w:w="1693"/>
        <w:gridCol w:w="1961"/>
      </w:tblGrid>
      <w:tr w14:paraId="0DA48464">
        <w:tblPrEx>
          <w:tblCellMar>
            <w:top w:w="0" w:type="dxa"/>
            <w:left w:w="0" w:type="dxa"/>
            <w:bottom w:w="0" w:type="dxa"/>
            <w:right w:w="0" w:type="dxa"/>
          </w:tblCellMar>
        </w:tblPrEx>
        <w:trPr>
          <w:trHeight w:val="573" w:hRule="atLeast"/>
          <w:jc w:val="center"/>
        </w:trPr>
        <w:tc>
          <w:tcPr>
            <w:tcW w:w="8480" w:type="dxa"/>
            <w:gridSpan w:val="4"/>
            <w:tcBorders>
              <w:top w:val="single" w:color="auto" w:sz="8" w:space="0"/>
              <w:left w:val="single" w:color="auto" w:sz="8" w:space="0"/>
              <w:bottom w:val="single" w:color="auto" w:sz="8" w:space="0"/>
              <w:right w:val="single" w:color="auto" w:sz="8" w:space="0"/>
            </w:tcBorders>
            <w:noWrap/>
            <w:tcMar>
              <w:left w:w="108" w:type="dxa"/>
              <w:right w:w="108" w:type="dxa"/>
            </w:tcMar>
            <w:vAlign w:val="center"/>
          </w:tcPr>
          <w:p w14:paraId="02C47D59">
            <w:pPr>
              <w:widowControl/>
              <w:jc w:val="center"/>
              <w:rPr>
                <w:color w:val="000000"/>
              </w:rPr>
            </w:pPr>
            <w:r>
              <w:rPr>
                <w:rFonts w:hint="eastAsia" w:ascii="宋体" w:hAnsi="宋体" w:cs="宋体"/>
                <w:color w:val="000000"/>
                <w:kern w:val="0"/>
                <w:sz w:val="20"/>
                <w:szCs w:val="20"/>
              </w:rPr>
              <w:t>第二十条第（一）项</w:t>
            </w:r>
          </w:p>
        </w:tc>
      </w:tr>
      <w:tr w14:paraId="72CA7837">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212A9FCC">
            <w:pPr>
              <w:widowControl/>
              <w:jc w:val="center"/>
              <w:rPr>
                <w:color w:val="000000"/>
              </w:rPr>
            </w:pPr>
            <w:r>
              <w:rPr>
                <w:rFonts w:hint="eastAsia" w:ascii="宋体" w:hAnsi="宋体" w:cs="宋体"/>
                <w:color w:val="000000"/>
                <w:kern w:val="0"/>
                <w:sz w:val="20"/>
                <w:szCs w:val="20"/>
              </w:rPr>
              <w:t>信息内容</w:t>
            </w:r>
          </w:p>
        </w:tc>
        <w:tc>
          <w:tcPr>
            <w:tcW w:w="2047" w:type="dxa"/>
            <w:tcBorders>
              <w:top w:val="single" w:color="auto" w:sz="8" w:space="0"/>
              <w:left w:val="nil"/>
              <w:bottom w:val="single" w:color="auto" w:sz="8" w:space="0"/>
              <w:right w:val="single" w:color="auto" w:sz="8" w:space="0"/>
            </w:tcBorders>
            <w:noWrap/>
            <w:tcMar>
              <w:left w:w="108" w:type="dxa"/>
              <w:right w:w="108" w:type="dxa"/>
            </w:tcMar>
            <w:vAlign w:val="center"/>
          </w:tcPr>
          <w:p w14:paraId="7E3CA0B7">
            <w:pPr>
              <w:widowControl/>
              <w:jc w:val="center"/>
              <w:rPr>
                <w:color w:val="000000"/>
              </w:rPr>
            </w:pPr>
            <w:r>
              <w:rPr>
                <w:rFonts w:hint="eastAsia" w:ascii="宋体" w:hAnsi="宋体" w:cs="宋体"/>
                <w:color w:val="000000"/>
                <w:kern w:val="0"/>
                <w:sz w:val="20"/>
                <w:szCs w:val="20"/>
              </w:rPr>
              <w:t>本年新</w:t>
            </w:r>
            <w:r>
              <w:rPr>
                <w:rFonts w:hint="eastAsia"/>
                <w:color w:val="000000"/>
                <w:kern w:val="0"/>
                <w:sz w:val="20"/>
                <w:szCs w:val="20"/>
              </w:rPr>
              <w:t>制作数量</w:t>
            </w:r>
          </w:p>
        </w:tc>
        <w:tc>
          <w:tcPr>
            <w:tcW w:w="1693" w:type="dxa"/>
            <w:tcBorders>
              <w:top w:val="single" w:color="auto" w:sz="8" w:space="0"/>
              <w:left w:val="nil"/>
              <w:bottom w:val="single" w:color="auto" w:sz="8" w:space="0"/>
              <w:right w:val="single" w:color="auto" w:sz="8" w:space="0"/>
            </w:tcBorders>
            <w:tcMar>
              <w:left w:w="108" w:type="dxa"/>
              <w:right w:w="108" w:type="dxa"/>
            </w:tcMar>
            <w:vAlign w:val="center"/>
          </w:tcPr>
          <w:p w14:paraId="3C46BAF1">
            <w:pPr>
              <w:widowControl/>
              <w:jc w:val="center"/>
              <w:rPr>
                <w:color w:val="000000"/>
              </w:rPr>
            </w:pPr>
            <w:r>
              <w:rPr>
                <w:rFonts w:hint="eastAsia" w:ascii="宋体" w:hAnsi="宋体" w:cs="宋体"/>
                <w:color w:val="000000"/>
                <w:kern w:val="0"/>
                <w:sz w:val="20"/>
                <w:szCs w:val="20"/>
              </w:rPr>
              <w:t>本年新</w:t>
            </w:r>
            <w:r>
              <w:rPr>
                <w:rFonts w:hint="eastAsia"/>
                <w:color w:val="000000"/>
                <w:kern w:val="0"/>
                <w:sz w:val="20"/>
                <w:szCs w:val="20"/>
              </w:rPr>
              <w:t>公开数量</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358DBF3B">
            <w:pPr>
              <w:widowControl/>
              <w:jc w:val="center"/>
              <w:rPr>
                <w:color w:val="000000"/>
              </w:rPr>
            </w:pPr>
            <w:r>
              <w:rPr>
                <w:rFonts w:hint="eastAsia" w:ascii="宋体" w:hAnsi="宋体" w:cs="宋体"/>
                <w:color w:val="000000"/>
                <w:kern w:val="0"/>
                <w:sz w:val="20"/>
                <w:szCs w:val="20"/>
              </w:rPr>
              <w:t>对外公开总数量</w:t>
            </w:r>
          </w:p>
        </w:tc>
      </w:tr>
      <w:tr w14:paraId="31F09A1B">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1F335602">
            <w:pPr>
              <w:widowControl/>
              <w:jc w:val="left"/>
              <w:rPr>
                <w:color w:val="000000"/>
              </w:rPr>
            </w:pPr>
            <w:r>
              <w:rPr>
                <w:rFonts w:hint="eastAsia" w:ascii="宋体" w:hAnsi="宋体" w:cs="宋体"/>
                <w:color w:val="000000"/>
                <w:kern w:val="0"/>
                <w:sz w:val="20"/>
                <w:szCs w:val="20"/>
              </w:rPr>
              <w:t>规章</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2ED5DD2F">
            <w:pPr>
              <w:widowControl/>
              <w:jc w:val="center"/>
              <w:rPr>
                <w:color w:val="000000"/>
              </w:rPr>
            </w:pPr>
            <w:r>
              <w:rPr>
                <w:color w:val="000000"/>
              </w:rPr>
              <w:t>0</w:t>
            </w:r>
          </w:p>
        </w:tc>
        <w:tc>
          <w:tcPr>
            <w:tcW w:w="1693" w:type="dxa"/>
            <w:tcBorders>
              <w:top w:val="nil"/>
              <w:left w:val="nil"/>
              <w:bottom w:val="single" w:color="auto" w:sz="8" w:space="0"/>
              <w:right w:val="single" w:color="auto" w:sz="8" w:space="0"/>
            </w:tcBorders>
            <w:tcMar>
              <w:left w:w="108" w:type="dxa"/>
              <w:right w:w="108" w:type="dxa"/>
            </w:tcMar>
            <w:vAlign w:val="center"/>
          </w:tcPr>
          <w:p w14:paraId="0465CD4A">
            <w:pPr>
              <w:widowControl/>
              <w:jc w:val="center"/>
              <w:rPr>
                <w:color w:val="000000"/>
              </w:rPr>
            </w:pPr>
            <w:r>
              <w:rPr>
                <w:color w:val="000000"/>
              </w:rPr>
              <w:t>0</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7A0B68B7">
            <w:pPr>
              <w:widowControl/>
              <w:jc w:val="center"/>
              <w:rPr>
                <w:color w:val="000000"/>
              </w:rPr>
            </w:pPr>
            <w:r>
              <w:rPr>
                <w:color w:val="000000"/>
              </w:rPr>
              <w:t>0</w:t>
            </w:r>
          </w:p>
        </w:tc>
      </w:tr>
      <w:tr w14:paraId="7FF91F66">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4B910124">
            <w:pPr>
              <w:widowControl/>
              <w:jc w:val="left"/>
              <w:rPr>
                <w:color w:val="000000"/>
              </w:rPr>
            </w:pPr>
            <w:r>
              <w:rPr>
                <w:rFonts w:hint="eastAsia" w:ascii="宋体" w:hAnsi="宋体" w:cs="宋体"/>
                <w:color w:val="000000"/>
                <w:kern w:val="0"/>
                <w:sz w:val="20"/>
                <w:szCs w:val="20"/>
              </w:rPr>
              <w:t>规范性文件</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19DCF806">
            <w:pPr>
              <w:widowControl/>
              <w:jc w:val="center"/>
              <w:rPr>
                <w:color w:val="000000"/>
              </w:rPr>
            </w:pPr>
            <w:r>
              <w:rPr>
                <w:color w:val="000000"/>
              </w:rPr>
              <w:t>0</w:t>
            </w:r>
          </w:p>
        </w:tc>
        <w:tc>
          <w:tcPr>
            <w:tcW w:w="1693" w:type="dxa"/>
            <w:tcBorders>
              <w:top w:val="nil"/>
              <w:left w:val="nil"/>
              <w:bottom w:val="single" w:color="auto" w:sz="8" w:space="0"/>
              <w:right w:val="single" w:color="auto" w:sz="8" w:space="0"/>
            </w:tcBorders>
            <w:tcMar>
              <w:left w:w="108" w:type="dxa"/>
              <w:right w:w="108" w:type="dxa"/>
            </w:tcMar>
            <w:vAlign w:val="center"/>
          </w:tcPr>
          <w:p w14:paraId="27571D3A">
            <w:pPr>
              <w:widowControl/>
              <w:jc w:val="center"/>
              <w:rPr>
                <w:color w:val="000000"/>
              </w:rPr>
            </w:pPr>
            <w:r>
              <w:rPr>
                <w:color w:val="000000"/>
              </w:rPr>
              <w:t>0</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3FF1EC79">
            <w:pPr>
              <w:widowControl/>
              <w:jc w:val="center"/>
              <w:rPr>
                <w:color w:val="000000"/>
              </w:rPr>
            </w:pPr>
            <w:r>
              <w:rPr>
                <w:color w:val="000000"/>
              </w:rPr>
              <w:t>0</w:t>
            </w:r>
          </w:p>
        </w:tc>
      </w:tr>
      <w:tr w14:paraId="4F68DCE0">
        <w:tblPrEx>
          <w:tblCellMar>
            <w:top w:w="0" w:type="dxa"/>
            <w:left w:w="0" w:type="dxa"/>
            <w:bottom w:w="0" w:type="dxa"/>
            <w:right w:w="0" w:type="dxa"/>
          </w:tblCellMar>
        </w:tblPrEx>
        <w:trPr>
          <w:trHeight w:val="573" w:hRule="atLeast"/>
          <w:jc w:val="center"/>
        </w:trPr>
        <w:tc>
          <w:tcPr>
            <w:tcW w:w="8480" w:type="dxa"/>
            <w:gridSpan w:val="4"/>
            <w:tcBorders>
              <w:top w:val="nil"/>
              <w:left w:val="single" w:color="auto" w:sz="8" w:space="0"/>
              <w:bottom w:val="single" w:color="auto" w:sz="8" w:space="0"/>
              <w:right w:val="single" w:color="auto" w:sz="8" w:space="0"/>
            </w:tcBorders>
            <w:noWrap/>
            <w:tcMar>
              <w:left w:w="108" w:type="dxa"/>
              <w:right w:w="108" w:type="dxa"/>
            </w:tcMar>
            <w:vAlign w:val="center"/>
          </w:tcPr>
          <w:p w14:paraId="6C95D58D">
            <w:pPr>
              <w:widowControl/>
              <w:jc w:val="center"/>
              <w:rPr>
                <w:color w:val="000000"/>
              </w:rPr>
            </w:pPr>
            <w:r>
              <w:rPr>
                <w:rFonts w:hint="eastAsia" w:ascii="宋体" w:hAnsi="宋体" w:cs="宋体"/>
                <w:color w:val="000000"/>
                <w:kern w:val="0"/>
                <w:sz w:val="20"/>
                <w:szCs w:val="20"/>
              </w:rPr>
              <w:t>第二十条第（五）项</w:t>
            </w:r>
          </w:p>
        </w:tc>
      </w:tr>
      <w:tr w14:paraId="21386EBD">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6C96F02D">
            <w:pPr>
              <w:widowControl/>
              <w:jc w:val="center"/>
              <w:rPr>
                <w:color w:val="000000"/>
              </w:rPr>
            </w:pPr>
            <w:r>
              <w:rPr>
                <w:rFonts w:hint="eastAsia" w:ascii="宋体" w:hAnsi="宋体" w:cs="宋体"/>
                <w:color w:val="000000"/>
                <w:kern w:val="0"/>
                <w:sz w:val="20"/>
                <w:szCs w:val="20"/>
              </w:rPr>
              <w:t>信息内容</w:t>
            </w:r>
          </w:p>
        </w:tc>
        <w:tc>
          <w:tcPr>
            <w:tcW w:w="2047" w:type="dxa"/>
            <w:tcBorders>
              <w:top w:val="single" w:color="auto" w:sz="8" w:space="0"/>
              <w:left w:val="nil"/>
              <w:bottom w:val="single" w:color="auto" w:sz="8" w:space="0"/>
              <w:right w:val="single" w:color="auto" w:sz="8" w:space="0"/>
            </w:tcBorders>
            <w:noWrap/>
            <w:tcMar>
              <w:left w:w="108" w:type="dxa"/>
              <w:right w:w="108" w:type="dxa"/>
            </w:tcMar>
            <w:vAlign w:val="center"/>
          </w:tcPr>
          <w:p w14:paraId="09977383">
            <w:pPr>
              <w:widowControl/>
              <w:jc w:val="center"/>
              <w:rPr>
                <w:color w:val="000000"/>
              </w:rPr>
            </w:pPr>
            <w:r>
              <w:rPr>
                <w:rFonts w:hint="eastAsia" w:ascii="宋体" w:hAnsi="宋体" w:cs="宋体"/>
                <w:color w:val="000000"/>
                <w:kern w:val="0"/>
                <w:sz w:val="20"/>
                <w:szCs w:val="20"/>
              </w:rPr>
              <w:t>上一年项目数量</w:t>
            </w:r>
          </w:p>
        </w:tc>
        <w:tc>
          <w:tcPr>
            <w:tcW w:w="1693" w:type="dxa"/>
            <w:tcBorders>
              <w:top w:val="single" w:color="auto" w:sz="8" w:space="0"/>
              <w:left w:val="nil"/>
              <w:bottom w:val="single" w:color="auto" w:sz="8" w:space="0"/>
              <w:right w:val="single" w:color="auto" w:sz="8" w:space="0"/>
            </w:tcBorders>
            <w:tcMar>
              <w:left w:w="108" w:type="dxa"/>
              <w:right w:w="108" w:type="dxa"/>
            </w:tcMar>
            <w:vAlign w:val="center"/>
          </w:tcPr>
          <w:p w14:paraId="2E9C7F9F">
            <w:pPr>
              <w:widowControl/>
              <w:jc w:val="center"/>
              <w:rPr>
                <w:color w:val="000000"/>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384F4DF5">
            <w:pPr>
              <w:widowControl/>
              <w:jc w:val="center"/>
              <w:rPr>
                <w:color w:val="000000"/>
              </w:rPr>
            </w:pPr>
            <w:r>
              <w:rPr>
                <w:rFonts w:hint="eastAsia" w:ascii="宋体" w:hAnsi="宋体" w:cs="宋体"/>
                <w:color w:val="000000"/>
                <w:kern w:val="0"/>
                <w:sz w:val="20"/>
                <w:szCs w:val="20"/>
              </w:rPr>
              <w:t>处理决定数量</w:t>
            </w:r>
          </w:p>
        </w:tc>
      </w:tr>
      <w:tr w14:paraId="27F9C3B1">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04FA9759">
            <w:pPr>
              <w:widowControl/>
              <w:jc w:val="left"/>
              <w:rPr>
                <w:color w:val="000000"/>
              </w:rPr>
            </w:pPr>
            <w:r>
              <w:rPr>
                <w:rFonts w:hint="eastAsia" w:ascii="宋体" w:hAnsi="宋体" w:cs="宋体"/>
                <w:color w:val="000000"/>
                <w:kern w:val="0"/>
                <w:sz w:val="20"/>
                <w:szCs w:val="20"/>
              </w:rPr>
              <w:t>行政许可</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47C65A3B">
            <w:pPr>
              <w:widowControl/>
              <w:jc w:val="center"/>
              <w:rPr>
                <w:color w:val="000000"/>
              </w:rPr>
            </w:pPr>
            <w:r>
              <w:rPr>
                <w:color w:val="000000"/>
              </w:rPr>
              <w:t>0</w:t>
            </w:r>
          </w:p>
        </w:tc>
        <w:tc>
          <w:tcPr>
            <w:tcW w:w="1693" w:type="dxa"/>
            <w:tcBorders>
              <w:top w:val="nil"/>
              <w:left w:val="nil"/>
              <w:bottom w:val="single" w:color="auto" w:sz="8" w:space="0"/>
              <w:right w:val="single" w:color="auto" w:sz="8" w:space="0"/>
            </w:tcBorders>
            <w:noWrap/>
            <w:tcMar>
              <w:left w:w="108" w:type="dxa"/>
              <w:right w:w="108" w:type="dxa"/>
            </w:tcMar>
            <w:vAlign w:val="center"/>
          </w:tcPr>
          <w:p w14:paraId="70950738">
            <w:pPr>
              <w:widowControl/>
              <w:jc w:val="center"/>
              <w:rPr>
                <w:color w:val="000000"/>
              </w:rPr>
            </w:pPr>
            <w:r>
              <w:rPr>
                <w:color w:val="000000"/>
              </w:rPr>
              <w:t>0</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3048A0D7">
            <w:pPr>
              <w:widowControl/>
              <w:jc w:val="center"/>
              <w:rPr>
                <w:color w:val="000000"/>
              </w:rPr>
            </w:pPr>
            <w:r>
              <w:rPr>
                <w:color w:val="000000"/>
              </w:rPr>
              <w:t>0</w:t>
            </w:r>
          </w:p>
        </w:tc>
      </w:tr>
      <w:tr w14:paraId="0149520E">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0CE0FCE3">
            <w:pPr>
              <w:widowControl/>
              <w:jc w:val="left"/>
              <w:rPr>
                <w:color w:val="000000"/>
              </w:rPr>
            </w:pPr>
            <w:r>
              <w:rPr>
                <w:rFonts w:hint="eastAsia" w:ascii="宋体" w:hAnsi="宋体" w:cs="宋体"/>
                <w:color w:val="000000"/>
                <w:kern w:val="0"/>
                <w:sz w:val="20"/>
                <w:szCs w:val="20"/>
              </w:rPr>
              <w:t>其他对外管理服务事项</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3625C9CD">
            <w:pPr>
              <w:widowControl/>
              <w:jc w:val="center"/>
              <w:rPr>
                <w:color w:val="000000"/>
              </w:rPr>
            </w:pPr>
            <w:r>
              <w:rPr>
                <w:color w:val="000000"/>
              </w:rPr>
              <w:t>0</w:t>
            </w:r>
          </w:p>
        </w:tc>
        <w:tc>
          <w:tcPr>
            <w:tcW w:w="1693" w:type="dxa"/>
            <w:tcBorders>
              <w:top w:val="nil"/>
              <w:left w:val="nil"/>
              <w:bottom w:val="single" w:color="auto" w:sz="8" w:space="0"/>
              <w:right w:val="single" w:color="auto" w:sz="8" w:space="0"/>
            </w:tcBorders>
            <w:noWrap/>
            <w:tcMar>
              <w:left w:w="108" w:type="dxa"/>
              <w:right w:w="108" w:type="dxa"/>
            </w:tcMar>
            <w:vAlign w:val="center"/>
          </w:tcPr>
          <w:p w14:paraId="34D8483E">
            <w:pPr>
              <w:widowControl/>
              <w:jc w:val="center"/>
              <w:rPr>
                <w:color w:val="000000"/>
              </w:rPr>
            </w:pPr>
            <w:r>
              <w:rPr>
                <w:color w:val="000000"/>
              </w:rPr>
              <w:t>0</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235FABE0">
            <w:pPr>
              <w:widowControl/>
              <w:jc w:val="center"/>
              <w:rPr>
                <w:color w:val="000000"/>
              </w:rPr>
            </w:pPr>
            <w:r>
              <w:rPr>
                <w:color w:val="000000"/>
              </w:rPr>
              <w:t>0</w:t>
            </w:r>
          </w:p>
        </w:tc>
      </w:tr>
      <w:tr w14:paraId="494420CD">
        <w:tblPrEx>
          <w:tblCellMar>
            <w:top w:w="0" w:type="dxa"/>
            <w:left w:w="0" w:type="dxa"/>
            <w:bottom w:w="0" w:type="dxa"/>
            <w:right w:w="0" w:type="dxa"/>
          </w:tblCellMar>
        </w:tblPrEx>
        <w:trPr>
          <w:trHeight w:val="573" w:hRule="atLeast"/>
          <w:jc w:val="center"/>
        </w:trPr>
        <w:tc>
          <w:tcPr>
            <w:tcW w:w="8480" w:type="dxa"/>
            <w:gridSpan w:val="4"/>
            <w:tcBorders>
              <w:top w:val="nil"/>
              <w:left w:val="single" w:color="auto" w:sz="8" w:space="0"/>
              <w:bottom w:val="single" w:color="auto" w:sz="8" w:space="0"/>
              <w:right w:val="single" w:color="auto" w:sz="8" w:space="0"/>
            </w:tcBorders>
            <w:noWrap/>
            <w:tcMar>
              <w:left w:w="108" w:type="dxa"/>
              <w:right w:w="108" w:type="dxa"/>
            </w:tcMar>
            <w:vAlign w:val="center"/>
          </w:tcPr>
          <w:p w14:paraId="41263EE6">
            <w:pPr>
              <w:widowControl/>
              <w:jc w:val="center"/>
              <w:rPr>
                <w:color w:val="000000"/>
              </w:rPr>
            </w:pPr>
            <w:r>
              <w:rPr>
                <w:rFonts w:hint="eastAsia" w:ascii="宋体" w:hAnsi="宋体" w:cs="宋体"/>
                <w:color w:val="000000"/>
                <w:kern w:val="0"/>
                <w:sz w:val="20"/>
                <w:szCs w:val="20"/>
              </w:rPr>
              <w:t>第二十条第（六）项</w:t>
            </w:r>
          </w:p>
        </w:tc>
      </w:tr>
      <w:tr w14:paraId="26DFC54F">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5842966A">
            <w:pPr>
              <w:widowControl/>
              <w:jc w:val="center"/>
              <w:rPr>
                <w:color w:val="000000"/>
              </w:rPr>
            </w:pPr>
            <w:r>
              <w:rPr>
                <w:rFonts w:hint="eastAsia" w:ascii="宋体" w:hAnsi="宋体" w:cs="宋体"/>
                <w:color w:val="000000"/>
                <w:kern w:val="0"/>
                <w:sz w:val="20"/>
                <w:szCs w:val="20"/>
              </w:rPr>
              <w:t>信息内容</w:t>
            </w:r>
          </w:p>
        </w:tc>
        <w:tc>
          <w:tcPr>
            <w:tcW w:w="2047" w:type="dxa"/>
            <w:tcBorders>
              <w:top w:val="single" w:color="auto" w:sz="8" w:space="0"/>
              <w:left w:val="nil"/>
              <w:bottom w:val="single" w:color="auto" w:sz="8" w:space="0"/>
              <w:right w:val="single" w:color="auto" w:sz="8" w:space="0"/>
            </w:tcBorders>
            <w:noWrap/>
            <w:tcMar>
              <w:left w:w="108" w:type="dxa"/>
              <w:right w:w="108" w:type="dxa"/>
            </w:tcMar>
            <w:vAlign w:val="center"/>
          </w:tcPr>
          <w:p w14:paraId="41BCE8F8">
            <w:pPr>
              <w:widowControl/>
              <w:jc w:val="center"/>
              <w:rPr>
                <w:color w:val="000000"/>
              </w:rPr>
            </w:pPr>
            <w:r>
              <w:rPr>
                <w:rFonts w:hint="eastAsia" w:ascii="宋体" w:hAnsi="宋体" w:cs="宋体"/>
                <w:color w:val="000000"/>
                <w:kern w:val="0"/>
                <w:sz w:val="20"/>
                <w:szCs w:val="20"/>
              </w:rPr>
              <w:t>上一年项目数量</w:t>
            </w:r>
          </w:p>
        </w:tc>
        <w:tc>
          <w:tcPr>
            <w:tcW w:w="1693" w:type="dxa"/>
            <w:tcBorders>
              <w:top w:val="single" w:color="auto" w:sz="8" w:space="0"/>
              <w:left w:val="nil"/>
              <w:bottom w:val="single" w:color="auto" w:sz="8" w:space="0"/>
              <w:right w:val="single" w:color="auto" w:sz="8" w:space="0"/>
            </w:tcBorders>
            <w:tcMar>
              <w:left w:w="108" w:type="dxa"/>
              <w:right w:w="108" w:type="dxa"/>
            </w:tcMar>
            <w:vAlign w:val="center"/>
          </w:tcPr>
          <w:p w14:paraId="78283FBF">
            <w:pPr>
              <w:widowControl/>
              <w:jc w:val="center"/>
              <w:rPr>
                <w:color w:val="000000"/>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4CE7DB5A">
            <w:pPr>
              <w:widowControl/>
              <w:jc w:val="center"/>
              <w:rPr>
                <w:color w:val="000000"/>
              </w:rPr>
            </w:pPr>
            <w:r>
              <w:rPr>
                <w:rFonts w:hint="eastAsia" w:ascii="宋体" w:hAnsi="宋体" w:cs="宋体"/>
                <w:color w:val="000000"/>
                <w:kern w:val="0"/>
                <w:sz w:val="20"/>
                <w:szCs w:val="20"/>
              </w:rPr>
              <w:t>处理决定数量</w:t>
            </w:r>
          </w:p>
        </w:tc>
      </w:tr>
      <w:tr w14:paraId="08989E6D">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5D79058B">
            <w:pPr>
              <w:widowControl/>
              <w:jc w:val="left"/>
              <w:rPr>
                <w:color w:val="000000"/>
              </w:rPr>
            </w:pPr>
            <w:r>
              <w:rPr>
                <w:rFonts w:hint="eastAsia" w:ascii="宋体" w:hAnsi="宋体" w:cs="宋体"/>
                <w:color w:val="000000"/>
                <w:kern w:val="0"/>
                <w:sz w:val="20"/>
                <w:szCs w:val="20"/>
              </w:rPr>
              <w:t>行政处罚</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0E00A2B5">
            <w:pPr>
              <w:widowControl/>
              <w:jc w:val="center"/>
              <w:rPr>
                <w:color w:val="000000"/>
              </w:rPr>
            </w:pPr>
            <w:r>
              <w:rPr>
                <w:color w:val="000000"/>
              </w:rPr>
              <w:t>0</w:t>
            </w:r>
          </w:p>
        </w:tc>
        <w:tc>
          <w:tcPr>
            <w:tcW w:w="1693" w:type="dxa"/>
            <w:tcBorders>
              <w:top w:val="nil"/>
              <w:left w:val="nil"/>
              <w:bottom w:val="single" w:color="auto" w:sz="8" w:space="0"/>
              <w:right w:val="single" w:color="auto" w:sz="8" w:space="0"/>
            </w:tcBorders>
            <w:noWrap/>
            <w:tcMar>
              <w:left w:w="108" w:type="dxa"/>
              <w:right w:w="108" w:type="dxa"/>
            </w:tcMar>
            <w:vAlign w:val="center"/>
          </w:tcPr>
          <w:p w14:paraId="133FD0FE">
            <w:pPr>
              <w:widowControl/>
              <w:jc w:val="center"/>
              <w:rPr>
                <w:color w:val="000000"/>
              </w:rPr>
            </w:pPr>
            <w:r>
              <w:rPr>
                <w:color w:val="000000"/>
              </w:rPr>
              <w:t>0</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74F327E5">
            <w:pPr>
              <w:widowControl/>
              <w:jc w:val="center"/>
              <w:rPr>
                <w:color w:val="000000"/>
              </w:rPr>
            </w:pPr>
            <w:r>
              <w:rPr>
                <w:color w:val="000000"/>
              </w:rPr>
              <w:t>0</w:t>
            </w:r>
          </w:p>
        </w:tc>
      </w:tr>
      <w:tr w14:paraId="3EA1F079">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041D1AAC">
            <w:pPr>
              <w:widowControl/>
              <w:jc w:val="left"/>
              <w:rPr>
                <w:color w:val="000000"/>
              </w:rPr>
            </w:pPr>
            <w:r>
              <w:rPr>
                <w:rFonts w:hint="eastAsia" w:ascii="宋体" w:hAnsi="宋体" w:cs="宋体"/>
                <w:color w:val="000000"/>
                <w:kern w:val="0"/>
                <w:sz w:val="20"/>
                <w:szCs w:val="20"/>
              </w:rPr>
              <w:t>行政强制</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592E1EAE">
            <w:pPr>
              <w:widowControl/>
              <w:jc w:val="center"/>
              <w:rPr>
                <w:color w:val="000000"/>
              </w:rPr>
            </w:pPr>
            <w:r>
              <w:rPr>
                <w:color w:val="000000"/>
              </w:rPr>
              <w:t>0</w:t>
            </w:r>
          </w:p>
        </w:tc>
        <w:tc>
          <w:tcPr>
            <w:tcW w:w="1693" w:type="dxa"/>
            <w:tcBorders>
              <w:top w:val="nil"/>
              <w:left w:val="nil"/>
              <w:bottom w:val="single" w:color="auto" w:sz="8" w:space="0"/>
              <w:right w:val="single" w:color="auto" w:sz="8" w:space="0"/>
            </w:tcBorders>
            <w:noWrap/>
            <w:tcMar>
              <w:left w:w="108" w:type="dxa"/>
              <w:right w:w="108" w:type="dxa"/>
            </w:tcMar>
            <w:vAlign w:val="center"/>
          </w:tcPr>
          <w:p w14:paraId="71BADF49">
            <w:pPr>
              <w:widowControl/>
              <w:jc w:val="center"/>
              <w:rPr>
                <w:color w:val="000000"/>
              </w:rPr>
            </w:pPr>
            <w:r>
              <w:rPr>
                <w:color w:val="000000"/>
              </w:rPr>
              <w:t>0</w:t>
            </w:r>
          </w:p>
        </w:tc>
        <w:tc>
          <w:tcPr>
            <w:tcW w:w="1961" w:type="dxa"/>
            <w:tcBorders>
              <w:top w:val="nil"/>
              <w:left w:val="nil"/>
              <w:bottom w:val="single" w:color="auto" w:sz="8" w:space="0"/>
              <w:right w:val="single" w:color="auto" w:sz="8" w:space="0"/>
            </w:tcBorders>
            <w:noWrap/>
            <w:tcMar>
              <w:left w:w="108" w:type="dxa"/>
              <w:right w:w="108" w:type="dxa"/>
            </w:tcMar>
            <w:vAlign w:val="center"/>
          </w:tcPr>
          <w:p w14:paraId="3DB1C780">
            <w:pPr>
              <w:widowControl/>
              <w:jc w:val="center"/>
              <w:rPr>
                <w:color w:val="000000"/>
              </w:rPr>
            </w:pPr>
            <w:r>
              <w:rPr>
                <w:color w:val="000000"/>
              </w:rPr>
              <w:t>0</w:t>
            </w:r>
          </w:p>
        </w:tc>
      </w:tr>
      <w:tr w14:paraId="167DD3F6">
        <w:tblPrEx>
          <w:tblCellMar>
            <w:top w:w="0" w:type="dxa"/>
            <w:left w:w="0" w:type="dxa"/>
            <w:bottom w:w="0" w:type="dxa"/>
            <w:right w:w="0" w:type="dxa"/>
          </w:tblCellMar>
        </w:tblPrEx>
        <w:trPr>
          <w:trHeight w:val="573" w:hRule="atLeast"/>
          <w:jc w:val="center"/>
        </w:trPr>
        <w:tc>
          <w:tcPr>
            <w:tcW w:w="8480" w:type="dxa"/>
            <w:gridSpan w:val="4"/>
            <w:tcBorders>
              <w:top w:val="nil"/>
              <w:left w:val="single" w:color="auto" w:sz="8" w:space="0"/>
              <w:bottom w:val="single" w:color="auto" w:sz="8" w:space="0"/>
              <w:right w:val="single" w:color="auto" w:sz="8" w:space="0"/>
            </w:tcBorders>
            <w:noWrap/>
            <w:tcMar>
              <w:left w:w="108" w:type="dxa"/>
              <w:right w:w="108" w:type="dxa"/>
            </w:tcMar>
            <w:vAlign w:val="center"/>
          </w:tcPr>
          <w:p w14:paraId="3AA16A84">
            <w:pPr>
              <w:widowControl/>
              <w:jc w:val="center"/>
              <w:rPr>
                <w:color w:val="000000"/>
              </w:rPr>
            </w:pPr>
            <w:r>
              <w:rPr>
                <w:rFonts w:hint="eastAsia" w:ascii="宋体" w:hAnsi="宋体" w:cs="宋体"/>
                <w:color w:val="000000"/>
                <w:kern w:val="0"/>
                <w:sz w:val="20"/>
                <w:szCs w:val="20"/>
              </w:rPr>
              <w:t>第二十条第（八）项</w:t>
            </w:r>
          </w:p>
        </w:tc>
      </w:tr>
      <w:tr w14:paraId="3CA4C892">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6C38FAA3">
            <w:pPr>
              <w:widowControl/>
              <w:jc w:val="center"/>
              <w:rPr>
                <w:color w:val="000000"/>
              </w:rPr>
            </w:pPr>
            <w:r>
              <w:rPr>
                <w:rFonts w:hint="eastAsia" w:ascii="宋体" w:hAnsi="宋体" w:cs="宋体"/>
                <w:color w:val="000000"/>
                <w:kern w:val="0"/>
                <w:sz w:val="20"/>
                <w:szCs w:val="20"/>
              </w:rPr>
              <w:t>信息内容</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440F103E">
            <w:pPr>
              <w:widowControl/>
              <w:jc w:val="center"/>
              <w:rPr>
                <w:color w:val="000000"/>
              </w:rPr>
            </w:pPr>
            <w:r>
              <w:rPr>
                <w:rFonts w:hint="eastAsia" w:ascii="宋体" w:hAnsi="宋体" w:cs="宋体"/>
                <w:color w:val="000000"/>
                <w:kern w:val="0"/>
                <w:sz w:val="20"/>
                <w:szCs w:val="20"/>
              </w:rPr>
              <w:t>上一年项目数量</w:t>
            </w:r>
          </w:p>
        </w:tc>
        <w:tc>
          <w:tcPr>
            <w:tcW w:w="1693" w:type="dxa"/>
            <w:tcBorders>
              <w:top w:val="single" w:color="auto" w:sz="8" w:space="0"/>
              <w:left w:val="nil"/>
              <w:bottom w:val="single" w:color="auto" w:sz="8" w:space="0"/>
              <w:right w:val="single" w:color="auto" w:sz="4" w:space="0"/>
            </w:tcBorders>
            <w:noWrap/>
            <w:tcMar>
              <w:left w:w="108" w:type="dxa"/>
              <w:right w:w="108" w:type="dxa"/>
            </w:tcMar>
            <w:vAlign w:val="center"/>
          </w:tcPr>
          <w:p w14:paraId="7CE2EA35">
            <w:pPr>
              <w:widowControl/>
              <w:jc w:val="center"/>
              <w:rPr>
                <w:color w:val="000000"/>
              </w:rP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961" w:type="dxa"/>
            <w:tcBorders>
              <w:top w:val="single" w:color="auto" w:sz="8" w:space="0"/>
              <w:left w:val="single" w:color="auto" w:sz="4" w:space="0"/>
              <w:bottom w:val="single" w:color="auto" w:sz="8" w:space="0"/>
              <w:right w:val="single" w:color="000000" w:sz="8" w:space="0"/>
            </w:tcBorders>
            <w:noWrap/>
            <w:tcMar>
              <w:left w:w="108" w:type="dxa"/>
              <w:right w:w="108" w:type="dxa"/>
            </w:tcMar>
            <w:vAlign w:val="center"/>
          </w:tcPr>
          <w:p w14:paraId="2BB04779">
            <w:pPr>
              <w:widowControl/>
              <w:jc w:val="center"/>
              <w:rPr>
                <w:rFonts w:ascii="宋体" w:cs="宋体"/>
                <w:color w:val="000000"/>
                <w:kern w:val="0"/>
                <w:sz w:val="20"/>
                <w:szCs w:val="20"/>
              </w:rPr>
            </w:pPr>
          </w:p>
        </w:tc>
      </w:tr>
      <w:tr w14:paraId="547A4DBC">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19958BA8">
            <w:pPr>
              <w:widowControl/>
              <w:jc w:val="left"/>
              <w:rPr>
                <w:color w:val="000000"/>
              </w:rPr>
            </w:pPr>
            <w:r>
              <w:rPr>
                <w:rFonts w:hint="eastAsia" w:ascii="宋体" w:hAnsi="宋体" w:cs="宋体"/>
                <w:color w:val="000000"/>
                <w:kern w:val="0"/>
                <w:sz w:val="20"/>
                <w:szCs w:val="20"/>
              </w:rPr>
              <w:t>行政事业性收费</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38E4AD99">
            <w:pPr>
              <w:widowControl/>
              <w:jc w:val="center"/>
              <w:rPr>
                <w:color w:val="000000"/>
              </w:rPr>
            </w:pPr>
            <w:r>
              <w:rPr>
                <w:color w:val="000000"/>
              </w:rPr>
              <w:t>0</w:t>
            </w:r>
          </w:p>
        </w:tc>
        <w:tc>
          <w:tcPr>
            <w:tcW w:w="1693" w:type="dxa"/>
            <w:tcBorders>
              <w:top w:val="nil"/>
              <w:left w:val="nil"/>
              <w:bottom w:val="single" w:color="auto" w:sz="8" w:space="0"/>
              <w:right w:val="single" w:color="auto" w:sz="4" w:space="0"/>
            </w:tcBorders>
            <w:noWrap/>
            <w:tcMar>
              <w:left w:w="108" w:type="dxa"/>
              <w:right w:w="108" w:type="dxa"/>
            </w:tcMar>
            <w:vAlign w:val="center"/>
          </w:tcPr>
          <w:p w14:paraId="1F7CA2AE">
            <w:pPr>
              <w:widowControl/>
              <w:jc w:val="center"/>
              <w:rPr>
                <w:color w:val="000000"/>
              </w:rPr>
            </w:pPr>
            <w:r>
              <w:rPr>
                <w:color w:val="000000"/>
              </w:rPr>
              <w:t>0</w:t>
            </w:r>
          </w:p>
        </w:tc>
        <w:tc>
          <w:tcPr>
            <w:tcW w:w="1961" w:type="dxa"/>
            <w:tcBorders>
              <w:top w:val="nil"/>
              <w:left w:val="single" w:color="auto" w:sz="4" w:space="0"/>
              <w:bottom w:val="single" w:color="auto" w:sz="8" w:space="0"/>
              <w:right w:val="single" w:color="000000" w:sz="8" w:space="0"/>
            </w:tcBorders>
            <w:noWrap/>
            <w:tcMar>
              <w:left w:w="108" w:type="dxa"/>
              <w:right w:w="108" w:type="dxa"/>
            </w:tcMar>
            <w:vAlign w:val="center"/>
          </w:tcPr>
          <w:p w14:paraId="20A2AFCD">
            <w:pPr>
              <w:widowControl/>
              <w:jc w:val="center"/>
              <w:rPr>
                <w:color w:val="000000"/>
              </w:rPr>
            </w:pPr>
          </w:p>
        </w:tc>
      </w:tr>
      <w:tr w14:paraId="6EAA2016">
        <w:tblPrEx>
          <w:tblCellMar>
            <w:top w:w="0" w:type="dxa"/>
            <w:left w:w="0" w:type="dxa"/>
            <w:bottom w:w="0" w:type="dxa"/>
            <w:right w:w="0" w:type="dxa"/>
          </w:tblCellMar>
        </w:tblPrEx>
        <w:trPr>
          <w:trHeight w:val="573" w:hRule="atLeast"/>
          <w:jc w:val="center"/>
        </w:trPr>
        <w:tc>
          <w:tcPr>
            <w:tcW w:w="8480" w:type="dxa"/>
            <w:gridSpan w:val="4"/>
            <w:tcBorders>
              <w:top w:val="nil"/>
              <w:left w:val="single" w:color="auto" w:sz="8" w:space="0"/>
              <w:bottom w:val="single" w:color="auto" w:sz="8" w:space="0"/>
              <w:right w:val="single" w:color="auto" w:sz="8" w:space="0"/>
            </w:tcBorders>
            <w:noWrap/>
            <w:tcMar>
              <w:left w:w="108" w:type="dxa"/>
              <w:right w:w="108" w:type="dxa"/>
            </w:tcMar>
            <w:vAlign w:val="center"/>
          </w:tcPr>
          <w:p w14:paraId="3459C604">
            <w:pPr>
              <w:widowControl/>
              <w:jc w:val="center"/>
              <w:rPr>
                <w:color w:val="000000"/>
              </w:rPr>
            </w:pPr>
            <w:r>
              <w:rPr>
                <w:rFonts w:hint="eastAsia" w:ascii="宋体" w:hAnsi="宋体" w:cs="宋体"/>
                <w:color w:val="000000"/>
                <w:kern w:val="0"/>
                <w:sz w:val="20"/>
                <w:szCs w:val="20"/>
              </w:rPr>
              <w:t>第二十条第（九）项</w:t>
            </w:r>
          </w:p>
        </w:tc>
      </w:tr>
      <w:tr w14:paraId="65AC9713">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3430DDB8">
            <w:pPr>
              <w:widowControl/>
              <w:jc w:val="center"/>
              <w:rPr>
                <w:color w:val="000000"/>
              </w:rPr>
            </w:pPr>
            <w:r>
              <w:rPr>
                <w:rFonts w:hint="eastAsia" w:ascii="宋体" w:hAnsi="宋体" w:cs="宋体"/>
                <w:color w:val="000000"/>
                <w:kern w:val="0"/>
                <w:sz w:val="20"/>
                <w:szCs w:val="20"/>
              </w:rPr>
              <w:t>信息内容</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019E5D1D">
            <w:pPr>
              <w:widowControl/>
              <w:jc w:val="center"/>
              <w:rPr>
                <w:color w:val="000000"/>
              </w:rPr>
            </w:pPr>
            <w:r>
              <w:rPr>
                <w:rFonts w:hint="eastAsia" w:ascii="宋体" w:hAnsi="宋体" w:cs="宋体"/>
                <w:color w:val="000000"/>
                <w:kern w:val="0"/>
                <w:sz w:val="20"/>
                <w:szCs w:val="20"/>
              </w:rPr>
              <w:t>采购项目数量</w:t>
            </w:r>
          </w:p>
        </w:tc>
        <w:tc>
          <w:tcPr>
            <w:tcW w:w="1693" w:type="dxa"/>
            <w:tcBorders>
              <w:top w:val="single" w:color="auto" w:sz="8" w:space="0"/>
              <w:left w:val="nil"/>
              <w:bottom w:val="single" w:color="auto" w:sz="8" w:space="0"/>
              <w:right w:val="single" w:color="auto" w:sz="4" w:space="0"/>
            </w:tcBorders>
            <w:noWrap/>
            <w:tcMar>
              <w:left w:w="108" w:type="dxa"/>
              <w:right w:w="108" w:type="dxa"/>
            </w:tcMar>
            <w:vAlign w:val="center"/>
          </w:tcPr>
          <w:p w14:paraId="283331B6">
            <w:pPr>
              <w:widowControl/>
              <w:jc w:val="center"/>
              <w:rPr>
                <w:color w:val="000000"/>
              </w:rPr>
            </w:pPr>
            <w:r>
              <w:rPr>
                <w:rFonts w:hint="eastAsia" w:ascii="宋体" w:hAnsi="宋体" w:cs="宋体"/>
                <w:color w:val="000000"/>
                <w:kern w:val="0"/>
                <w:sz w:val="20"/>
                <w:szCs w:val="20"/>
              </w:rPr>
              <w:t>采购总金额</w:t>
            </w:r>
          </w:p>
        </w:tc>
        <w:tc>
          <w:tcPr>
            <w:tcW w:w="1961" w:type="dxa"/>
            <w:tcBorders>
              <w:top w:val="single" w:color="auto" w:sz="8" w:space="0"/>
              <w:left w:val="single" w:color="auto" w:sz="4" w:space="0"/>
              <w:bottom w:val="single" w:color="auto" w:sz="8" w:space="0"/>
              <w:right w:val="single" w:color="000000" w:sz="8" w:space="0"/>
            </w:tcBorders>
            <w:noWrap/>
            <w:tcMar>
              <w:left w:w="108" w:type="dxa"/>
              <w:right w:w="108" w:type="dxa"/>
            </w:tcMar>
            <w:vAlign w:val="center"/>
          </w:tcPr>
          <w:p w14:paraId="1EFA832F">
            <w:pPr>
              <w:widowControl/>
              <w:jc w:val="center"/>
              <w:rPr>
                <w:rFonts w:ascii="宋体" w:cs="宋体"/>
                <w:color w:val="000000"/>
                <w:kern w:val="0"/>
                <w:sz w:val="20"/>
                <w:szCs w:val="20"/>
              </w:rPr>
            </w:pPr>
          </w:p>
        </w:tc>
      </w:tr>
      <w:tr w14:paraId="0637389E">
        <w:tblPrEx>
          <w:tblCellMar>
            <w:top w:w="0" w:type="dxa"/>
            <w:left w:w="0" w:type="dxa"/>
            <w:bottom w:w="0" w:type="dxa"/>
            <w:right w:w="0" w:type="dxa"/>
          </w:tblCellMar>
        </w:tblPrEx>
        <w:trPr>
          <w:trHeight w:val="573" w:hRule="atLeast"/>
          <w:jc w:val="center"/>
        </w:trPr>
        <w:tc>
          <w:tcPr>
            <w:tcW w:w="2779" w:type="dxa"/>
            <w:tcBorders>
              <w:top w:val="nil"/>
              <w:left w:val="single" w:color="auto" w:sz="8" w:space="0"/>
              <w:bottom w:val="single" w:color="auto" w:sz="8" w:space="0"/>
              <w:right w:val="single" w:color="auto" w:sz="8" w:space="0"/>
            </w:tcBorders>
            <w:noWrap/>
            <w:tcMar>
              <w:left w:w="108" w:type="dxa"/>
              <w:right w:w="108" w:type="dxa"/>
            </w:tcMar>
            <w:vAlign w:val="center"/>
          </w:tcPr>
          <w:p w14:paraId="7060AFE0">
            <w:pPr>
              <w:widowControl/>
              <w:jc w:val="left"/>
              <w:rPr>
                <w:color w:val="000000"/>
              </w:rPr>
            </w:pPr>
            <w:r>
              <w:rPr>
                <w:rFonts w:hint="eastAsia" w:ascii="宋体" w:hAnsi="宋体" w:cs="宋体"/>
                <w:color w:val="000000"/>
                <w:kern w:val="0"/>
                <w:sz w:val="20"/>
                <w:szCs w:val="20"/>
              </w:rPr>
              <w:t>政府集中采购</w:t>
            </w:r>
          </w:p>
        </w:tc>
        <w:tc>
          <w:tcPr>
            <w:tcW w:w="2047" w:type="dxa"/>
            <w:tcBorders>
              <w:top w:val="nil"/>
              <w:left w:val="nil"/>
              <w:bottom w:val="single" w:color="auto" w:sz="8" w:space="0"/>
              <w:right w:val="single" w:color="auto" w:sz="8" w:space="0"/>
            </w:tcBorders>
            <w:noWrap/>
            <w:tcMar>
              <w:left w:w="108" w:type="dxa"/>
              <w:right w:w="108" w:type="dxa"/>
            </w:tcMar>
            <w:vAlign w:val="center"/>
          </w:tcPr>
          <w:p w14:paraId="1DFE13FC">
            <w:pPr>
              <w:widowControl/>
              <w:jc w:val="center"/>
              <w:rPr>
                <w:color w:val="000000"/>
              </w:rPr>
            </w:pPr>
            <w:r>
              <w:rPr>
                <w:color w:val="000000"/>
              </w:rPr>
              <w:t>1</w:t>
            </w:r>
          </w:p>
        </w:tc>
        <w:tc>
          <w:tcPr>
            <w:tcW w:w="1693" w:type="dxa"/>
            <w:tcBorders>
              <w:top w:val="nil"/>
              <w:left w:val="nil"/>
              <w:bottom w:val="single" w:color="auto" w:sz="8" w:space="0"/>
              <w:right w:val="single" w:color="auto" w:sz="4" w:space="0"/>
            </w:tcBorders>
            <w:noWrap/>
            <w:tcMar>
              <w:left w:w="108" w:type="dxa"/>
              <w:right w:w="108" w:type="dxa"/>
            </w:tcMar>
            <w:vAlign w:val="center"/>
          </w:tcPr>
          <w:p w14:paraId="5297157A">
            <w:pPr>
              <w:widowControl/>
              <w:jc w:val="center"/>
              <w:rPr>
                <w:rFonts w:ascii="宋体"/>
                <w:color w:val="000000"/>
                <w:sz w:val="24"/>
              </w:rPr>
            </w:pPr>
            <w:r>
              <w:rPr>
                <w:rFonts w:ascii="宋体"/>
                <w:color w:val="000000"/>
                <w:sz w:val="24"/>
              </w:rPr>
              <w:t>2600</w:t>
            </w:r>
            <w:r>
              <w:rPr>
                <w:rFonts w:hint="eastAsia" w:ascii="宋体"/>
                <w:color w:val="000000"/>
                <w:sz w:val="24"/>
              </w:rPr>
              <w:t>元</w:t>
            </w:r>
          </w:p>
        </w:tc>
        <w:tc>
          <w:tcPr>
            <w:tcW w:w="1961" w:type="dxa"/>
            <w:tcBorders>
              <w:top w:val="nil"/>
              <w:left w:val="single" w:color="auto" w:sz="4" w:space="0"/>
              <w:bottom w:val="single" w:color="auto" w:sz="8" w:space="0"/>
              <w:right w:val="single" w:color="000000" w:sz="8" w:space="0"/>
            </w:tcBorders>
            <w:noWrap/>
            <w:tcMar>
              <w:left w:w="108" w:type="dxa"/>
              <w:right w:w="108" w:type="dxa"/>
            </w:tcMar>
            <w:vAlign w:val="center"/>
          </w:tcPr>
          <w:p w14:paraId="1EE43473">
            <w:pPr>
              <w:widowControl/>
              <w:jc w:val="center"/>
              <w:rPr>
                <w:rFonts w:ascii="宋体"/>
                <w:color w:val="000000"/>
                <w:sz w:val="24"/>
              </w:rPr>
            </w:pPr>
          </w:p>
        </w:tc>
      </w:tr>
    </w:tbl>
    <w:p w14:paraId="76506C6D">
      <w:pPr>
        <w:pStyle w:val="2"/>
        <w:widowControl/>
        <w:shd w:val="clear" w:color="auto" w:fill="FFFFFF"/>
        <w:spacing w:beforeAutospacing="0" w:afterAutospacing="0"/>
        <w:ind w:firstLine="420"/>
        <w:jc w:val="both"/>
        <w:rPr>
          <w:rFonts w:ascii="宋体" w:cs="宋体"/>
          <w:color w:val="000000"/>
        </w:rPr>
      </w:pPr>
    </w:p>
    <w:p w14:paraId="46E50550">
      <w:pPr>
        <w:rPr>
          <w:b/>
          <w:color w:val="000000"/>
          <w:sz w:val="24"/>
        </w:rPr>
      </w:pPr>
      <w:r>
        <w:rPr>
          <w:color w:val="000000"/>
          <w:sz w:val="24"/>
          <w:shd w:val="clear" w:color="auto" w:fill="FFFFFF"/>
        </w:rPr>
        <w:br w:type="page"/>
      </w:r>
      <w:r>
        <w:rPr>
          <w:rFonts w:hint="eastAsia"/>
          <w:b/>
          <w:color w:val="000000"/>
          <w:sz w:val="24"/>
          <w:shd w:val="clear" w:color="auto" w:fill="FFFFFF"/>
        </w:rPr>
        <w:t>三、收到和处理政府信息公开申请情况</w:t>
      </w:r>
    </w:p>
    <w:tbl>
      <w:tblPr>
        <w:tblStyle w:val="3"/>
        <w:tblW w:w="940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16"/>
        <w:gridCol w:w="854"/>
        <w:gridCol w:w="2346"/>
        <w:gridCol w:w="813"/>
        <w:gridCol w:w="755"/>
        <w:gridCol w:w="830"/>
        <w:gridCol w:w="885"/>
        <w:gridCol w:w="901"/>
        <w:gridCol w:w="711"/>
        <w:gridCol w:w="695"/>
      </w:tblGrid>
      <w:tr w14:paraId="60CFE6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816" w:type="dxa"/>
            <w:gridSpan w:val="3"/>
            <w:vMerge w:val="restart"/>
            <w:tcBorders>
              <w:top w:val="single" w:color="auto" w:sz="8" w:space="0"/>
              <w:left w:val="single" w:color="auto" w:sz="8" w:space="0"/>
              <w:bottom w:val="single" w:color="auto" w:sz="8" w:space="0"/>
              <w:right w:val="single" w:color="auto" w:sz="8" w:space="0"/>
            </w:tcBorders>
            <w:tcMar>
              <w:left w:w="57" w:type="dxa"/>
              <w:right w:w="57" w:type="dxa"/>
            </w:tcMar>
            <w:vAlign w:val="center"/>
          </w:tcPr>
          <w:p w14:paraId="5615FD9D">
            <w:pPr>
              <w:widowControl/>
              <w:jc w:val="center"/>
              <w:rPr>
                <w:rFonts w:ascii="宋体" w:cs="宋体"/>
                <w:color w:val="000000"/>
              </w:rPr>
            </w:pPr>
            <w:r>
              <w:rPr>
                <w:rFonts w:hint="eastAsia" w:ascii="宋体" w:hAnsi="宋体" w:cs="宋体"/>
                <w:color w:val="000000"/>
                <w:kern w:val="0"/>
                <w:sz w:val="20"/>
                <w:szCs w:val="20"/>
              </w:rPr>
              <w:t>（本列数据的勾稽关系为：第一项加第二项之和，等于第三项加第四项之和）</w:t>
            </w:r>
          </w:p>
        </w:tc>
        <w:tc>
          <w:tcPr>
            <w:tcW w:w="5590" w:type="dxa"/>
            <w:gridSpan w:val="7"/>
            <w:tcBorders>
              <w:top w:val="single" w:color="auto" w:sz="8" w:space="0"/>
              <w:left w:val="nil"/>
              <w:bottom w:val="single" w:color="auto" w:sz="8" w:space="0"/>
              <w:right w:val="single" w:color="auto" w:sz="8" w:space="0"/>
            </w:tcBorders>
            <w:tcMar>
              <w:left w:w="57" w:type="dxa"/>
              <w:right w:w="57" w:type="dxa"/>
            </w:tcMar>
            <w:vAlign w:val="center"/>
          </w:tcPr>
          <w:p w14:paraId="711AFBD0">
            <w:pPr>
              <w:widowControl/>
              <w:jc w:val="center"/>
              <w:rPr>
                <w:rFonts w:ascii="宋体" w:cs="宋体"/>
                <w:color w:val="000000"/>
              </w:rPr>
            </w:pPr>
            <w:r>
              <w:rPr>
                <w:rFonts w:hint="eastAsia" w:ascii="宋体" w:hAnsi="宋体" w:cs="宋体"/>
                <w:color w:val="000000"/>
                <w:kern w:val="0"/>
                <w:sz w:val="20"/>
                <w:szCs w:val="20"/>
              </w:rPr>
              <w:t>申请人情况</w:t>
            </w:r>
          </w:p>
        </w:tc>
      </w:tr>
      <w:tr w14:paraId="0C6D67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816" w:type="dxa"/>
            <w:gridSpan w:val="3"/>
            <w:vMerge w:val="continue"/>
            <w:tcBorders>
              <w:top w:val="single" w:color="auto" w:sz="8" w:space="0"/>
              <w:left w:val="single" w:color="auto" w:sz="8" w:space="0"/>
              <w:bottom w:val="single" w:color="auto" w:sz="8" w:space="0"/>
              <w:right w:val="single" w:color="auto" w:sz="8" w:space="0"/>
            </w:tcBorders>
            <w:tcMar>
              <w:left w:w="57" w:type="dxa"/>
              <w:right w:w="57" w:type="dxa"/>
            </w:tcMar>
            <w:vAlign w:val="center"/>
          </w:tcPr>
          <w:p w14:paraId="7A609A25">
            <w:pPr>
              <w:widowControl/>
              <w:rPr>
                <w:rFonts w:ascii="宋体" w:cs="宋体"/>
                <w:color w:val="000000"/>
                <w:sz w:val="24"/>
              </w:rPr>
            </w:pPr>
          </w:p>
        </w:tc>
        <w:tc>
          <w:tcPr>
            <w:tcW w:w="813" w:type="dxa"/>
            <w:vMerge w:val="restart"/>
            <w:tcBorders>
              <w:top w:val="nil"/>
              <w:left w:val="nil"/>
              <w:bottom w:val="single" w:color="auto" w:sz="8" w:space="0"/>
              <w:right w:val="single" w:color="auto" w:sz="8" w:space="0"/>
            </w:tcBorders>
            <w:tcMar>
              <w:left w:w="57" w:type="dxa"/>
              <w:right w:w="57" w:type="dxa"/>
            </w:tcMar>
            <w:vAlign w:val="center"/>
          </w:tcPr>
          <w:p w14:paraId="12C0CEA2">
            <w:pPr>
              <w:widowControl/>
              <w:jc w:val="center"/>
              <w:rPr>
                <w:rFonts w:ascii="宋体" w:cs="宋体"/>
                <w:color w:val="000000"/>
              </w:rPr>
            </w:pPr>
            <w:r>
              <w:rPr>
                <w:rFonts w:hint="eastAsia" w:ascii="宋体" w:hAnsi="宋体" w:cs="宋体"/>
                <w:color w:val="000000"/>
                <w:kern w:val="0"/>
                <w:sz w:val="20"/>
                <w:szCs w:val="20"/>
              </w:rPr>
              <w:t>自然人</w:t>
            </w:r>
          </w:p>
        </w:tc>
        <w:tc>
          <w:tcPr>
            <w:tcW w:w="4082" w:type="dxa"/>
            <w:gridSpan w:val="5"/>
            <w:tcBorders>
              <w:top w:val="single" w:color="auto" w:sz="8" w:space="0"/>
              <w:left w:val="nil"/>
              <w:bottom w:val="single" w:color="auto" w:sz="8" w:space="0"/>
              <w:right w:val="single" w:color="auto" w:sz="8" w:space="0"/>
            </w:tcBorders>
            <w:tcMar>
              <w:left w:w="57" w:type="dxa"/>
              <w:right w:w="57" w:type="dxa"/>
            </w:tcMar>
            <w:vAlign w:val="center"/>
          </w:tcPr>
          <w:p w14:paraId="796693D0">
            <w:pPr>
              <w:widowControl/>
              <w:jc w:val="center"/>
              <w:rPr>
                <w:rFonts w:ascii="宋体" w:cs="宋体"/>
                <w:color w:val="000000"/>
              </w:rPr>
            </w:pPr>
            <w:r>
              <w:rPr>
                <w:rFonts w:hint="eastAsia" w:ascii="宋体" w:hAnsi="宋体" w:cs="宋体"/>
                <w:color w:val="000000"/>
                <w:kern w:val="0"/>
                <w:sz w:val="20"/>
                <w:szCs w:val="20"/>
              </w:rPr>
              <w:t>法人或其他组织</w:t>
            </w:r>
          </w:p>
        </w:tc>
        <w:tc>
          <w:tcPr>
            <w:tcW w:w="695" w:type="dxa"/>
            <w:vMerge w:val="restart"/>
            <w:tcBorders>
              <w:top w:val="single" w:color="auto" w:sz="8" w:space="0"/>
              <w:left w:val="nil"/>
              <w:right w:val="single" w:color="auto" w:sz="8" w:space="0"/>
            </w:tcBorders>
            <w:tcMar>
              <w:left w:w="57" w:type="dxa"/>
              <w:right w:w="57" w:type="dxa"/>
            </w:tcMar>
            <w:vAlign w:val="center"/>
          </w:tcPr>
          <w:p w14:paraId="21B50E1D">
            <w:pPr>
              <w:widowControl/>
              <w:jc w:val="center"/>
              <w:rPr>
                <w:rFonts w:ascii="宋体" w:cs="宋体"/>
                <w:color w:val="000000"/>
              </w:rPr>
            </w:pPr>
            <w:r>
              <w:rPr>
                <w:rFonts w:hint="eastAsia" w:ascii="宋体" w:hAnsi="宋体" w:cs="宋体"/>
                <w:color w:val="000000"/>
                <w:kern w:val="0"/>
                <w:sz w:val="20"/>
                <w:szCs w:val="20"/>
              </w:rPr>
              <w:t>总计</w:t>
            </w:r>
          </w:p>
        </w:tc>
      </w:tr>
      <w:tr w14:paraId="1CE744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816" w:type="dxa"/>
            <w:gridSpan w:val="3"/>
            <w:vMerge w:val="continue"/>
            <w:tcBorders>
              <w:top w:val="single" w:color="auto" w:sz="8" w:space="0"/>
              <w:left w:val="single" w:color="auto" w:sz="8" w:space="0"/>
              <w:bottom w:val="single" w:color="auto" w:sz="8" w:space="0"/>
              <w:right w:val="single" w:color="auto" w:sz="8" w:space="0"/>
            </w:tcBorders>
            <w:tcMar>
              <w:left w:w="57" w:type="dxa"/>
              <w:right w:w="57" w:type="dxa"/>
            </w:tcMar>
            <w:vAlign w:val="center"/>
          </w:tcPr>
          <w:p w14:paraId="6B69830A">
            <w:pPr>
              <w:widowControl/>
              <w:rPr>
                <w:rFonts w:ascii="宋体" w:cs="宋体"/>
                <w:color w:val="000000"/>
                <w:sz w:val="24"/>
              </w:rPr>
            </w:pPr>
          </w:p>
        </w:tc>
        <w:tc>
          <w:tcPr>
            <w:tcW w:w="813" w:type="dxa"/>
            <w:vMerge w:val="continue"/>
            <w:tcBorders>
              <w:top w:val="nil"/>
              <w:left w:val="nil"/>
              <w:bottom w:val="single" w:color="auto" w:sz="8" w:space="0"/>
              <w:right w:val="single" w:color="auto" w:sz="8" w:space="0"/>
            </w:tcBorders>
            <w:tcMar>
              <w:left w:w="57" w:type="dxa"/>
              <w:right w:w="57" w:type="dxa"/>
            </w:tcMar>
            <w:vAlign w:val="center"/>
          </w:tcPr>
          <w:p w14:paraId="32F1D1D4">
            <w:pPr>
              <w:widowControl/>
              <w:rPr>
                <w:rFonts w:ascii="宋体" w:cs="宋体"/>
                <w:color w:val="000000"/>
                <w:sz w:val="24"/>
              </w:rPr>
            </w:pPr>
          </w:p>
        </w:tc>
        <w:tc>
          <w:tcPr>
            <w:tcW w:w="755" w:type="dxa"/>
            <w:tcBorders>
              <w:top w:val="nil"/>
              <w:left w:val="nil"/>
              <w:bottom w:val="single" w:color="auto" w:sz="8" w:space="0"/>
              <w:right w:val="single" w:color="auto" w:sz="8" w:space="0"/>
            </w:tcBorders>
            <w:tcMar>
              <w:left w:w="57" w:type="dxa"/>
              <w:right w:w="57" w:type="dxa"/>
            </w:tcMar>
            <w:vAlign w:val="center"/>
          </w:tcPr>
          <w:p w14:paraId="4AFBA4DE">
            <w:pPr>
              <w:widowControl/>
              <w:jc w:val="center"/>
              <w:rPr>
                <w:rFonts w:ascii="宋体" w:cs="宋体"/>
                <w:color w:val="000000"/>
                <w:kern w:val="0"/>
                <w:sz w:val="20"/>
                <w:szCs w:val="20"/>
              </w:rPr>
            </w:pPr>
            <w:r>
              <w:rPr>
                <w:rFonts w:hint="eastAsia" w:ascii="宋体" w:hAnsi="宋体" w:cs="宋体"/>
                <w:color w:val="000000"/>
                <w:kern w:val="0"/>
                <w:sz w:val="20"/>
                <w:szCs w:val="20"/>
              </w:rPr>
              <w:t>商业</w:t>
            </w:r>
          </w:p>
          <w:p w14:paraId="1E778FA8">
            <w:pPr>
              <w:widowControl/>
              <w:jc w:val="center"/>
              <w:rPr>
                <w:rFonts w:ascii="宋体" w:cs="宋体"/>
                <w:color w:val="000000"/>
              </w:rPr>
            </w:pPr>
            <w:r>
              <w:rPr>
                <w:rFonts w:hint="eastAsia" w:ascii="宋体" w:hAnsi="宋体" w:cs="宋体"/>
                <w:color w:val="000000"/>
                <w:kern w:val="0"/>
                <w:sz w:val="20"/>
                <w:szCs w:val="20"/>
              </w:rPr>
              <w:t>企业</w:t>
            </w:r>
          </w:p>
        </w:tc>
        <w:tc>
          <w:tcPr>
            <w:tcW w:w="830" w:type="dxa"/>
            <w:tcBorders>
              <w:top w:val="nil"/>
              <w:left w:val="nil"/>
              <w:bottom w:val="single" w:color="auto" w:sz="8" w:space="0"/>
              <w:right w:val="single" w:color="auto" w:sz="8" w:space="0"/>
            </w:tcBorders>
            <w:tcMar>
              <w:left w:w="57" w:type="dxa"/>
              <w:right w:w="57" w:type="dxa"/>
            </w:tcMar>
            <w:vAlign w:val="center"/>
          </w:tcPr>
          <w:p w14:paraId="47424DC2">
            <w:pPr>
              <w:widowControl/>
              <w:jc w:val="center"/>
              <w:rPr>
                <w:rFonts w:ascii="宋体" w:cs="宋体"/>
                <w:color w:val="000000"/>
                <w:kern w:val="0"/>
                <w:sz w:val="20"/>
                <w:szCs w:val="20"/>
              </w:rPr>
            </w:pPr>
            <w:r>
              <w:rPr>
                <w:rFonts w:hint="eastAsia" w:ascii="宋体" w:hAnsi="宋体" w:cs="宋体"/>
                <w:color w:val="000000"/>
                <w:kern w:val="0"/>
                <w:sz w:val="20"/>
                <w:szCs w:val="20"/>
              </w:rPr>
              <w:t>科研</w:t>
            </w:r>
          </w:p>
          <w:p w14:paraId="3CDE63D5">
            <w:pPr>
              <w:widowControl/>
              <w:jc w:val="center"/>
              <w:rPr>
                <w:rFonts w:ascii="宋体" w:cs="宋体"/>
                <w:color w:val="000000"/>
              </w:rPr>
            </w:pPr>
            <w:r>
              <w:rPr>
                <w:rFonts w:hint="eastAsia" w:ascii="宋体" w:hAnsi="宋体" w:cs="宋体"/>
                <w:color w:val="000000"/>
                <w:kern w:val="0"/>
                <w:sz w:val="20"/>
                <w:szCs w:val="20"/>
              </w:rPr>
              <w:t>机构</w:t>
            </w:r>
          </w:p>
        </w:tc>
        <w:tc>
          <w:tcPr>
            <w:tcW w:w="885" w:type="dxa"/>
            <w:tcBorders>
              <w:top w:val="single" w:color="auto" w:sz="8" w:space="0"/>
              <w:left w:val="nil"/>
              <w:bottom w:val="single" w:color="auto" w:sz="8" w:space="0"/>
              <w:right w:val="single" w:color="auto" w:sz="8" w:space="0"/>
            </w:tcBorders>
            <w:tcMar>
              <w:left w:w="57" w:type="dxa"/>
              <w:right w:w="57" w:type="dxa"/>
            </w:tcMar>
            <w:vAlign w:val="center"/>
          </w:tcPr>
          <w:p w14:paraId="6F4A0D0B">
            <w:pPr>
              <w:widowControl/>
              <w:jc w:val="center"/>
              <w:rPr>
                <w:rFonts w:ascii="宋体" w:cs="宋体"/>
                <w:color w:val="000000"/>
              </w:rPr>
            </w:pPr>
            <w:r>
              <w:rPr>
                <w:rFonts w:hint="eastAsia" w:ascii="宋体" w:hAnsi="宋体" w:cs="宋体"/>
                <w:color w:val="000000"/>
                <w:kern w:val="0"/>
                <w:sz w:val="20"/>
                <w:szCs w:val="20"/>
              </w:rPr>
              <w:t>社会公益组织</w:t>
            </w:r>
          </w:p>
        </w:tc>
        <w:tc>
          <w:tcPr>
            <w:tcW w:w="901" w:type="dxa"/>
            <w:tcBorders>
              <w:top w:val="single" w:color="auto" w:sz="8" w:space="0"/>
              <w:left w:val="nil"/>
              <w:bottom w:val="single" w:color="auto" w:sz="8" w:space="0"/>
              <w:right w:val="single" w:color="auto" w:sz="8" w:space="0"/>
            </w:tcBorders>
            <w:tcMar>
              <w:left w:w="57" w:type="dxa"/>
              <w:right w:w="57" w:type="dxa"/>
            </w:tcMar>
            <w:vAlign w:val="center"/>
          </w:tcPr>
          <w:p w14:paraId="71E3DC41">
            <w:pPr>
              <w:widowControl/>
              <w:jc w:val="center"/>
              <w:rPr>
                <w:rFonts w:ascii="宋体" w:cs="宋体"/>
                <w:color w:val="000000"/>
              </w:rPr>
            </w:pPr>
            <w:r>
              <w:rPr>
                <w:rFonts w:hint="eastAsia" w:ascii="宋体" w:hAnsi="宋体" w:cs="宋体"/>
                <w:color w:val="000000"/>
                <w:kern w:val="0"/>
                <w:sz w:val="20"/>
                <w:szCs w:val="20"/>
              </w:rPr>
              <w:t>法律服务机构</w:t>
            </w:r>
          </w:p>
        </w:tc>
        <w:tc>
          <w:tcPr>
            <w:tcW w:w="711" w:type="dxa"/>
            <w:tcBorders>
              <w:top w:val="single" w:color="auto" w:sz="8" w:space="0"/>
              <w:left w:val="nil"/>
              <w:bottom w:val="single" w:color="auto" w:sz="8" w:space="0"/>
              <w:right w:val="single" w:color="auto" w:sz="8" w:space="0"/>
            </w:tcBorders>
            <w:tcMar>
              <w:left w:w="57" w:type="dxa"/>
              <w:right w:w="57" w:type="dxa"/>
            </w:tcMar>
            <w:vAlign w:val="center"/>
          </w:tcPr>
          <w:p w14:paraId="2A6AF096">
            <w:pPr>
              <w:widowControl/>
              <w:jc w:val="center"/>
              <w:rPr>
                <w:rFonts w:ascii="宋体" w:cs="宋体"/>
                <w:color w:val="000000"/>
              </w:rPr>
            </w:pPr>
            <w:r>
              <w:rPr>
                <w:rFonts w:hint="eastAsia" w:ascii="宋体" w:hAnsi="宋体" w:cs="宋体"/>
                <w:color w:val="000000"/>
                <w:kern w:val="0"/>
                <w:sz w:val="20"/>
                <w:szCs w:val="20"/>
              </w:rPr>
              <w:t>其他</w:t>
            </w:r>
          </w:p>
        </w:tc>
        <w:tc>
          <w:tcPr>
            <w:tcW w:w="695" w:type="dxa"/>
            <w:vMerge w:val="continue"/>
            <w:tcBorders>
              <w:left w:val="nil"/>
              <w:right w:val="single" w:color="auto" w:sz="8" w:space="0"/>
            </w:tcBorders>
            <w:tcMar>
              <w:left w:w="57" w:type="dxa"/>
              <w:right w:w="57" w:type="dxa"/>
            </w:tcMar>
            <w:vAlign w:val="center"/>
          </w:tcPr>
          <w:p w14:paraId="255E0DCE">
            <w:pPr>
              <w:widowControl/>
              <w:rPr>
                <w:rFonts w:ascii="宋体" w:cs="宋体"/>
                <w:color w:val="000000"/>
                <w:sz w:val="24"/>
              </w:rPr>
            </w:pPr>
          </w:p>
        </w:tc>
      </w:tr>
      <w:tr w14:paraId="731790B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2" w:hRule="atLeast"/>
          <w:jc w:val="center"/>
        </w:trPr>
        <w:tc>
          <w:tcPr>
            <w:tcW w:w="3816" w:type="dxa"/>
            <w:gridSpan w:val="3"/>
            <w:tcBorders>
              <w:top w:val="nil"/>
              <w:left w:val="single" w:color="auto" w:sz="8" w:space="0"/>
              <w:bottom w:val="single" w:color="auto" w:sz="8" w:space="0"/>
              <w:right w:val="single" w:color="auto" w:sz="8" w:space="0"/>
            </w:tcBorders>
            <w:tcMar>
              <w:left w:w="57" w:type="dxa"/>
              <w:right w:w="57" w:type="dxa"/>
            </w:tcMar>
            <w:vAlign w:val="center"/>
          </w:tcPr>
          <w:p w14:paraId="52FEAF60">
            <w:pPr>
              <w:widowControl/>
              <w:jc w:val="left"/>
              <w:rPr>
                <w:rFonts w:ascii="宋体" w:cs="宋体"/>
                <w:color w:val="000000"/>
              </w:rPr>
            </w:pPr>
            <w:r>
              <w:rPr>
                <w:rFonts w:hint="eastAsia" w:ascii="宋体" w:hAnsi="宋体" w:cs="宋体"/>
                <w:color w:val="000000"/>
                <w:kern w:val="0"/>
                <w:sz w:val="20"/>
                <w:szCs w:val="20"/>
              </w:rPr>
              <w:t>一、本年新收政府信息公开申请数量</w:t>
            </w:r>
          </w:p>
        </w:tc>
        <w:tc>
          <w:tcPr>
            <w:tcW w:w="813" w:type="dxa"/>
            <w:tcBorders>
              <w:top w:val="nil"/>
              <w:left w:val="nil"/>
              <w:bottom w:val="single" w:color="auto" w:sz="8" w:space="0"/>
              <w:right w:val="single" w:color="auto" w:sz="8" w:space="0"/>
            </w:tcBorders>
            <w:tcMar>
              <w:left w:w="57" w:type="dxa"/>
              <w:right w:w="57" w:type="dxa"/>
            </w:tcMar>
            <w:vAlign w:val="center"/>
          </w:tcPr>
          <w:p w14:paraId="29FBFFCE">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600EFE4B">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498B833D">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6D44A996">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6015F7AC">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4D859527">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17176BCD">
            <w:pPr>
              <w:widowControl/>
              <w:jc w:val="center"/>
              <w:rPr>
                <w:rFonts w:ascii="宋体" w:cs="宋体"/>
                <w:color w:val="000000"/>
              </w:rPr>
            </w:pPr>
            <w:r>
              <w:rPr>
                <w:rFonts w:hint="eastAsia" w:ascii="宋体" w:hAnsi="宋体" w:cs="宋体"/>
                <w:color w:val="000000"/>
                <w:kern w:val="0"/>
                <w:sz w:val="20"/>
                <w:szCs w:val="20"/>
              </w:rPr>
              <w:t>无</w:t>
            </w:r>
            <w:r>
              <w:rPr>
                <w:rFonts w:ascii="宋体" w:cs="宋体"/>
                <w:color w:val="000000"/>
                <w:kern w:val="0"/>
                <w:sz w:val="20"/>
                <w:szCs w:val="20"/>
              </w:rPr>
              <w:t> </w:t>
            </w:r>
          </w:p>
        </w:tc>
      </w:tr>
      <w:tr w14:paraId="79F87D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77" w:hRule="atLeast"/>
          <w:jc w:val="center"/>
        </w:trPr>
        <w:tc>
          <w:tcPr>
            <w:tcW w:w="3816" w:type="dxa"/>
            <w:gridSpan w:val="3"/>
            <w:tcBorders>
              <w:top w:val="nil"/>
              <w:left w:val="single" w:color="auto" w:sz="8" w:space="0"/>
              <w:bottom w:val="single" w:color="auto" w:sz="8" w:space="0"/>
              <w:right w:val="single" w:color="auto" w:sz="8" w:space="0"/>
            </w:tcBorders>
            <w:tcMar>
              <w:left w:w="57" w:type="dxa"/>
              <w:right w:w="57" w:type="dxa"/>
            </w:tcMar>
            <w:vAlign w:val="center"/>
          </w:tcPr>
          <w:p w14:paraId="14C4CF51">
            <w:pPr>
              <w:widowControl/>
              <w:jc w:val="left"/>
              <w:rPr>
                <w:rFonts w:ascii="宋体" w:cs="宋体"/>
                <w:color w:val="000000"/>
              </w:rPr>
            </w:pPr>
            <w:r>
              <w:rPr>
                <w:rFonts w:hint="eastAsia" w:ascii="宋体" w:hAnsi="宋体" w:cs="宋体"/>
                <w:color w:val="000000"/>
                <w:kern w:val="0"/>
                <w:sz w:val="20"/>
                <w:szCs w:val="20"/>
              </w:rPr>
              <w:t>二、上年结转政府信息公开申请数量</w:t>
            </w:r>
          </w:p>
        </w:tc>
        <w:tc>
          <w:tcPr>
            <w:tcW w:w="813" w:type="dxa"/>
            <w:tcBorders>
              <w:top w:val="nil"/>
              <w:left w:val="nil"/>
              <w:bottom w:val="single" w:color="auto" w:sz="8" w:space="0"/>
              <w:right w:val="single" w:color="auto" w:sz="8" w:space="0"/>
            </w:tcBorders>
            <w:tcMar>
              <w:left w:w="57" w:type="dxa"/>
              <w:right w:w="57" w:type="dxa"/>
            </w:tcMar>
            <w:vAlign w:val="center"/>
          </w:tcPr>
          <w:p w14:paraId="52C72527">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6487DC38">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40FA280E">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7A2EF730">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7DF7679F">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52D0946A">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492AA42A">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546CFA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2" w:hRule="atLeast"/>
          <w:jc w:val="center"/>
        </w:trPr>
        <w:tc>
          <w:tcPr>
            <w:tcW w:w="616" w:type="dxa"/>
            <w:vMerge w:val="restart"/>
            <w:tcBorders>
              <w:top w:val="nil"/>
              <w:left w:val="single" w:color="auto" w:sz="8" w:space="0"/>
              <w:bottom w:val="single" w:color="auto" w:sz="8" w:space="0"/>
              <w:right w:val="single" w:color="auto" w:sz="8" w:space="0"/>
            </w:tcBorders>
            <w:tcMar>
              <w:left w:w="57" w:type="dxa"/>
              <w:right w:w="57" w:type="dxa"/>
            </w:tcMar>
            <w:vAlign w:val="center"/>
          </w:tcPr>
          <w:p w14:paraId="3E5C7026">
            <w:pPr>
              <w:widowControl/>
              <w:jc w:val="center"/>
              <w:rPr>
                <w:rFonts w:ascii="宋体" w:cs="宋体"/>
                <w:color w:val="000000"/>
              </w:rPr>
            </w:pPr>
            <w:r>
              <w:rPr>
                <w:rFonts w:hint="eastAsia" w:ascii="宋体" w:hAnsi="宋体" w:cs="宋体"/>
                <w:color w:val="000000"/>
                <w:kern w:val="0"/>
                <w:sz w:val="20"/>
                <w:szCs w:val="20"/>
              </w:rPr>
              <w:t>三、本年度办理结果</w:t>
            </w:r>
          </w:p>
        </w:tc>
        <w:tc>
          <w:tcPr>
            <w:tcW w:w="3200" w:type="dxa"/>
            <w:gridSpan w:val="2"/>
            <w:tcBorders>
              <w:top w:val="nil"/>
              <w:left w:val="nil"/>
              <w:bottom w:val="single" w:color="auto" w:sz="8" w:space="0"/>
              <w:right w:val="single" w:color="auto" w:sz="8" w:space="0"/>
            </w:tcBorders>
            <w:tcMar>
              <w:left w:w="57" w:type="dxa"/>
              <w:right w:w="57" w:type="dxa"/>
            </w:tcMar>
            <w:vAlign w:val="center"/>
          </w:tcPr>
          <w:p w14:paraId="22020A7F">
            <w:pPr>
              <w:widowControl/>
              <w:jc w:val="left"/>
              <w:rPr>
                <w:rFonts w:ascii="宋体" w:cs="宋体"/>
                <w:color w:val="000000"/>
              </w:rPr>
            </w:pPr>
            <w:r>
              <w:rPr>
                <w:rFonts w:hint="eastAsia" w:ascii="宋体" w:hAnsi="宋体" w:cs="宋体"/>
                <w:color w:val="000000"/>
                <w:kern w:val="0"/>
                <w:sz w:val="20"/>
                <w:szCs w:val="20"/>
              </w:rPr>
              <w:t>（一）予以公开</w:t>
            </w:r>
          </w:p>
        </w:tc>
        <w:tc>
          <w:tcPr>
            <w:tcW w:w="813" w:type="dxa"/>
            <w:tcBorders>
              <w:top w:val="nil"/>
              <w:left w:val="nil"/>
              <w:bottom w:val="single" w:color="auto" w:sz="8" w:space="0"/>
              <w:right w:val="single" w:color="auto" w:sz="8" w:space="0"/>
            </w:tcBorders>
            <w:tcMar>
              <w:left w:w="57" w:type="dxa"/>
              <w:right w:w="57" w:type="dxa"/>
            </w:tcMar>
            <w:vAlign w:val="center"/>
          </w:tcPr>
          <w:p w14:paraId="22771DB8">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3A0A09F8">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0FADBFEC">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35CAC970">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753FFB18">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5E7EED22">
            <w:pPr>
              <w:widowControl/>
              <w:jc w:val="center"/>
              <w:rPr>
                <w:rFonts w:ascii="宋体" w:cs="宋体"/>
                <w:color w:val="000000"/>
              </w:rPr>
            </w:pPr>
          </w:p>
        </w:tc>
        <w:tc>
          <w:tcPr>
            <w:tcW w:w="695" w:type="dxa"/>
            <w:tcBorders>
              <w:top w:val="single" w:color="auto" w:sz="8" w:space="0"/>
              <w:left w:val="nil"/>
              <w:bottom w:val="single" w:color="auto" w:sz="8" w:space="0"/>
              <w:right w:val="single" w:color="auto" w:sz="8" w:space="0"/>
            </w:tcBorders>
            <w:tcMar>
              <w:left w:w="57" w:type="dxa"/>
              <w:right w:w="57" w:type="dxa"/>
            </w:tcMar>
            <w:vAlign w:val="center"/>
          </w:tcPr>
          <w:p w14:paraId="7E103164">
            <w:pPr>
              <w:widowControl/>
              <w:jc w:val="center"/>
              <w:rPr>
                <w:rFonts w:ascii="宋体" w:cs="宋体"/>
                <w:color w:val="000000"/>
              </w:rPr>
            </w:pPr>
            <w:r>
              <w:rPr>
                <w:rFonts w:hint="eastAsia" w:ascii="宋体" w:hAnsi="宋体" w:cs="宋体"/>
                <w:color w:val="000000"/>
                <w:kern w:val="0"/>
                <w:sz w:val="20"/>
                <w:szCs w:val="20"/>
              </w:rPr>
              <w:t>无</w:t>
            </w:r>
            <w:r>
              <w:rPr>
                <w:rFonts w:ascii="宋体" w:cs="宋体"/>
                <w:color w:val="000000"/>
                <w:kern w:val="0"/>
                <w:sz w:val="20"/>
                <w:szCs w:val="20"/>
              </w:rPr>
              <w:t> </w:t>
            </w:r>
          </w:p>
        </w:tc>
      </w:tr>
      <w:tr w14:paraId="20A2FF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65EA743D">
            <w:pPr>
              <w:widowControl/>
              <w:rPr>
                <w:rFonts w:ascii="宋体" w:cs="宋体"/>
                <w:color w:val="000000"/>
                <w:sz w:val="24"/>
              </w:rPr>
            </w:pPr>
          </w:p>
        </w:tc>
        <w:tc>
          <w:tcPr>
            <w:tcW w:w="3200" w:type="dxa"/>
            <w:gridSpan w:val="2"/>
            <w:tcBorders>
              <w:top w:val="nil"/>
              <w:left w:val="nil"/>
              <w:bottom w:val="single" w:color="auto" w:sz="8" w:space="0"/>
              <w:right w:val="single" w:color="auto" w:sz="8" w:space="0"/>
            </w:tcBorders>
            <w:tcMar>
              <w:left w:w="57" w:type="dxa"/>
              <w:right w:w="57" w:type="dxa"/>
            </w:tcMar>
            <w:vAlign w:val="center"/>
          </w:tcPr>
          <w:p w14:paraId="67EBB022">
            <w:pPr>
              <w:widowControl/>
              <w:jc w:val="left"/>
              <w:rPr>
                <w:rFonts w:ascii="宋体" w:cs="宋体"/>
                <w:color w:val="000000"/>
              </w:rPr>
            </w:pPr>
            <w:r>
              <w:rPr>
                <w:rFonts w:hint="eastAsia" w:ascii="宋体" w:hAnsi="宋体" w:cs="宋体"/>
                <w:color w:val="000000"/>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left w:w="57" w:type="dxa"/>
              <w:right w:w="57" w:type="dxa"/>
            </w:tcMar>
            <w:vAlign w:val="center"/>
          </w:tcPr>
          <w:p w14:paraId="2703B0FD">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1DE9E74E">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73FC6055">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0E4FBADC">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1EBA5D26">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327DED2E">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7A50BF8D">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45A9A1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6C5E7B64">
            <w:pPr>
              <w:widowControl/>
              <w:rPr>
                <w:rFonts w:ascii="宋体" w:cs="宋体"/>
                <w:color w:val="000000"/>
                <w:sz w:val="24"/>
              </w:rPr>
            </w:pPr>
          </w:p>
        </w:tc>
        <w:tc>
          <w:tcPr>
            <w:tcW w:w="854" w:type="dxa"/>
            <w:vMerge w:val="restart"/>
            <w:tcBorders>
              <w:top w:val="nil"/>
              <w:left w:val="nil"/>
              <w:bottom w:val="single" w:color="auto" w:sz="8" w:space="0"/>
              <w:right w:val="single" w:color="auto" w:sz="8" w:space="0"/>
            </w:tcBorders>
            <w:tcMar>
              <w:left w:w="57" w:type="dxa"/>
              <w:right w:w="57" w:type="dxa"/>
            </w:tcMar>
            <w:vAlign w:val="center"/>
          </w:tcPr>
          <w:p w14:paraId="18BFCAD9">
            <w:pPr>
              <w:widowControl/>
              <w:jc w:val="left"/>
              <w:rPr>
                <w:rFonts w:ascii="宋体" w:cs="宋体"/>
                <w:color w:val="000000"/>
              </w:rPr>
            </w:pPr>
            <w:r>
              <w:rPr>
                <w:rFonts w:hint="eastAsia" w:ascii="宋体" w:hAnsi="宋体" w:cs="宋体"/>
                <w:color w:val="000000"/>
                <w:kern w:val="0"/>
                <w:sz w:val="20"/>
                <w:szCs w:val="20"/>
              </w:rPr>
              <w:t>（三）不予公开</w:t>
            </w:r>
          </w:p>
        </w:tc>
        <w:tc>
          <w:tcPr>
            <w:tcW w:w="2346" w:type="dxa"/>
            <w:tcBorders>
              <w:top w:val="nil"/>
              <w:left w:val="nil"/>
              <w:bottom w:val="single" w:color="auto" w:sz="8" w:space="0"/>
              <w:right w:val="single" w:color="auto" w:sz="8" w:space="0"/>
            </w:tcBorders>
            <w:tcMar>
              <w:left w:w="57" w:type="dxa"/>
              <w:right w:w="57" w:type="dxa"/>
            </w:tcMar>
            <w:vAlign w:val="center"/>
          </w:tcPr>
          <w:p w14:paraId="1809B7EA">
            <w:pPr>
              <w:widowControl/>
              <w:jc w:val="left"/>
              <w:rPr>
                <w:rFonts w:ascii="宋体" w:cs="宋体"/>
                <w:color w:val="000000"/>
              </w:rPr>
            </w:pPr>
            <w:r>
              <w:rPr>
                <w:rFonts w:ascii="宋体" w:hAnsi="宋体" w:cs="宋体"/>
                <w:color w:val="000000"/>
                <w:kern w:val="0"/>
                <w:sz w:val="20"/>
                <w:szCs w:val="20"/>
              </w:rPr>
              <w:t>1.</w:t>
            </w:r>
            <w:r>
              <w:rPr>
                <w:rFonts w:hint="eastAsia" w:ascii="宋体" w:hAnsi="宋体" w:cs="宋体"/>
                <w:color w:val="000000"/>
                <w:kern w:val="0"/>
                <w:sz w:val="20"/>
                <w:szCs w:val="20"/>
              </w:rPr>
              <w:t>属于国家秘密</w:t>
            </w:r>
          </w:p>
        </w:tc>
        <w:tc>
          <w:tcPr>
            <w:tcW w:w="813" w:type="dxa"/>
            <w:tcBorders>
              <w:top w:val="nil"/>
              <w:left w:val="nil"/>
              <w:bottom w:val="single" w:color="auto" w:sz="8" w:space="0"/>
              <w:right w:val="single" w:color="auto" w:sz="8" w:space="0"/>
            </w:tcBorders>
            <w:tcMar>
              <w:left w:w="57" w:type="dxa"/>
              <w:right w:w="57" w:type="dxa"/>
            </w:tcMar>
            <w:vAlign w:val="center"/>
          </w:tcPr>
          <w:p w14:paraId="65B59B47">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6F019D36">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32BF139F">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16C57941">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50B8A14C">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78E5EAF1">
            <w:pPr>
              <w:widowControl/>
              <w:jc w:val="center"/>
              <w:rPr>
                <w:rFonts w:ascii="宋体" w:cs="宋体"/>
                <w:color w:val="000000"/>
              </w:rPr>
            </w:pPr>
          </w:p>
        </w:tc>
        <w:tc>
          <w:tcPr>
            <w:tcW w:w="695" w:type="dxa"/>
            <w:tcBorders>
              <w:top w:val="single" w:color="auto" w:sz="8" w:space="0"/>
              <w:left w:val="nil"/>
              <w:bottom w:val="single" w:color="auto" w:sz="8" w:space="0"/>
              <w:right w:val="single" w:color="auto" w:sz="8" w:space="0"/>
            </w:tcBorders>
            <w:tcMar>
              <w:left w:w="57" w:type="dxa"/>
              <w:right w:w="57" w:type="dxa"/>
            </w:tcMar>
            <w:vAlign w:val="center"/>
          </w:tcPr>
          <w:p w14:paraId="1C0988B4">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748F09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7F3113A9">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57BDE27F">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48DD6828">
            <w:pPr>
              <w:widowControl/>
              <w:jc w:val="left"/>
              <w:rPr>
                <w:rFonts w:ascii="宋体" w:cs="宋体"/>
                <w:color w:val="000000"/>
              </w:rPr>
            </w:pPr>
            <w:r>
              <w:rPr>
                <w:rFonts w:ascii="宋体" w:hAnsi="宋体" w:cs="宋体"/>
                <w:color w:val="000000"/>
                <w:kern w:val="0"/>
                <w:sz w:val="20"/>
                <w:szCs w:val="20"/>
              </w:rPr>
              <w:t>2.</w:t>
            </w:r>
            <w:r>
              <w:rPr>
                <w:rFonts w:hint="eastAsia" w:ascii="宋体" w:hAnsi="宋体" w:cs="宋体"/>
                <w:color w:val="000000"/>
                <w:kern w:val="0"/>
                <w:sz w:val="20"/>
                <w:szCs w:val="20"/>
              </w:rPr>
              <w:t>其他法律行政法规禁止公开</w:t>
            </w:r>
          </w:p>
        </w:tc>
        <w:tc>
          <w:tcPr>
            <w:tcW w:w="813" w:type="dxa"/>
            <w:tcBorders>
              <w:top w:val="nil"/>
              <w:left w:val="nil"/>
              <w:bottom w:val="single" w:color="auto" w:sz="8" w:space="0"/>
              <w:right w:val="single" w:color="auto" w:sz="8" w:space="0"/>
            </w:tcBorders>
            <w:tcMar>
              <w:left w:w="57" w:type="dxa"/>
              <w:right w:w="57" w:type="dxa"/>
            </w:tcMar>
            <w:vAlign w:val="center"/>
          </w:tcPr>
          <w:p w14:paraId="6E4A200D">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3236DA0D">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52C564EA">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1E0C1B54">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638870E1">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0837A3EE">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690A1E1B">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6CED66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07B774F3">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4B4EC7B8">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5684225D">
            <w:pPr>
              <w:widowControl/>
              <w:jc w:val="left"/>
              <w:rPr>
                <w:rFonts w:ascii="宋体" w:cs="宋体"/>
                <w:color w:val="000000"/>
              </w:rPr>
            </w:pPr>
            <w:r>
              <w:rPr>
                <w:rFonts w:ascii="宋体" w:hAnsi="宋体" w:cs="宋体"/>
                <w:color w:val="000000"/>
                <w:kern w:val="0"/>
                <w:sz w:val="20"/>
                <w:szCs w:val="20"/>
              </w:rPr>
              <w:t>3.</w:t>
            </w:r>
            <w:r>
              <w:rPr>
                <w:rFonts w:hint="eastAsia" w:ascii="宋体" w:hAnsi="宋体" w:cs="宋体"/>
                <w:color w:val="000000"/>
                <w:kern w:val="0"/>
                <w:sz w:val="20"/>
                <w:szCs w:val="20"/>
              </w:rPr>
              <w:t>危及“三安全一稳定”</w:t>
            </w:r>
          </w:p>
        </w:tc>
        <w:tc>
          <w:tcPr>
            <w:tcW w:w="813" w:type="dxa"/>
            <w:tcBorders>
              <w:top w:val="nil"/>
              <w:left w:val="nil"/>
              <w:bottom w:val="single" w:color="auto" w:sz="8" w:space="0"/>
              <w:right w:val="single" w:color="auto" w:sz="8" w:space="0"/>
            </w:tcBorders>
            <w:tcMar>
              <w:left w:w="57" w:type="dxa"/>
              <w:right w:w="57" w:type="dxa"/>
            </w:tcMar>
            <w:vAlign w:val="center"/>
          </w:tcPr>
          <w:p w14:paraId="75AADEC2">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2A48D60D">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76ADABFB">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151B3444">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28ED808F">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7FE71E81">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5A240E10">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5E1FE9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5F955C04">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6C2E743B">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0AD440ED">
            <w:pPr>
              <w:widowControl/>
              <w:jc w:val="left"/>
              <w:rPr>
                <w:rFonts w:ascii="宋体" w:cs="宋体"/>
                <w:color w:val="000000"/>
              </w:rPr>
            </w:pPr>
            <w:r>
              <w:rPr>
                <w:rFonts w:ascii="宋体" w:hAnsi="宋体" w:cs="宋体"/>
                <w:color w:val="000000"/>
                <w:kern w:val="0"/>
                <w:sz w:val="20"/>
                <w:szCs w:val="20"/>
              </w:rPr>
              <w:t>4.</w:t>
            </w:r>
            <w:r>
              <w:rPr>
                <w:rFonts w:hint="eastAsia" w:ascii="宋体" w:hAnsi="宋体" w:cs="宋体"/>
                <w:color w:val="000000"/>
                <w:kern w:val="0"/>
                <w:sz w:val="20"/>
                <w:szCs w:val="20"/>
              </w:rPr>
              <w:t>保护第三方合法权益</w:t>
            </w:r>
          </w:p>
        </w:tc>
        <w:tc>
          <w:tcPr>
            <w:tcW w:w="813" w:type="dxa"/>
            <w:tcBorders>
              <w:top w:val="nil"/>
              <w:left w:val="nil"/>
              <w:bottom w:val="single" w:color="auto" w:sz="8" w:space="0"/>
              <w:right w:val="single" w:color="auto" w:sz="8" w:space="0"/>
            </w:tcBorders>
            <w:tcMar>
              <w:left w:w="57" w:type="dxa"/>
              <w:right w:w="57" w:type="dxa"/>
            </w:tcMar>
            <w:vAlign w:val="center"/>
          </w:tcPr>
          <w:p w14:paraId="6F8A61BF">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05DF2740">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21A601AF">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0E9A65F6">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7B6573CF">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06126A1E">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07586CB8">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018F11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1F429872">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5C5E7496">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6D80CD68">
            <w:pPr>
              <w:widowControl/>
              <w:jc w:val="left"/>
              <w:rPr>
                <w:rFonts w:ascii="宋体" w:cs="宋体"/>
                <w:color w:val="000000"/>
              </w:rPr>
            </w:pPr>
            <w:r>
              <w:rPr>
                <w:rFonts w:ascii="宋体" w:hAnsi="宋体" w:cs="宋体"/>
                <w:color w:val="000000"/>
                <w:kern w:val="0"/>
                <w:sz w:val="20"/>
                <w:szCs w:val="20"/>
              </w:rPr>
              <w:t>5.</w:t>
            </w:r>
            <w:r>
              <w:rPr>
                <w:rFonts w:hint="eastAsia" w:ascii="宋体" w:hAnsi="宋体" w:cs="宋体"/>
                <w:color w:val="000000"/>
                <w:kern w:val="0"/>
                <w:sz w:val="20"/>
                <w:szCs w:val="20"/>
              </w:rPr>
              <w:t>属于三类内部事务信息</w:t>
            </w:r>
          </w:p>
        </w:tc>
        <w:tc>
          <w:tcPr>
            <w:tcW w:w="813" w:type="dxa"/>
            <w:tcBorders>
              <w:top w:val="nil"/>
              <w:left w:val="nil"/>
              <w:bottom w:val="single" w:color="auto" w:sz="8" w:space="0"/>
              <w:right w:val="single" w:color="auto" w:sz="8" w:space="0"/>
            </w:tcBorders>
            <w:tcMar>
              <w:left w:w="57" w:type="dxa"/>
              <w:right w:w="57" w:type="dxa"/>
            </w:tcMar>
            <w:vAlign w:val="center"/>
          </w:tcPr>
          <w:p w14:paraId="436BAC47">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0D14CA5B">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3AD2E9E2">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3D55814E">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0890DF6D">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6C9F8828">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22867F40">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2390A99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78300907">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18B76A8A">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6B59AB8F">
            <w:pPr>
              <w:widowControl/>
              <w:jc w:val="left"/>
              <w:rPr>
                <w:rFonts w:ascii="宋体" w:cs="宋体"/>
                <w:color w:val="000000"/>
              </w:rPr>
            </w:pPr>
            <w:r>
              <w:rPr>
                <w:rFonts w:ascii="宋体" w:hAnsi="宋体" w:cs="宋体"/>
                <w:color w:val="000000"/>
                <w:kern w:val="0"/>
                <w:sz w:val="20"/>
                <w:szCs w:val="20"/>
              </w:rPr>
              <w:t>6.</w:t>
            </w:r>
            <w:r>
              <w:rPr>
                <w:rFonts w:hint="eastAsia" w:ascii="宋体" w:hAnsi="宋体" w:cs="宋体"/>
                <w:color w:val="000000"/>
                <w:kern w:val="0"/>
                <w:sz w:val="20"/>
                <w:szCs w:val="20"/>
              </w:rPr>
              <w:t>属于四类过程性信息</w:t>
            </w:r>
          </w:p>
        </w:tc>
        <w:tc>
          <w:tcPr>
            <w:tcW w:w="813" w:type="dxa"/>
            <w:tcBorders>
              <w:top w:val="nil"/>
              <w:left w:val="nil"/>
              <w:bottom w:val="single" w:color="auto" w:sz="8" w:space="0"/>
              <w:right w:val="single" w:color="auto" w:sz="8" w:space="0"/>
            </w:tcBorders>
            <w:tcMar>
              <w:left w:w="57" w:type="dxa"/>
              <w:right w:w="57" w:type="dxa"/>
            </w:tcMar>
            <w:vAlign w:val="center"/>
          </w:tcPr>
          <w:p w14:paraId="0C7B60DF">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24C59377">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027327F0">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102DCDE9">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5CE8B726">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2EA2C61B">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371281A3">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2D5800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23CA1089">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716FC1FA">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30F3E8FF">
            <w:pPr>
              <w:widowControl/>
              <w:jc w:val="left"/>
              <w:rPr>
                <w:rFonts w:ascii="宋体" w:cs="宋体"/>
                <w:color w:val="000000"/>
              </w:rPr>
            </w:pPr>
            <w:r>
              <w:rPr>
                <w:rFonts w:ascii="宋体" w:hAnsi="宋体" w:cs="宋体"/>
                <w:color w:val="000000"/>
                <w:kern w:val="0"/>
                <w:sz w:val="20"/>
                <w:szCs w:val="20"/>
              </w:rPr>
              <w:t>7.</w:t>
            </w:r>
            <w:r>
              <w:rPr>
                <w:rFonts w:hint="eastAsia" w:ascii="宋体" w:hAnsi="宋体" w:cs="宋体"/>
                <w:color w:val="000000"/>
                <w:kern w:val="0"/>
                <w:sz w:val="20"/>
                <w:szCs w:val="20"/>
              </w:rPr>
              <w:t>属于行政执法案卷</w:t>
            </w:r>
          </w:p>
        </w:tc>
        <w:tc>
          <w:tcPr>
            <w:tcW w:w="813" w:type="dxa"/>
            <w:tcBorders>
              <w:top w:val="nil"/>
              <w:left w:val="nil"/>
              <w:bottom w:val="single" w:color="auto" w:sz="8" w:space="0"/>
              <w:right w:val="single" w:color="auto" w:sz="8" w:space="0"/>
            </w:tcBorders>
            <w:tcMar>
              <w:left w:w="57" w:type="dxa"/>
              <w:right w:w="57" w:type="dxa"/>
            </w:tcMar>
            <w:vAlign w:val="center"/>
          </w:tcPr>
          <w:p w14:paraId="10279E56">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10B3F7CC">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7C2582B7">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56DB9A5A">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18B232DE">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68F793FF">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0A2EA888">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02E0AD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7C01A859">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6D581B3A">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505124EC">
            <w:pPr>
              <w:widowControl/>
              <w:jc w:val="left"/>
              <w:rPr>
                <w:rFonts w:ascii="宋体" w:cs="宋体"/>
                <w:color w:val="000000"/>
              </w:rPr>
            </w:pPr>
            <w:r>
              <w:rPr>
                <w:rFonts w:ascii="宋体" w:hAnsi="宋体" w:cs="宋体"/>
                <w:color w:val="000000"/>
                <w:kern w:val="0"/>
                <w:sz w:val="20"/>
                <w:szCs w:val="20"/>
              </w:rPr>
              <w:t>8.</w:t>
            </w:r>
            <w:r>
              <w:rPr>
                <w:rFonts w:hint="eastAsia" w:ascii="宋体" w:hAnsi="宋体" w:cs="宋体"/>
                <w:color w:val="000000"/>
                <w:kern w:val="0"/>
                <w:sz w:val="20"/>
                <w:szCs w:val="20"/>
              </w:rPr>
              <w:t>属于行政查询事项</w:t>
            </w:r>
          </w:p>
        </w:tc>
        <w:tc>
          <w:tcPr>
            <w:tcW w:w="813" w:type="dxa"/>
            <w:tcBorders>
              <w:top w:val="nil"/>
              <w:left w:val="nil"/>
              <w:bottom w:val="single" w:color="auto" w:sz="8" w:space="0"/>
              <w:right w:val="single" w:color="auto" w:sz="8" w:space="0"/>
            </w:tcBorders>
            <w:tcMar>
              <w:left w:w="57" w:type="dxa"/>
              <w:right w:w="57" w:type="dxa"/>
            </w:tcMar>
            <w:vAlign w:val="center"/>
          </w:tcPr>
          <w:p w14:paraId="50B48D32">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70C38800">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23922132">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4960449A">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76D7B75B">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514A9E82">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1ACED013">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5B880D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38605DCF">
            <w:pPr>
              <w:widowControl/>
              <w:rPr>
                <w:rFonts w:ascii="宋体" w:cs="宋体"/>
                <w:color w:val="000000"/>
                <w:sz w:val="24"/>
              </w:rPr>
            </w:pPr>
          </w:p>
        </w:tc>
        <w:tc>
          <w:tcPr>
            <w:tcW w:w="854" w:type="dxa"/>
            <w:vMerge w:val="restart"/>
            <w:tcBorders>
              <w:top w:val="nil"/>
              <w:left w:val="nil"/>
              <w:bottom w:val="single" w:color="auto" w:sz="8" w:space="0"/>
              <w:right w:val="single" w:color="auto" w:sz="8" w:space="0"/>
            </w:tcBorders>
            <w:tcMar>
              <w:left w:w="57" w:type="dxa"/>
              <w:right w:w="57" w:type="dxa"/>
            </w:tcMar>
            <w:vAlign w:val="center"/>
          </w:tcPr>
          <w:p w14:paraId="53068279">
            <w:pPr>
              <w:widowControl/>
              <w:jc w:val="left"/>
              <w:rPr>
                <w:rFonts w:ascii="宋体" w:cs="宋体"/>
                <w:color w:val="000000"/>
              </w:rPr>
            </w:pPr>
            <w:r>
              <w:rPr>
                <w:rFonts w:hint="eastAsia" w:ascii="宋体" w:hAnsi="宋体" w:cs="宋体"/>
                <w:color w:val="000000"/>
                <w:kern w:val="0"/>
                <w:sz w:val="20"/>
                <w:szCs w:val="20"/>
              </w:rPr>
              <w:t>（四）无法提供</w:t>
            </w:r>
          </w:p>
        </w:tc>
        <w:tc>
          <w:tcPr>
            <w:tcW w:w="2346" w:type="dxa"/>
            <w:tcBorders>
              <w:top w:val="nil"/>
              <w:left w:val="nil"/>
              <w:bottom w:val="single" w:color="auto" w:sz="8" w:space="0"/>
              <w:right w:val="single" w:color="auto" w:sz="8" w:space="0"/>
            </w:tcBorders>
            <w:tcMar>
              <w:left w:w="57" w:type="dxa"/>
              <w:right w:w="57" w:type="dxa"/>
            </w:tcMar>
            <w:vAlign w:val="center"/>
          </w:tcPr>
          <w:p w14:paraId="0356A9D1">
            <w:pPr>
              <w:widowControl/>
              <w:jc w:val="left"/>
              <w:rPr>
                <w:rFonts w:ascii="宋体" w:cs="宋体"/>
                <w:color w:val="000000"/>
              </w:rPr>
            </w:pPr>
            <w:r>
              <w:rPr>
                <w:rFonts w:ascii="宋体" w:hAnsi="宋体" w:cs="宋体"/>
                <w:color w:val="000000"/>
                <w:kern w:val="0"/>
                <w:sz w:val="20"/>
                <w:szCs w:val="20"/>
              </w:rPr>
              <w:t>1.</w:t>
            </w:r>
            <w:r>
              <w:rPr>
                <w:rFonts w:hint="eastAsia" w:ascii="宋体" w:hAnsi="宋体" w:cs="宋体"/>
                <w:color w:val="000000"/>
                <w:kern w:val="0"/>
                <w:sz w:val="20"/>
                <w:szCs w:val="20"/>
              </w:rPr>
              <w:t>本机关不掌握相关政府信息</w:t>
            </w:r>
          </w:p>
        </w:tc>
        <w:tc>
          <w:tcPr>
            <w:tcW w:w="813" w:type="dxa"/>
            <w:tcBorders>
              <w:top w:val="nil"/>
              <w:left w:val="nil"/>
              <w:bottom w:val="single" w:color="auto" w:sz="8" w:space="0"/>
              <w:right w:val="single" w:color="auto" w:sz="8" w:space="0"/>
            </w:tcBorders>
            <w:tcMar>
              <w:left w:w="57" w:type="dxa"/>
              <w:right w:w="57" w:type="dxa"/>
            </w:tcMar>
            <w:vAlign w:val="center"/>
          </w:tcPr>
          <w:p w14:paraId="244F7472">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7C833C4A">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44217408">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1FC5BA81">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4D700CC8">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7B807CA1">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1168B1FB">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118BFE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41BA28EA">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44FB3913">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00C543EA">
            <w:pPr>
              <w:widowControl/>
              <w:jc w:val="left"/>
              <w:rPr>
                <w:rFonts w:ascii="宋体" w:cs="宋体"/>
                <w:color w:val="000000"/>
              </w:rPr>
            </w:pPr>
            <w:r>
              <w:rPr>
                <w:rFonts w:ascii="宋体" w:hAnsi="宋体" w:cs="宋体"/>
                <w:color w:val="000000"/>
                <w:kern w:val="0"/>
                <w:sz w:val="20"/>
                <w:szCs w:val="20"/>
              </w:rPr>
              <w:t>2.</w:t>
            </w:r>
            <w:r>
              <w:rPr>
                <w:rFonts w:hint="eastAsia" w:ascii="宋体" w:hAnsi="宋体" w:cs="宋体"/>
                <w:color w:val="000000"/>
                <w:kern w:val="0"/>
                <w:sz w:val="20"/>
                <w:szCs w:val="20"/>
              </w:rPr>
              <w:t>没有现成信息需要另行制作</w:t>
            </w:r>
          </w:p>
        </w:tc>
        <w:tc>
          <w:tcPr>
            <w:tcW w:w="813" w:type="dxa"/>
            <w:tcBorders>
              <w:top w:val="nil"/>
              <w:left w:val="nil"/>
              <w:bottom w:val="single" w:color="auto" w:sz="8" w:space="0"/>
              <w:right w:val="single" w:color="auto" w:sz="8" w:space="0"/>
            </w:tcBorders>
            <w:tcMar>
              <w:left w:w="57" w:type="dxa"/>
              <w:right w:w="57" w:type="dxa"/>
            </w:tcMar>
            <w:vAlign w:val="center"/>
          </w:tcPr>
          <w:p w14:paraId="64E68F65">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798AC6AA">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665BA3D1">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61C7BCBB">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2CBCBDD7">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27C2C20D">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3CCA620D">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00FBCB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79E25FAE">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64898049">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4369154D">
            <w:pPr>
              <w:widowControl/>
              <w:jc w:val="left"/>
              <w:rPr>
                <w:rFonts w:ascii="宋体" w:cs="宋体"/>
                <w:color w:val="000000"/>
              </w:rPr>
            </w:pPr>
            <w:r>
              <w:rPr>
                <w:rFonts w:ascii="宋体" w:hAnsi="宋体" w:cs="宋体"/>
                <w:color w:val="000000"/>
                <w:kern w:val="0"/>
                <w:sz w:val="20"/>
                <w:szCs w:val="20"/>
              </w:rPr>
              <w:t>3.</w:t>
            </w:r>
            <w:r>
              <w:rPr>
                <w:rFonts w:hint="eastAsia" w:ascii="宋体" w:hAnsi="宋体" w:cs="宋体"/>
                <w:color w:val="000000"/>
                <w:kern w:val="0"/>
                <w:sz w:val="20"/>
                <w:szCs w:val="20"/>
              </w:rPr>
              <w:t>补正后申请内容仍不明确</w:t>
            </w:r>
          </w:p>
        </w:tc>
        <w:tc>
          <w:tcPr>
            <w:tcW w:w="813" w:type="dxa"/>
            <w:tcBorders>
              <w:top w:val="nil"/>
              <w:left w:val="nil"/>
              <w:bottom w:val="single" w:color="auto" w:sz="8" w:space="0"/>
              <w:right w:val="single" w:color="auto" w:sz="8" w:space="0"/>
            </w:tcBorders>
            <w:tcMar>
              <w:left w:w="57" w:type="dxa"/>
              <w:right w:w="57" w:type="dxa"/>
            </w:tcMar>
            <w:vAlign w:val="center"/>
          </w:tcPr>
          <w:p w14:paraId="32F292EE">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42694287">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135D481E">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0892FFDC">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1A72AEB3">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14CA747F">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5CF43A60">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32BAE3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77D241B1">
            <w:pPr>
              <w:widowControl/>
              <w:rPr>
                <w:rFonts w:ascii="宋体" w:cs="宋体"/>
                <w:color w:val="000000"/>
                <w:sz w:val="24"/>
              </w:rPr>
            </w:pPr>
          </w:p>
        </w:tc>
        <w:tc>
          <w:tcPr>
            <w:tcW w:w="854" w:type="dxa"/>
            <w:vMerge w:val="restart"/>
            <w:tcBorders>
              <w:top w:val="nil"/>
              <w:left w:val="nil"/>
              <w:bottom w:val="single" w:color="auto" w:sz="8" w:space="0"/>
              <w:right w:val="single" w:color="auto" w:sz="8" w:space="0"/>
            </w:tcBorders>
            <w:tcMar>
              <w:left w:w="57" w:type="dxa"/>
              <w:right w:w="57" w:type="dxa"/>
            </w:tcMar>
            <w:vAlign w:val="center"/>
          </w:tcPr>
          <w:p w14:paraId="3BA0942E">
            <w:pPr>
              <w:widowControl/>
              <w:jc w:val="left"/>
              <w:rPr>
                <w:rFonts w:ascii="宋体" w:cs="宋体"/>
                <w:color w:val="000000"/>
              </w:rPr>
            </w:pPr>
            <w:r>
              <w:rPr>
                <w:rFonts w:hint="eastAsia" w:ascii="宋体" w:hAnsi="宋体" w:cs="宋体"/>
                <w:color w:val="000000"/>
                <w:kern w:val="0"/>
                <w:sz w:val="20"/>
                <w:szCs w:val="20"/>
              </w:rPr>
              <w:t>（五）不予处理</w:t>
            </w:r>
          </w:p>
        </w:tc>
        <w:tc>
          <w:tcPr>
            <w:tcW w:w="2346" w:type="dxa"/>
            <w:tcBorders>
              <w:top w:val="nil"/>
              <w:left w:val="nil"/>
              <w:bottom w:val="single" w:color="auto" w:sz="8" w:space="0"/>
              <w:right w:val="single" w:color="auto" w:sz="8" w:space="0"/>
            </w:tcBorders>
            <w:tcMar>
              <w:left w:w="57" w:type="dxa"/>
              <w:right w:w="57" w:type="dxa"/>
            </w:tcMar>
            <w:vAlign w:val="center"/>
          </w:tcPr>
          <w:p w14:paraId="1274B7FA">
            <w:pPr>
              <w:widowControl/>
              <w:jc w:val="left"/>
              <w:rPr>
                <w:rFonts w:ascii="宋体" w:cs="宋体"/>
                <w:color w:val="000000"/>
              </w:rPr>
            </w:pPr>
            <w:r>
              <w:rPr>
                <w:rFonts w:ascii="宋体" w:hAnsi="宋体" w:cs="宋体"/>
                <w:color w:val="000000"/>
                <w:kern w:val="0"/>
                <w:sz w:val="20"/>
                <w:szCs w:val="20"/>
              </w:rPr>
              <w:t>1.</w:t>
            </w:r>
            <w:r>
              <w:rPr>
                <w:rFonts w:hint="eastAsia" w:ascii="宋体" w:hAnsi="宋体" w:cs="宋体"/>
                <w:color w:val="000000"/>
                <w:kern w:val="0"/>
                <w:sz w:val="20"/>
                <w:szCs w:val="20"/>
              </w:rPr>
              <w:t>信访举报投诉类申请</w:t>
            </w:r>
          </w:p>
        </w:tc>
        <w:tc>
          <w:tcPr>
            <w:tcW w:w="813" w:type="dxa"/>
            <w:tcBorders>
              <w:top w:val="nil"/>
              <w:left w:val="nil"/>
              <w:bottom w:val="single" w:color="auto" w:sz="8" w:space="0"/>
              <w:right w:val="single" w:color="auto" w:sz="8" w:space="0"/>
            </w:tcBorders>
            <w:tcMar>
              <w:left w:w="57" w:type="dxa"/>
              <w:right w:w="57" w:type="dxa"/>
            </w:tcMar>
            <w:vAlign w:val="center"/>
          </w:tcPr>
          <w:p w14:paraId="76CBAC22">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74C438A3">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6DB5586D">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58F77E21">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0DF76AA9">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5D72CA46">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2CE181E3">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13F98D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355EC176">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41EF685F">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3B67EE83">
            <w:pPr>
              <w:widowControl/>
              <w:jc w:val="left"/>
              <w:rPr>
                <w:rFonts w:ascii="宋体" w:cs="宋体"/>
                <w:color w:val="000000"/>
              </w:rPr>
            </w:pPr>
            <w:r>
              <w:rPr>
                <w:rFonts w:ascii="宋体" w:hAnsi="宋体" w:cs="宋体"/>
                <w:color w:val="000000"/>
                <w:kern w:val="0"/>
                <w:sz w:val="20"/>
                <w:szCs w:val="20"/>
              </w:rPr>
              <w:t>2.</w:t>
            </w:r>
            <w:r>
              <w:rPr>
                <w:rFonts w:hint="eastAsia" w:ascii="宋体" w:hAnsi="宋体" w:cs="宋体"/>
                <w:color w:val="000000"/>
                <w:kern w:val="0"/>
                <w:sz w:val="20"/>
                <w:szCs w:val="20"/>
              </w:rPr>
              <w:t>重复申请</w:t>
            </w:r>
          </w:p>
        </w:tc>
        <w:tc>
          <w:tcPr>
            <w:tcW w:w="813" w:type="dxa"/>
            <w:tcBorders>
              <w:top w:val="nil"/>
              <w:left w:val="nil"/>
              <w:bottom w:val="single" w:color="auto" w:sz="8" w:space="0"/>
              <w:right w:val="single" w:color="auto" w:sz="8" w:space="0"/>
            </w:tcBorders>
            <w:tcMar>
              <w:left w:w="57" w:type="dxa"/>
              <w:right w:w="57" w:type="dxa"/>
            </w:tcMar>
            <w:vAlign w:val="center"/>
          </w:tcPr>
          <w:p w14:paraId="1AC2AD98">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46E29EEA">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36B6BCBE">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6D667D40">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0840245B">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1AFB3A4A">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4D4B1E8B">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7035B6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7"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7B7ABED8">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6039BA03">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121AF0E7">
            <w:pPr>
              <w:widowControl/>
              <w:jc w:val="left"/>
              <w:rPr>
                <w:rFonts w:ascii="宋体" w:cs="宋体"/>
                <w:color w:val="000000"/>
              </w:rPr>
            </w:pPr>
            <w:r>
              <w:rPr>
                <w:rFonts w:ascii="宋体" w:hAnsi="宋体" w:cs="宋体"/>
                <w:color w:val="000000"/>
                <w:kern w:val="0"/>
                <w:sz w:val="20"/>
                <w:szCs w:val="20"/>
              </w:rPr>
              <w:t>3.</w:t>
            </w:r>
            <w:r>
              <w:rPr>
                <w:rFonts w:hint="eastAsia" w:ascii="宋体" w:hAnsi="宋体" w:cs="宋体"/>
                <w:color w:val="000000"/>
                <w:kern w:val="0"/>
                <w:sz w:val="20"/>
                <w:szCs w:val="20"/>
              </w:rPr>
              <w:t>要求提供公开出版物</w:t>
            </w:r>
          </w:p>
        </w:tc>
        <w:tc>
          <w:tcPr>
            <w:tcW w:w="813" w:type="dxa"/>
            <w:tcBorders>
              <w:top w:val="nil"/>
              <w:left w:val="nil"/>
              <w:bottom w:val="single" w:color="auto" w:sz="8" w:space="0"/>
              <w:right w:val="single" w:color="auto" w:sz="8" w:space="0"/>
            </w:tcBorders>
            <w:tcMar>
              <w:left w:w="57" w:type="dxa"/>
              <w:right w:w="57" w:type="dxa"/>
            </w:tcMar>
            <w:vAlign w:val="center"/>
          </w:tcPr>
          <w:p w14:paraId="366365EE">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750FF79D">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0DB5E083">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7B8DFD98">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678B1900">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018B45D7">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6796A2B0">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6138EE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54AAF2E8">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5E8D0980">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29BD5E9D">
            <w:pPr>
              <w:widowControl/>
              <w:jc w:val="left"/>
              <w:rPr>
                <w:rFonts w:ascii="宋体" w:cs="宋体"/>
                <w:color w:val="000000"/>
              </w:rPr>
            </w:pPr>
            <w:r>
              <w:rPr>
                <w:rFonts w:ascii="宋体" w:hAnsi="宋体" w:cs="宋体"/>
                <w:color w:val="000000"/>
                <w:kern w:val="0"/>
                <w:sz w:val="20"/>
                <w:szCs w:val="20"/>
              </w:rPr>
              <w:t>4.</w:t>
            </w:r>
            <w:r>
              <w:rPr>
                <w:rFonts w:hint="eastAsia" w:ascii="宋体" w:hAnsi="宋体" w:cs="宋体"/>
                <w:color w:val="000000"/>
                <w:kern w:val="0"/>
                <w:sz w:val="20"/>
                <w:szCs w:val="20"/>
              </w:rPr>
              <w:t>无正当理由大量反复申请</w:t>
            </w:r>
          </w:p>
        </w:tc>
        <w:tc>
          <w:tcPr>
            <w:tcW w:w="813" w:type="dxa"/>
            <w:tcBorders>
              <w:top w:val="nil"/>
              <w:left w:val="nil"/>
              <w:bottom w:val="single" w:color="auto" w:sz="8" w:space="0"/>
              <w:right w:val="single" w:color="auto" w:sz="8" w:space="0"/>
            </w:tcBorders>
            <w:tcMar>
              <w:left w:w="57" w:type="dxa"/>
              <w:right w:w="57" w:type="dxa"/>
            </w:tcMar>
            <w:vAlign w:val="center"/>
          </w:tcPr>
          <w:p w14:paraId="71C772DB">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18744C61">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79049764">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358779D8">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0E922C24">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79BAFF20">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7280D159">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785F34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62AF2014">
            <w:pPr>
              <w:widowControl/>
              <w:rPr>
                <w:rFonts w:ascii="宋体" w:cs="宋体"/>
                <w:color w:val="000000"/>
                <w:sz w:val="24"/>
              </w:rPr>
            </w:pPr>
          </w:p>
        </w:tc>
        <w:tc>
          <w:tcPr>
            <w:tcW w:w="854" w:type="dxa"/>
            <w:vMerge w:val="continue"/>
            <w:tcBorders>
              <w:top w:val="nil"/>
              <w:left w:val="nil"/>
              <w:bottom w:val="single" w:color="auto" w:sz="8" w:space="0"/>
              <w:right w:val="single" w:color="auto" w:sz="8" w:space="0"/>
            </w:tcBorders>
            <w:tcMar>
              <w:left w:w="57" w:type="dxa"/>
              <w:right w:w="57" w:type="dxa"/>
            </w:tcMar>
            <w:vAlign w:val="center"/>
          </w:tcPr>
          <w:p w14:paraId="077434B3">
            <w:pPr>
              <w:widowControl/>
              <w:rPr>
                <w:rFonts w:ascii="宋体" w:cs="宋体"/>
                <w:color w:val="000000"/>
                <w:sz w:val="24"/>
              </w:rPr>
            </w:pPr>
          </w:p>
        </w:tc>
        <w:tc>
          <w:tcPr>
            <w:tcW w:w="2346" w:type="dxa"/>
            <w:tcBorders>
              <w:top w:val="nil"/>
              <w:left w:val="nil"/>
              <w:bottom w:val="single" w:color="auto" w:sz="8" w:space="0"/>
              <w:right w:val="single" w:color="auto" w:sz="8" w:space="0"/>
            </w:tcBorders>
            <w:tcMar>
              <w:left w:w="57" w:type="dxa"/>
              <w:right w:w="57" w:type="dxa"/>
            </w:tcMar>
            <w:vAlign w:val="center"/>
          </w:tcPr>
          <w:p w14:paraId="3B6FBF22">
            <w:pPr>
              <w:widowControl/>
              <w:jc w:val="left"/>
              <w:rPr>
                <w:rFonts w:ascii="宋体" w:cs="宋体"/>
                <w:color w:val="000000"/>
              </w:rPr>
            </w:pPr>
            <w:r>
              <w:rPr>
                <w:rFonts w:ascii="宋体" w:hAnsi="宋体" w:cs="宋体"/>
                <w:color w:val="000000"/>
                <w:kern w:val="0"/>
                <w:sz w:val="20"/>
                <w:szCs w:val="20"/>
              </w:rPr>
              <w:t>5.</w:t>
            </w:r>
            <w:r>
              <w:rPr>
                <w:rFonts w:hint="eastAsia" w:ascii="宋体" w:hAnsi="宋体" w:cs="宋体"/>
                <w:color w:val="000000"/>
                <w:kern w:val="0"/>
                <w:sz w:val="20"/>
                <w:szCs w:val="20"/>
              </w:rPr>
              <w:t>要求行政机关确认或重新出具已获取信息</w:t>
            </w:r>
          </w:p>
        </w:tc>
        <w:tc>
          <w:tcPr>
            <w:tcW w:w="813" w:type="dxa"/>
            <w:tcBorders>
              <w:top w:val="nil"/>
              <w:left w:val="nil"/>
              <w:bottom w:val="single" w:color="auto" w:sz="8" w:space="0"/>
              <w:right w:val="single" w:color="auto" w:sz="8" w:space="0"/>
            </w:tcBorders>
            <w:tcMar>
              <w:left w:w="57" w:type="dxa"/>
              <w:right w:w="57" w:type="dxa"/>
            </w:tcMar>
            <w:vAlign w:val="center"/>
          </w:tcPr>
          <w:p w14:paraId="1D140927">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2BD58875">
            <w:pPr>
              <w:widowControl/>
              <w:jc w:val="center"/>
              <w:rPr>
                <w:rFonts w:ascii="宋体" w:cs="宋体"/>
                <w:color w:val="000000"/>
              </w:rPr>
            </w:pPr>
          </w:p>
        </w:tc>
        <w:tc>
          <w:tcPr>
            <w:tcW w:w="830" w:type="dxa"/>
            <w:tcBorders>
              <w:top w:val="nil"/>
              <w:left w:val="nil"/>
              <w:bottom w:val="single" w:color="auto" w:sz="8" w:space="0"/>
              <w:right w:val="single" w:color="auto" w:sz="8" w:space="0"/>
            </w:tcBorders>
            <w:tcMar>
              <w:left w:w="57" w:type="dxa"/>
              <w:right w:w="57" w:type="dxa"/>
            </w:tcMar>
            <w:vAlign w:val="center"/>
          </w:tcPr>
          <w:p w14:paraId="60AD7D87">
            <w:pPr>
              <w:widowControl/>
              <w:jc w:val="center"/>
              <w:rPr>
                <w:rFonts w:ascii="宋体" w:cs="宋体"/>
                <w:color w:val="000000"/>
              </w:rPr>
            </w:pPr>
          </w:p>
        </w:tc>
        <w:tc>
          <w:tcPr>
            <w:tcW w:w="885" w:type="dxa"/>
            <w:tcBorders>
              <w:top w:val="nil"/>
              <w:left w:val="nil"/>
              <w:bottom w:val="single" w:color="auto" w:sz="8" w:space="0"/>
              <w:right w:val="single" w:color="auto" w:sz="8" w:space="0"/>
            </w:tcBorders>
            <w:tcMar>
              <w:left w:w="57" w:type="dxa"/>
              <w:right w:w="57" w:type="dxa"/>
            </w:tcMar>
            <w:vAlign w:val="center"/>
          </w:tcPr>
          <w:p w14:paraId="376819DE">
            <w:pPr>
              <w:widowControl/>
              <w:jc w:val="center"/>
              <w:rPr>
                <w:rFonts w:ascii="宋体" w:cs="宋体"/>
                <w:color w:val="000000"/>
              </w:rPr>
            </w:pPr>
          </w:p>
        </w:tc>
        <w:tc>
          <w:tcPr>
            <w:tcW w:w="901" w:type="dxa"/>
            <w:tcBorders>
              <w:top w:val="nil"/>
              <w:left w:val="nil"/>
              <w:bottom w:val="single" w:color="auto" w:sz="8" w:space="0"/>
              <w:right w:val="single" w:color="auto" w:sz="8" w:space="0"/>
            </w:tcBorders>
            <w:tcMar>
              <w:left w:w="57" w:type="dxa"/>
              <w:right w:w="57" w:type="dxa"/>
            </w:tcMar>
            <w:vAlign w:val="center"/>
          </w:tcPr>
          <w:p w14:paraId="109CC1DE">
            <w:pPr>
              <w:widowControl/>
              <w:jc w:val="center"/>
              <w:rPr>
                <w:rFonts w:ascii="宋体" w:cs="宋体"/>
                <w:color w:val="000000"/>
              </w:rPr>
            </w:pPr>
          </w:p>
        </w:tc>
        <w:tc>
          <w:tcPr>
            <w:tcW w:w="711" w:type="dxa"/>
            <w:tcBorders>
              <w:top w:val="nil"/>
              <w:left w:val="nil"/>
              <w:bottom w:val="single" w:color="auto" w:sz="8" w:space="0"/>
              <w:right w:val="single" w:color="auto" w:sz="8" w:space="0"/>
            </w:tcBorders>
            <w:tcMar>
              <w:left w:w="57" w:type="dxa"/>
              <w:right w:w="57" w:type="dxa"/>
            </w:tcMar>
            <w:vAlign w:val="center"/>
          </w:tcPr>
          <w:p w14:paraId="0003FA20">
            <w:pPr>
              <w:widowControl/>
              <w:jc w:val="center"/>
              <w:rPr>
                <w:rFonts w:ascii="宋体" w:cs="宋体"/>
                <w:color w:val="000000"/>
              </w:rPr>
            </w:pPr>
          </w:p>
        </w:tc>
        <w:tc>
          <w:tcPr>
            <w:tcW w:w="695" w:type="dxa"/>
            <w:tcBorders>
              <w:top w:val="nil"/>
              <w:left w:val="nil"/>
              <w:bottom w:val="single" w:color="auto" w:sz="8" w:space="0"/>
              <w:right w:val="single" w:color="auto" w:sz="8" w:space="0"/>
            </w:tcBorders>
            <w:tcMar>
              <w:left w:w="57" w:type="dxa"/>
              <w:right w:w="57" w:type="dxa"/>
            </w:tcMar>
            <w:vAlign w:val="center"/>
          </w:tcPr>
          <w:p w14:paraId="6C7A6429">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3D4E6B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7"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4FB46AD9">
            <w:pPr>
              <w:widowControl/>
              <w:rPr>
                <w:rFonts w:ascii="宋体" w:cs="宋体"/>
                <w:color w:val="000000"/>
                <w:sz w:val="24"/>
              </w:rPr>
            </w:pPr>
          </w:p>
        </w:tc>
        <w:tc>
          <w:tcPr>
            <w:tcW w:w="3200" w:type="dxa"/>
            <w:gridSpan w:val="2"/>
            <w:tcBorders>
              <w:top w:val="nil"/>
              <w:left w:val="nil"/>
              <w:bottom w:val="single" w:color="auto" w:sz="8" w:space="0"/>
              <w:right w:val="single" w:color="auto" w:sz="8" w:space="0"/>
            </w:tcBorders>
            <w:tcMar>
              <w:left w:w="57" w:type="dxa"/>
              <w:right w:w="57" w:type="dxa"/>
            </w:tcMar>
            <w:vAlign w:val="center"/>
          </w:tcPr>
          <w:p w14:paraId="1B72209D">
            <w:pPr>
              <w:widowControl/>
              <w:jc w:val="left"/>
              <w:rPr>
                <w:rFonts w:ascii="宋体" w:cs="宋体"/>
                <w:color w:val="000000"/>
              </w:rPr>
            </w:pPr>
            <w:r>
              <w:rPr>
                <w:rFonts w:hint="eastAsia" w:ascii="宋体" w:hAnsi="宋体" w:cs="宋体"/>
                <w:color w:val="000000"/>
                <w:kern w:val="0"/>
                <w:sz w:val="20"/>
                <w:szCs w:val="20"/>
              </w:rPr>
              <w:t>（六）其他处理</w:t>
            </w:r>
          </w:p>
        </w:tc>
        <w:tc>
          <w:tcPr>
            <w:tcW w:w="813" w:type="dxa"/>
            <w:tcBorders>
              <w:top w:val="nil"/>
              <w:left w:val="nil"/>
              <w:bottom w:val="single" w:color="auto" w:sz="8" w:space="0"/>
              <w:right w:val="single" w:color="auto" w:sz="8" w:space="0"/>
            </w:tcBorders>
            <w:tcMar>
              <w:left w:w="57" w:type="dxa"/>
              <w:right w:w="57" w:type="dxa"/>
            </w:tcMar>
            <w:vAlign w:val="center"/>
          </w:tcPr>
          <w:p w14:paraId="5C0AC6B3">
            <w:pPr>
              <w:widowControl/>
              <w:jc w:val="center"/>
              <w:rPr>
                <w:rFonts w:ascii="宋体" w:cs="宋体"/>
                <w:color w:val="000000"/>
              </w:rPr>
            </w:pPr>
            <w:r>
              <w:rPr>
                <w:rFonts w:ascii="宋体" w:cs="宋体"/>
                <w:color w:val="000000"/>
                <w:kern w:val="0"/>
                <w:sz w:val="20"/>
                <w:szCs w:val="20"/>
              </w:rPr>
              <w:t> </w:t>
            </w:r>
          </w:p>
        </w:tc>
        <w:tc>
          <w:tcPr>
            <w:tcW w:w="755" w:type="dxa"/>
            <w:tcBorders>
              <w:top w:val="nil"/>
              <w:left w:val="nil"/>
              <w:bottom w:val="single" w:color="auto" w:sz="8" w:space="0"/>
              <w:right w:val="single" w:color="auto" w:sz="8" w:space="0"/>
            </w:tcBorders>
            <w:tcMar>
              <w:left w:w="57" w:type="dxa"/>
              <w:right w:w="57" w:type="dxa"/>
            </w:tcMar>
            <w:vAlign w:val="center"/>
          </w:tcPr>
          <w:p w14:paraId="52B8EA8C">
            <w:pPr>
              <w:widowControl/>
              <w:jc w:val="center"/>
              <w:rPr>
                <w:rFonts w:ascii="宋体" w:cs="宋体"/>
                <w:color w:val="000000"/>
              </w:rPr>
            </w:pPr>
            <w:r>
              <w:rPr>
                <w:rFonts w:ascii="宋体" w:cs="宋体"/>
                <w:color w:val="000000"/>
                <w:kern w:val="0"/>
                <w:sz w:val="20"/>
                <w:szCs w:val="20"/>
              </w:rPr>
              <w:t> </w:t>
            </w:r>
          </w:p>
        </w:tc>
        <w:tc>
          <w:tcPr>
            <w:tcW w:w="830" w:type="dxa"/>
            <w:tcBorders>
              <w:top w:val="nil"/>
              <w:left w:val="nil"/>
              <w:bottom w:val="single" w:color="auto" w:sz="8" w:space="0"/>
              <w:right w:val="single" w:color="auto" w:sz="8" w:space="0"/>
            </w:tcBorders>
            <w:tcMar>
              <w:left w:w="57" w:type="dxa"/>
              <w:right w:w="57" w:type="dxa"/>
            </w:tcMar>
            <w:vAlign w:val="center"/>
          </w:tcPr>
          <w:p w14:paraId="318FBAAC">
            <w:pPr>
              <w:widowControl/>
              <w:jc w:val="center"/>
              <w:rPr>
                <w:rFonts w:ascii="宋体" w:cs="宋体"/>
                <w:color w:val="000000"/>
              </w:rPr>
            </w:pPr>
            <w:r>
              <w:rPr>
                <w:rFonts w:ascii="宋体" w:cs="宋体"/>
                <w:color w:val="000000"/>
                <w:kern w:val="0"/>
                <w:sz w:val="20"/>
                <w:szCs w:val="20"/>
              </w:rPr>
              <w:t> </w:t>
            </w:r>
          </w:p>
        </w:tc>
        <w:tc>
          <w:tcPr>
            <w:tcW w:w="885" w:type="dxa"/>
            <w:tcBorders>
              <w:top w:val="nil"/>
              <w:left w:val="nil"/>
              <w:bottom w:val="single" w:color="auto" w:sz="8" w:space="0"/>
              <w:right w:val="single" w:color="auto" w:sz="8" w:space="0"/>
            </w:tcBorders>
            <w:tcMar>
              <w:left w:w="57" w:type="dxa"/>
              <w:right w:w="57" w:type="dxa"/>
            </w:tcMar>
            <w:vAlign w:val="center"/>
          </w:tcPr>
          <w:p w14:paraId="2EAD080C">
            <w:pPr>
              <w:widowControl/>
              <w:jc w:val="center"/>
              <w:rPr>
                <w:rFonts w:ascii="宋体" w:cs="宋体"/>
                <w:color w:val="000000"/>
              </w:rPr>
            </w:pPr>
            <w:r>
              <w:rPr>
                <w:rFonts w:ascii="宋体" w:cs="宋体"/>
                <w:color w:val="000000"/>
                <w:kern w:val="0"/>
                <w:sz w:val="20"/>
                <w:szCs w:val="20"/>
              </w:rPr>
              <w:t> </w:t>
            </w:r>
          </w:p>
        </w:tc>
        <w:tc>
          <w:tcPr>
            <w:tcW w:w="901" w:type="dxa"/>
            <w:tcBorders>
              <w:top w:val="nil"/>
              <w:left w:val="nil"/>
              <w:bottom w:val="single" w:color="auto" w:sz="8" w:space="0"/>
              <w:right w:val="single" w:color="auto" w:sz="8" w:space="0"/>
            </w:tcBorders>
            <w:tcMar>
              <w:left w:w="57" w:type="dxa"/>
              <w:right w:w="57" w:type="dxa"/>
            </w:tcMar>
            <w:vAlign w:val="center"/>
          </w:tcPr>
          <w:p w14:paraId="78B45C6D">
            <w:pPr>
              <w:widowControl/>
              <w:jc w:val="center"/>
              <w:rPr>
                <w:rFonts w:ascii="宋体" w:cs="宋体"/>
                <w:color w:val="000000"/>
              </w:rPr>
            </w:pPr>
            <w:r>
              <w:rPr>
                <w:rFonts w:ascii="宋体" w:cs="宋体"/>
                <w:color w:val="000000"/>
                <w:kern w:val="0"/>
                <w:sz w:val="20"/>
                <w:szCs w:val="20"/>
              </w:rPr>
              <w:t> </w:t>
            </w:r>
          </w:p>
        </w:tc>
        <w:tc>
          <w:tcPr>
            <w:tcW w:w="711" w:type="dxa"/>
            <w:tcBorders>
              <w:top w:val="nil"/>
              <w:left w:val="nil"/>
              <w:bottom w:val="single" w:color="auto" w:sz="8" w:space="0"/>
              <w:right w:val="single" w:color="auto" w:sz="8" w:space="0"/>
            </w:tcBorders>
            <w:tcMar>
              <w:left w:w="57" w:type="dxa"/>
              <w:right w:w="57" w:type="dxa"/>
            </w:tcMar>
            <w:vAlign w:val="center"/>
          </w:tcPr>
          <w:p w14:paraId="0B7E91BB">
            <w:pPr>
              <w:widowControl/>
              <w:jc w:val="center"/>
              <w:rPr>
                <w:rFonts w:ascii="宋体" w:cs="宋体"/>
                <w:color w:val="000000"/>
              </w:rPr>
            </w:pPr>
            <w:r>
              <w:rPr>
                <w:rFonts w:ascii="宋体" w:cs="宋体"/>
                <w:color w:val="000000"/>
                <w:kern w:val="0"/>
                <w:sz w:val="20"/>
                <w:szCs w:val="20"/>
              </w:rPr>
              <w:t> </w:t>
            </w:r>
          </w:p>
        </w:tc>
        <w:tc>
          <w:tcPr>
            <w:tcW w:w="695" w:type="dxa"/>
            <w:tcBorders>
              <w:top w:val="nil"/>
              <w:left w:val="nil"/>
              <w:bottom w:val="single" w:color="auto" w:sz="8" w:space="0"/>
              <w:right w:val="single" w:color="auto" w:sz="8" w:space="0"/>
            </w:tcBorders>
            <w:tcMar>
              <w:left w:w="57" w:type="dxa"/>
              <w:right w:w="57" w:type="dxa"/>
            </w:tcMar>
            <w:vAlign w:val="center"/>
          </w:tcPr>
          <w:p w14:paraId="52C21810">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5000D2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16" w:type="dxa"/>
            <w:vMerge w:val="continue"/>
            <w:tcBorders>
              <w:top w:val="nil"/>
              <w:left w:val="single" w:color="auto" w:sz="8" w:space="0"/>
              <w:bottom w:val="single" w:color="auto" w:sz="8" w:space="0"/>
              <w:right w:val="single" w:color="auto" w:sz="8" w:space="0"/>
            </w:tcBorders>
            <w:tcMar>
              <w:left w:w="57" w:type="dxa"/>
              <w:right w:w="57" w:type="dxa"/>
            </w:tcMar>
            <w:vAlign w:val="center"/>
          </w:tcPr>
          <w:p w14:paraId="6B7C86DE">
            <w:pPr>
              <w:widowControl/>
              <w:rPr>
                <w:rFonts w:ascii="宋体" w:cs="宋体"/>
                <w:color w:val="000000"/>
                <w:sz w:val="24"/>
              </w:rPr>
            </w:pPr>
          </w:p>
        </w:tc>
        <w:tc>
          <w:tcPr>
            <w:tcW w:w="3200" w:type="dxa"/>
            <w:gridSpan w:val="2"/>
            <w:tcBorders>
              <w:top w:val="nil"/>
              <w:left w:val="nil"/>
              <w:bottom w:val="single" w:color="auto" w:sz="8" w:space="0"/>
              <w:right w:val="single" w:color="auto" w:sz="8" w:space="0"/>
            </w:tcBorders>
            <w:tcMar>
              <w:left w:w="57" w:type="dxa"/>
              <w:right w:w="57" w:type="dxa"/>
            </w:tcMar>
            <w:vAlign w:val="center"/>
          </w:tcPr>
          <w:p w14:paraId="0B8FD1F4">
            <w:pPr>
              <w:widowControl/>
              <w:jc w:val="left"/>
              <w:rPr>
                <w:rFonts w:ascii="宋体" w:cs="宋体"/>
                <w:color w:val="000000"/>
              </w:rPr>
            </w:pPr>
            <w:r>
              <w:rPr>
                <w:rFonts w:hint="eastAsia" w:ascii="宋体" w:hAnsi="宋体" w:cs="宋体"/>
                <w:color w:val="000000"/>
                <w:kern w:val="0"/>
                <w:sz w:val="20"/>
                <w:szCs w:val="20"/>
              </w:rPr>
              <w:t>（七）总计</w:t>
            </w:r>
          </w:p>
        </w:tc>
        <w:tc>
          <w:tcPr>
            <w:tcW w:w="813" w:type="dxa"/>
            <w:tcBorders>
              <w:top w:val="nil"/>
              <w:left w:val="nil"/>
              <w:bottom w:val="single" w:color="auto" w:sz="8" w:space="0"/>
              <w:right w:val="single" w:color="auto" w:sz="8" w:space="0"/>
            </w:tcBorders>
            <w:tcMar>
              <w:left w:w="57" w:type="dxa"/>
              <w:right w:w="57" w:type="dxa"/>
            </w:tcMar>
            <w:vAlign w:val="center"/>
          </w:tcPr>
          <w:p w14:paraId="4A08F292">
            <w:pPr>
              <w:widowControl/>
              <w:jc w:val="center"/>
              <w:rPr>
                <w:rFonts w:ascii="宋体" w:cs="宋体"/>
                <w:color w:val="000000"/>
              </w:rPr>
            </w:pPr>
          </w:p>
        </w:tc>
        <w:tc>
          <w:tcPr>
            <w:tcW w:w="755" w:type="dxa"/>
            <w:tcBorders>
              <w:top w:val="nil"/>
              <w:left w:val="nil"/>
              <w:bottom w:val="single" w:color="auto" w:sz="8" w:space="0"/>
              <w:right w:val="single" w:color="auto" w:sz="8" w:space="0"/>
            </w:tcBorders>
            <w:tcMar>
              <w:left w:w="57" w:type="dxa"/>
              <w:right w:w="57" w:type="dxa"/>
            </w:tcMar>
            <w:vAlign w:val="center"/>
          </w:tcPr>
          <w:p w14:paraId="567E898D">
            <w:pPr>
              <w:widowControl/>
              <w:jc w:val="center"/>
              <w:rPr>
                <w:rFonts w:ascii="宋体" w:cs="宋体"/>
                <w:color w:val="000000"/>
              </w:rPr>
            </w:pPr>
            <w:r>
              <w:rPr>
                <w:rFonts w:ascii="宋体" w:cs="宋体"/>
                <w:color w:val="000000"/>
                <w:kern w:val="0"/>
                <w:sz w:val="20"/>
                <w:szCs w:val="20"/>
              </w:rPr>
              <w:t> </w:t>
            </w:r>
          </w:p>
        </w:tc>
        <w:tc>
          <w:tcPr>
            <w:tcW w:w="830" w:type="dxa"/>
            <w:tcBorders>
              <w:top w:val="nil"/>
              <w:left w:val="nil"/>
              <w:bottom w:val="single" w:color="auto" w:sz="8" w:space="0"/>
              <w:right w:val="single" w:color="auto" w:sz="8" w:space="0"/>
            </w:tcBorders>
            <w:tcMar>
              <w:left w:w="57" w:type="dxa"/>
              <w:right w:w="57" w:type="dxa"/>
            </w:tcMar>
            <w:vAlign w:val="center"/>
          </w:tcPr>
          <w:p w14:paraId="6CF7BFC4">
            <w:pPr>
              <w:widowControl/>
              <w:jc w:val="center"/>
              <w:rPr>
                <w:rFonts w:ascii="宋体" w:cs="宋体"/>
                <w:color w:val="000000"/>
              </w:rPr>
            </w:pPr>
            <w:r>
              <w:rPr>
                <w:rFonts w:ascii="宋体" w:cs="宋体"/>
                <w:color w:val="000000"/>
                <w:kern w:val="0"/>
                <w:sz w:val="20"/>
                <w:szCs w:val="20"/>
              </w:rPr>
              <w:t> </w:t>
            </w:r>
          </w:p>
        </w:tc>
        <w:tc>
          <w:tcPr>
            <w:tcW w:w="885" w:type="dxa"/>
            <w:tcBorders>
              <w:top w:val="nil"/>
              <w:left w:val="nil"/>
              <w:bottom w:val="single" w:color="auto" w:sz="8" w:space="0"/>
              <w:right w:val="single" w:color="auto" w:sz="8" w:space="0"/>
            </w:tcBorders>
            <w:tcMar>
              <w:left w:w="57" w:type="dxa"/>
              <w:right w:w="57" w:type="dxa"/>
            </w:tcMar>
            <w:vAlign w:val="center"/>
          </w:tcPr>
          <w:p w14:paraId="1461409B">
            <w:pPr>
              <w:widowControl/>
              <w:jc w:val="center"/>
              <w:rPr>
                <w:rFonts w:ascii="宋体" w:cs="宋体"/>
                <w:color w:val="000000"/>
              </w:rPr>
            </w:pPr>
            <w:r>
              <w:rPr>
                <w:rFonts w:ascii="宋体" w:cs="宋体"/>
                <w:color w:val="000000"/>
                <w:kern w:val="0"/>
                <w:sz w:val="20"/>
                <w:szCs w:val="20"/>
              </w:rPr>
              <w:t> </w:t>
            </w:r>
          </w:p>
        </w:tc>
        <w:tc>
          <w:tcPr>
            <w:tcW w:w="901" w:type="dxa"/>
            <w:tcBorders>
              <w:top w:val="nil"/>
              <w:left w:val="nil"/>
              <w:bottom w:val="single" w:color="auto" w:sz="8" w:space="0"/>
              <w:right w:val="single" w:color="auto" w:sz="8" w:space="0"/>
            </w:tcBorders>
            <w:tcMar>
              <w:left w:w="57" w:type="dxa"/>
              <w:right w:w="57" w:type="dxa"/>
            </w:tcMar>
            <w:vAlign w:val="center"/>
          </w:tcPr>
          <w:p w14:paraId="1DBCCA83">
            <w:pPr>
              <w:widowControl/>
              <w:jc w:val="center"/>
              <w:rPr>
                <w:rFonts w:ascii="宋体" w:cs="宋体"/>
                <w:color w:val="000000"/>
              </w:rPr>
            </w:pPr>
            <w:r>
              <w:rPr>
                <w:rFonts w:ascii="宋体" w:cs="宋体"/>
                <w:color w:val="000000"/>
                <w:kern w:val="0"/>
                <w:sz w:val="20"/>
                <w:szCs w:val="20"/>
              </w:rPr>
              <w:t> </w:t>
            </w:r>
          </w:p>
        </w:tc>
        <w:tc>
          <w:tcPr>
            <w:tcW w:w="711" w:type="dxa"/>
            <w:tcBorders>
              <w:top w:val="nil"/>
              <w:left w:val="nil"/>
              <w:bottom w:val="single" w:color="auto" w:sz="8" w:space="0"/>
              <w:right w:val="single" w:color="auto" w:sz="8" w:space="0"/>
            </w:tcBorders>
            <w:tcMar>
              <w:left w:w="57" w:type="dxa"/>
              <w:right w:w="57" w:type="dxa"/>
            </w:tcMar>
            <w:vAlign w:val="center"/>
          </w:tcPr>
          <w:p w14:paraId="1BA62BF2">
            <w:pPr>
              <w:widowControl/>
              <w:jc w:val="center"/>
              <w:rPr>
                <w:rFonts w:ascii="宋体" w:cs="宋体"/>
                <w:color w:val="000000"/>
              </w:rPr>
            </w:pPr>
            <w:r>
              <w:rPr>
                <w:rFonts w:ascii="宋体" w:cs="宋体"/>
                <w:color w:val="000000"/>
                <w:kern w:val="0"/>
                <w:sz w:val="20"/>
                <w:szCs w:val="20"/>
              </w:rPr>
              <w:t> </w:t>
            </w:r>
          </w:p>
        </w:tc>
        <w:tc>
          <w:tcPr>
            <w:tcW w:w="695" w:type="dxa"/>
            <w:tcBorders>
              <w:top w:val="nil"/>
              <w:left w:val="nil"/>
              <w:bottom w:val="single" w:color="auto" w:sz="8" w:space="0"/>
              <w:right w:val="single" w:color="auto" w:sz="8" w:space="0"/>
            </w:tcBorders>
            <w:tcMar>
              <w:left w:w="57" w:type="dxa"/>
              <w:right w:w="57" w:type="dxa"/>
            </w:tcMar>
            <w:vAlign w:val="center"/>
          </w:tcPr>
          <w:p w14:paraId="53CB5316">
            <w:pPr>
              <w:widowControl/>
              <w:jc w:val="center"/>
              <w:rPr>
                <w:rFonts w:ascii="宋体" w:cs="宋体"/>
                <w:color w:val="000000"/>
              </w:rPr>
            </w:pPr>
            <w:r>
              <w:rPr>
                <w:rFonts w:ascii="宋体" w:cs="宋体"/>
                <w:color w:val="000000"/>
                <w:kern w:val="0"/>
                <w:sz w:val="20"/>
                <w:szCs w:val="20"/>
              </w:rPr>
              <w:t> </w:t>
            </w:r>
            <w:r>
              <w:rPr>
                <w:rFonts w:hint="eastAsia" w:ascii="宋体" w:hAnsi="宋体" w:cs="宋体"/>
                <w:color w:val="000000"/>
                <w:kern w:val="0"/>
                <w:sz w:val="20"/>
                <w:szCs w:val="20"/>
              </w:rPr>
              <w:t>无</w:t>
            </w:r>
          </w:p>
        </w:tc>
      </w:tr>
      <w:tr w14:paraId="2CEA03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816" w:type="dxa"/>
            <w:gridSpan w:val="3"/>
            <w:tcBorders>
              <w:top w:val="nil"/>
              <w:left w:val="single" w:color="auto" w:sz="8" w:space="0"/>
              <w:bottom w:val="single" w:color="auto" w:sz="8" w:space="0"/>
              <w:right w:val="single" w:color="auto" w:sz="8" w:space="0"/>
            </w:tcBorders>
            <w:tcMar>
              <w:left w:w="57" w:type="dxa"/>
              <w:right w:w="57" w:type="dxa"/>
            </w:tcMar>
            <w:vAlign w:val="center"/>
          </w:tcPr>
          <w:p w14:paraId="5CB3BE84">
            <w:pPr>
              <w:widowControl/>
              <w:jc w:val="left"/>
              <w:rPr>
                <w:rFonts w:ascii="宋体" w:cs="宋体"/>
                <w:color w:val="000000"/>
              </w:rPr>
            </w:pPr>
            <w:r>
              <w:rPr>
                <w:rFonts w:hint="eastAsia" w:ascii="宋体" w:hAnsi="宋体" w:cs="宋体"/>
                <w:color w:val="000000"/>
                <w:kern w:val="0"/>
                <w:sz w:val="20"/>
                <w:szCs w:val="20"/>
              </w:rPr>
              <w:t>四、结转下年度继续办理</w:t>
            </w:r>
          </w:p>
        </w:tc>
        <w:tc>
          <w:tcPr>
            <w:tcW w:w="813" w:type="dxa"/>
            <w:tcBorders>
              <w:top w:val="nil"/>
              <w:left w:val="nil"/>
              <w:bottom w:val="single" w:color="auto" w:sz="8" w:space="0"/>
              <w:right w:val="single" w:color="auto" w:sz="8" w:space="0"/>
            </w:tcBorders>
            <w:tcMar>
              <w:left w:w="57" w:type="dxa"/>
              <w:right w:w="57" w:type="dxa"/>
            </w:tcMar>
            <w:vAlign w:val="center"/>
          </w:tcPr>
          <w:p w14:paraId="19A284BD">
            <w:pPr>
              <w:widowControl/>
              <w:jc w:val="center"/>
              <w:rPr>
                <w:rFonts w:ascii="宋体" w:cs="宋体"/>
                <w:color w:val="000000"/>
              </w:rPr>
            </w:pPr>
            <w:r>
              <w:rPr>
                <w:rFonts w:ascii="宋体" w:cs="宋体"/>
                <w:color w:val="000000"/>
                <w:kern w:val="0"/>
                <w:sz w:val="20"/>
                <w:szCs w:val="20"/>
              </w:rPr>
              <w:t> </w:t>
            </w:r>
          </w:p>
        </w:tc>
        <w:tc>
          <w:tcPr>
            <w:tcW w:w="755" w:type="dxa"/>
            <w:tcBorders>
              <w:top w:val="nil"/>
              <w:left w:val="nil"/>
              <w:bottom w:val="single" w:color="auto" w:sz="8" w:space="0"/>
              <w:right w:val="single" w:color="auto" w:sz="8" w:space="0"/>
            </w:tcBorders>
            <w:tcMar>
              <w:left w:w="57" w:type="dxa"/>
              <w:right w:w="57" w:type="dxa"/>
            </w:tcMar>
            <w:vAlign w:val="center"/>
          </w:tcPr>
          <w:p w14:paraId="23BACECE">
            <w:pPr>
              <w:widowControl/>
              <w:jc w:val="center"/>
              <w:rPr>
                <w:rFonts w:ascii="宋体" w:cs="宋体"/>
                <w:color w:val="000000"/>
              </w:rPr>
            </w:pPr>
            <w:r>
              <w:rPr>
                <w:rFonts w:ascii="宋体" w:cs="宋体"/>
                <w:color w:val="000000"/>
                <w:kern w:val="0"/>
                <w:sz w:val="20"/>
                <w:szCs w:val="20"/>
              </w:rPr>
              <w:t> </w:t>
            </w:r>
          </w:p>
        </w:tc>
        <w:tc>
          <w:tcPr>
            <w:tcW w:w="830" w:type="dxa"/>
            <w:tcBorders>
              <w:top w:val="nil"/>
              <w:left w:val="nil"/>
              <w:bottom w:val="single" w:color="auto" w:sz="8" w:space="0"/>
              <w:right w:val="single" w:color="auto" w:sz="8" w:space="0"/>
            </w:tcBorders>
            <w:tcMar>
              <w:left w:w="57" w:type="dxa"/>
              <w:right w:w="57" w:type="dxa"/>
            </w:tcMar>
            <w:vAlign w:val="center"/>
          </w:tcPr>
          <w:p w14:paraId="07F98738">
            <w:pPr>
              <w:widowControl/>
              <w:jc w:val="center"/>
              <w:rPr>
                <w:rFonts w:ascii="宋体" w:cs="宋体"/>
                <w:color w:val="000000"/>
              </w:rPr>
            </w:pPr>
            <w:r>
              <w:rPr>
                <w:rFonts w:ascii="宋体" w:cs="宋体"/>
                <w:color w:val="000000"/>
                <w:kern w:val="0"/>
                <w:sz w:val="20"/>
                <w:szCs w:val="20"/>
              </w:rPr>
              <w:t> </w:t>
            </w:r>
          </w:p>
        </w:tc>
        <w:tc>
          <w:tcPr>
            <w:tcW w:w="885" w:type="dxa"/>
            <w:tcBorders>
              <w:top w:val="nil"/>
              <w:left w:val="nil"/>
              <w:bottom w:val="single" w:color="auto" w:sz="8" w:space="0"/>
              <w:right w:val="single" w:color="auto" w:sz="8" w:space="0"/>
            </w:tcBorders>
            <w:tcMar>
              <w:left w:w="57" w:type="dxa"/>
              <w:right w:w="57" w:type="dxa"/>
            </w:tcMar>
            <w:vAlign w:val="center"/>
          </w:tcPr>
          <w:p w14:paraId="2D582FBE">
            <w:pPr>
              <w:widowControl/>
              <w:jc w:val="center"/>
              <w:rPr>
                <w:rFonts w:ascii="宋体" w:cs="宋体"/>
                <w:color w:val="000000"/>
              </w:rPr>
            </w:pPr>
            <w:r>
              <w:rPr>
                <w:rFonts w:ascii="宋体" w:cs="宋体"/>
                <w:color w:val="000000"/>
                <w:kern w:val="0"/>
                <w:sz w:val="20"/>
                <w:szCs w:val="20"/>
              </w:rPr>
              <w:t> </w:t>
            </w:r>
          </w:p>
        </w:tc>
        <w:tc>
          <w:tcPr>
            <w:tcW w:w="901" w:type="dxa"/>
            <w:tcBorders>
              <w:top w:val="nil"/>
              <w:left w:val="nil"/>
              <w:bottom w:val="single" w:color="auto" w:sz="8" w:space="0"/>
              <w:right w:val="single" w:color="auto" w:sz="8" w:space="0"/>
            </w:tcBorders>
            <w:tcMar>
              <w:left w:w="57" w:type="dxa"/>
              <w:right w:w="57" w:type="dxa"/>
            </w:tcMar>
            <w:vAlign w:val="center"/>
          </w:tcPr>
          <w:p w14:paraId="5054E0E3">
            <w:pPr>
              <w:widowControl/>
              <w:jc w:val="center"/>
              <w:rPr>
                <w:rFonts w:ascii="宋体" w:cs="宋体"/>
                <w:color w:val="000000"/>
              </w:rPr>
            </w:pPr>
            <w:r>
              <w:rPr>
                <w:rFonts w:ascii="宋体" w:cs="宋体"/>
                <w:color w:val="000000"/>
                <w:kern w:val="0"/>
                <w:sz w:val="20"/>
                <w:szCs w:val="20"/>
              </w:rPr>
              <w:t> </w:t>
            </w:r>
          </w:p>
        </w:tc>
        <w:tc>
          <w:tcPr>
            <w:tcW w:w="711" w:type="dxa"/>
            <w:tcBorders>
              <w:top w:val="nil"/>
              <w:left w:val="nil"/>
              <w:bottom w:val="single" w:color="auto" w:sz="8" w:space="0"/>
              <w:right w:val="single" w:color="auto" w:sz="8" w:space="0"/>
            </w:tcBorders>
            <w:tcMar>
              <w:left w:w="57" w:type="dxa"/>
              <w:right w:w="57" w:type="dxa"/>
            </w:tcMar>
            <w:vAlign w:val="center"/>
          </w:tcPr>
          <w:p w14:paraId="2E576974">
            <w:pPr>
              <w:widowControl/>
              <w:jc w:val="center"/>
              <w:rPr>
                <w:rFonts w:ascii="宋体" w:cs="宋体"/>
                <w:color w:val="000000"/>
              </w:rPr>
            </w:pPr>
            <w:r>
              <w:rPr>
                <w:rFonts w:ascii="宋体" w:cs="宋体"/>
                <w:color w:val="000000"/>
                <w:kern w:val="0"/>
                <w:sz w:val="20"/>
                <w:szCs w:val="20"/>
              </w:rPr>
              <w:t> </w:t>
            </w:r>
          </w:p>
        </w:tc>
        <w:tc>
          <w:tcPr>
            <w:tcW w:w="695" w:type="dxa"/>
            <w:tcBorders>
              <w:top w:val="nil"/>
              <w:left w:val="nil"/>
              <w:bottom w:val="single" w:color="auto" w:sz="8" w:space="0"/>
              <w:right w:val="single" w:color="auto" w:sz="8" w:space="0"/>
            </w:tcBorders>
            <w:tcMar>
              <w:left w:w="57" w:type="dxa"/>
              <w:right w:w="57" w:type="dxa"/>
            </w:tcMar>
            <w:vAlign w:val="center"/>
          </w:tcPr>
          <w:p w14:paraId="502BEF1C">
            <w:pPr>
              <w:widowControl/>
              <w:ind w:firstLine="120" w:firstLineChars="50"/>
              <w:rPr>
                <w:rFonts w:ascii="宋体" w:cs="宋体"/>
                <w:color w:val="000000"/>
                <w:sz w:val="24"/>
              </w:rPr>
            </w:pPr>
            <w:r>
              <w:rPr>
                <w:rFonts w:hint="eastAsia" w:ascii="宋体" w:hAnsi="宋体" w:cs="宋体"/>
                <w:color w:val="000000"/>
                <w:sz w:val="24"/>
              </w:rPr>
              <w:t>无</w:t>
            </w:r>
          </w:p>
        </w:tc>
      </w:tr>
    </w:tbl>
    <w:p w14:paraId="0825F5F4">
      <w:pPr>
        <w:rPr>
          <w:color w:val="000000"/>
        </w:rPr>
      </w:pPr>
      <w:r>
        <w:rPr>
          <w:color w:val="000000"/>
          <w:sz w:val="24"/>
          <w:shd w:val="clear" w:color="auto" w:fill="FFFFFF"/>
        </w:rPr>
        <w:br w:type="page"/>
      </w:r>
      <w:r>
        <w:rPr>
          <w:rFonts w:hint="eastAsia"/>
          <w:color w:val="000000"/>
          <w:shd w:val="clear" w:color="auto" w:fill="FFFFFF"/>
        </w:rPr>
        <w:t>四、政府信息公开行政复议、行政诉讼情况</w:t>
      </w:r>
    </w:p>
    <w:p w14:paraId="3B8D82B0">
      <w:pPr>
        <w:pStyle w:val="2"/>
        <w:widowControl/>
        <w:shd w:val="clear" w:color="auto" w:fill="FFFFFF"/>
        <w:spacing w:beforeAutospacing="0" w:afterAutospacing="0"/>
        <w:ind w:firstLine="420"/>
        <w:jc w:val="both"/>
        <w:rPr>
          <w:rFonts w:ascii="宋体" w:cs="宋体"/>
          <w:color w:val="000000"/>
        </w:rPr>
      </w:pPr>
    </w:p>
    <w:tbl>
      <w:tblPr>
        <w:tblStyle w:val="3"/>
        <w:tblW w:w="966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31"/>
        <w:gridCol w:w="631"/>
        <w:gridCol w:w="631"/>
        <w:gridCol w:w="631"/>
        <w:gridCol w:w="688"/>
        <w:gridCol w:w="756"/>
        <w:gridCol w:w="632"/>
        <w:gridCol w:w="632"/>
        <w:gridCol w:w="632"/>
        <w:gridCol w:w="633"/>
        <w:gridCol w:w="632"/>
        <w:gridCol w:w="632"/>
        <w:gridCol w:w="632"/>
        <w:gridCol w:w="633"/>
        <w:gridCol w:w="635"/>
      </w:tblGrid>
      <w:tr w14:paraId="402211A2">
        <w:tblPrEx>
          <w:tblCellMar>
            <w:top w:w="0" w:type="dxa"/>
            <w:left w:w="0" w:type="dxa"/>
            <w:bottom w:w="0" w:type="dxa"/>
            <w:right w:w="0" w:type="dxa"/>
          </w:tblCellMar>
        </w:tblPrEx>
        <w:trPr>
          <w:trHeight w:val="457" w:hRule="atLeast"/>
          <w:jc w:val="center"/>
        </w:trPr>
        <w:tc>
          <w:tcPr>
            <w:tcW w:w="321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327EF65">
            <w:pPr>
              <w:widowControl/>
              <w:jc w:val="center"/>
              <w:rPr>
                <w:color w:val="000000"/>
              </w:rPr>
            </w:pPr>
            <w:r>
              <w:rPr>
                <w:rFonts w:hint="eastAsia" w:ascii="宋体" w:hAnsi="宋体" w:cs="宋体"/>
                <w:color w:val="000000"/>
                <w:kern w:val="0"/>
                <w:sz w:val="20"/>
                <w:szCs w:val="20"/>
              </w:rPr>
              <w:t>行政复议</w:t>
            </w:r>
          </w:p>
        </w:tc>
        <w:tc>
          <w:tcPr>
            <w:tcW w:w="6449" w:type="dxa"/>
            <w:gridSpan w:val="10"/>
            <w:tcBorders>
              <w:top w:val="single" w:color="auto" w:sz="8" w:space="0"/>
              <w:left w:val="nil"/>
              <w:bottom w:val="single" w:color="auto" w:sz="8" w:space="0"/>
              <w:right w:val="single" w:color="auto" w:sz="8" w:space="0"/>
            </w:tcBorders>
            <w:tcMar>
              <w:left w:w="108" w:type="dxa"/>
              <w:right w:w="108" w:type="dxa"/>
            </w:tcMar>
            <w:vAlign w:val="center"/>
          </w:tcPr>
          <w:p w14:paraId="7905B8C9">
            <w:pPr>
              <w:widowControl/>
              <w:jc w:val="center"/>
              <w:rPr>
                <w:color w:val="000000"/>
              </w:rPr>
            </w:pPr>
            <w:r>
              <w:rPr>
                <w:rFonts w:hint="eastAsia" w:ascii="宋体" w:hAnsi="宋体" w:cs="宋体"/>
                <w:color w:val="000000"/>
                <w:kern w:val="0"/>
                <w:sz w:val="20"/>
                <w:szCs w:val="20"/>
              </w:rPr>
              <w:t>行政诉讼</w:t>
            </w:r>
          </w:p>
        </w:tc>
      </w:tr>
      <w:tr w14:paraId="6AB632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77" w:hRule="atLeast"/>
          <w:jc w:val="center"/>
        </w:trPr>
        <w:tc>
          <w:tcPr>
            <w:tcW w:w="631"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7E74ECEB">
            <w:pPr>
              <w:widowControl/>
              <w:jc w:val="center"/>
              <w:rPr>
                <w:color w:val="000000"/>
              </w:rPr>
            </w:pPr>
            <w:r>
              <w:rPr>
                <w:rFonts w:hint="eastAsia" w:ascii="宋体" w:hAnsi="宋体" w:cs="宋体"/>
                <w:color w:val="000000"/>
                <w:kern w:val="0"/>
                <w:sz w:val="20"/>
                <w:szCs w:val="20"/>
              </w:rPr>
              <w:t>结果维持</w:t>
            </w:r>
          </w:p>
        </w:tc>
        <w:tc>
          <w:tcPr>
            <w:tcW w:w="631" w:type="dxa"/>
            <w:vMerge w:val="restart"/>
            <w:tcBorders>
              <w:top w:val="nil"/>
              <w:left w:val="nil"/>
              <w:bottom w:val="single" w:color="auto" w:sz="8" w:space="0"/>
              <w:right w:val="single" w:color="auto" w:sz="8" w:space="0"/>
            </w:tcBorders>
            <w:tcMar>
              <w:left w:w="108" w:type="dxa"/>
              <w:right w:w="108" w:type="dxa"/>
            </w:tcMar>
            <w:vAlign w:val="center"/>
          </w:tcPr>
          <w:p w14:paraId="29E77753">
            <w:pPr>
              <w:widowControl/>
              <w:jc w:val="center"/>
              <w:rPr>
                <w:color w:val="000000"/>
              </w:rPr>
            </w:pPr>
            <w:r>
              <w:rPr>
                <w:rFonts w:hint="eastAsia" w:ascii="宋体" w:hAnsi="宋体" w:cs="宋体"/>
                <w:color w:val="000000"/>
                <w:kern w:val="0"/>
                <w:sz w:val="20"/>
                <w:szCs w:val="20"/>
              </w:rPr>
              <w:t>结果纠正</w:t>
            </w:r>
          </w:p>
        </w:tc>
        <w:tc>
          <w:tcPr>
            <w:tcW w:w="631"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392A26DD">
            <w:pPr>
              <w:widowControl/>
              <w:jc w:val="center"/>
              <w:rPr>
                <w:color w:val="000000"/>
              </w:rPr>
            </w:pPr>
            <w:r>
              <w:rPr>
                <w:rFonts w:hint="eastAsia" w:ascii="宋体" w:hAnsi="宋体" w:cs="宋体"/>
                <w:color w:val="000000"/>
                <w:kern w:val="0"/>
                <w:sz w:val="20"/>
                <w:szCs w:val="20"/>
              </w:rPr>
              <w:t>其他结果</w:t>
            </w:r>
          </w:p>
        </w:tc>
        <w:tc>
          <w:tcPr>
            <w:tcW w:w="631"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47F2465F">
            <w:pPr>
              <w:widowControl/>
              <w:jc w:val="center"/>
              <w:rPr>
                <w:color w:val="000000"/>
              </w:rPr>
            </w:pPr>
            <w:r>
              <w:rPr>
                <w:rFonts w:hint="eastAsia" w:ascii="宋体" w:hAnsi="宋体" w:cs="宋体"/>
                <w:color w:val="000000"/>
                <w:kern w:val="0"/>
                <w:sz w:val="20"/>
                <w:szCs w:val="20"/>
              </w:rPr>
              <w:t>尚未审结</w:t>
            </w:r>
          </w:p>
        </w:tc>
        <w:tc>
          <w:tcPr>
            <w:tcW w:w="688"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7ECC29F4">
            <w:pPr>
              <w:widowControl/>
              <w:jc w:val="center"/>
              <w:rPr>
                <w:color w:val="000000"/>
              </w:rPr>
            </w:pPr>
            <w:r>
              <w:rPr>
                <w:rFonts w:hint="eastAsia" w:ascii="宋体" w:hAnsi="宋体" w:cs="宋体"/>
                <w:color w:val="000000"/>
                <w:kern w:val="0"/>
                <w:sz w:val="20"/>
                <w:szCs w:val="20"/>
              </w:rPr>
              <w:t>总计</w:t>
            </w:r>
          </w:p>
        </w:tc>
        <w:tc>
          <w:tcPr>
            <w:tcW w:w="3285"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22D0D669">
            <w:pPr>
              <w:widowControl/>
              <w:jc w:val="center"/>
              <w:rPr>
                <w:color w:val="000000"/>
              </w:rPr>
            </w:pPr>
            <w:r>
              <w:rPr>
                <w:rFonts w:hint="eastAsia" w:ascii="宋体" w:hAnsi="宋体" w:cs="宋体"/>
                <w:color w:val="000000"/>
                <w:kern w:val="0"/>
                <w:sz w:val="20"/>
                <w:szCs w:val="20"/>
              </w:rPr>
              <w:t>未经复议直接起诉</w:t>
            </w:r>
          </w:p>
        </w:tc>
        <w:tc>
          <w:tcPr>
            <w:tcW w:w="3164"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7FF8CEA5">
            <w:pPr>
              <w:widowControl/>
              <w:jc w:val="center"/>
              <w:rPr>
                <w:color w:val="000000"/>
              </w:rPr>
            </w:pPr>
            <w:r>
              <w:rPr>
                <w:rFonts w:hint="eastAsia" w:ascii="宋体" w:hAnsi="宋体" w:cs="宋体"/>
                <w:color w:val="000000"/>
                <w:kern w:val="0"/>
                <w:sz w:val="20"/>
                <w:szCs w:val="20"/>
              </w:rPr>
              <w:t>复议后起诉</w:t>
            </w:r>
          </w:p>
        </w:tc>
      </w:tr>
      <w:tr w14:paraId="7E4DDE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31"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1E45F726">
            <w:pPr>
              <w:widowControl/>
              <w:jc w:val="center"/>
              <w:rPr>
                <w:rFonts w:ascii="宋体"/>
                <w:color w:val="000000"/>
                <w:sz w:val="24"/>
              </w:rPr>
            </w:pPr>
          </w:p>
        </w:tc>
        <w:tc>
          <w:tcPr>
            <w:tcW w:w="631" w:type="dxa"/>
            <w:vMerge w:val="continue"/>
            <w:tcBorders>
              <w:top w:val="nil"/>
              <w:left w:val="nil"/>
              <w:bottom w:val="single" w:color="auto" w:sz="8" w:space="0"/>
              <w:right w:val="single" w:color="auto" w:sz="8" w:space="0"/>
            </w:tcBorders>
            <w:tcMar>
              <w:left w:w="108" w:type="dxa"/>
              <w:right w:w="108" w:type="dxa"/>
            </w:tcMar>
            <w:vAlign w:val="center"/>
          </w:tcPr>
          <w:p w14:paraId="4807DA80">
            <w:pPr>
              <w:widowControl/>
              <w:jc w:val="center"/>
              <w:rPr>
                <w:rFonts w:ascii="宋体"/>
                <w:color w:val="000000"/>
                <w:sz w:val="24"/>
              </w:rPr>
            </w:pPr>
          </w:p>
        </w:tc>
        <w:tc>
          <w:tcPr>
            <w:tcW w:w="631"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2756AC22">
            <w:pPr>
              <w:widowControl/>
              <w:jc w:val="center"/>
              <w:rPr>
                <w:rFonts w:ascii="宋体"/>
                <w:color w:val="000000"/>
                <w:sz w:val="24"/>
              </w:rPr>
            </w:pPr>
          </w:p>
        </w:tc>
        <w:tc>
          <w:tcPr>
            <w:tcW w:w="631"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0D679237">
            <w:pPr>
              <w:widowControl/>
              <w:jc w:val="center"/>
              <w:rPr>
                <w:rFonts w:ascii="宋体"/>
                <w:color w:val="000000"/>
                <w:sz w:val="24"/>
              </w:rPr>
            </w:pPr>
          </w:p>
        </w:tc>
        <w:tc>
          <w:tcPr>
            <w:tcW w:w="688"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2230639C">
            <w:pPr>
              <w:widowControl/>
              <w:jc w:val="center"/>
              <w:rPr>
                <w:rFonts w:ascii="宋体"/>
                <w:color w:val="000000"/>
                <w:sz w:val="24"/>
              </w:rPr>
            </w:pPr>
          </w:p>
        </w:tc>
        <w:tc>
          <w:tcPr>
            <w:tcW w:w="756" w:type="dxa"/>
            <w:tcBorders>
              <w:top w:val="nil"/>
              <w:left w:val="nil"/>
              <w:bottom w:val="single" w:color="auto" w:sz="8" w:space="0"/>
              <w:right w:val="single" w:color="auto" w:sz="8" w:space="0"/>
            </w:tcBorders>
            <w:tcMar>
              <w:left w:w="108" w:type="dxa"/>
              <w:right w:w="108" w:type="dxa"/>
            </w:tcMar>
            <w:vAlign w:val="center"/>
          </w:tcPr>
          <w:p w14:paraId="7FB0D2A5">
            <w:pPr>
              <w:widowControl/>
              <w:jc w:val="center"/>
              <w:rPr>
                <w:color w:val="000000"/>
              </w:rPr>
            </w:pPr>
            <w:r>
              <w:rPr>
                <w:rFonts w:hint="eastAsia" w:ascii="宋体" w:hAnsi="宋体" w:cs="宋体"/>
                <w:color w:val="000000"/>
                <w:kern w:val="0"/>
                <w:sz w:val="20"/>
                <w:szCs w:val="20"/>
              </w:rPr>
              <w:t>结果维持</w:t>
            </w:r>
          </w:p>
        </w:tc>
        <w:tc>
          <w:tcPr>
            <w:tcW w:w="632" w:type="dxa"/>
            <w:tcBorders>
              <w:top w:val="nil"/>
              <w:left w:val="nil"/>
              <w:bottom w:val="single" w:color="auto" w:sz="8" w:space="0"/>
              <w:right w:val="single" w:color="auto" w:sz="8" w:space="0"/>
            </w:tcBorders>
            <w:tcMar>
              <w:left w:w="108" w:type="dxa"/>
              <w:right w:w="108" w:type="dxa"/>
            </w:tcMar>
            <w:vAlign w:val="center"/>
          </w:tcPr>
          <w:p w14:paraId="37DF8506">
            <w:pPr>
              <w:widowControl/>
              <w:jc w:val="center"/>
              <w:rPr>
                <w:color w:val="000000"/>
              </w:rPr>
            </w:pPr>
            <w:r>
              <w:rPr>
                <w:rFonts w:hint="eastAsia" w:ascii="宋体" w:hAnsi="宋体" w:cs="宋体"/>
                <w:color w:val="000000"/>
                <w:kern w:val="0"/>
                <w:sz w:val="20"/>
                <w:szCs w:val="20"/>
              </w:rPr>
              <w:t>结果纠正</w:t>
            </w:r>
          </w:p>
        </w:tc>
        <w:tc>
          <w:tcPr>
            <w:tcW w:w="632" w:type="dxa"/>
            <w:tcBorders>
              <w:top w:val="single" w:color="auto" w:sz="8" w:space="0"/>
              <w:left w:val="nil"/>
              <w:bottom w:val="single" w:color="auto" w:sz="8" w:space="0"/>
              <w:right w:val="single" w:color="auto" w:sz="8" w:space="0"/>
            </w:tcBorders>
            <w:tcMar>
              <w:left w:w="108" w:type="dxa"/>
              <w:right w:w="108" w:type="dxa"/>
            </w:tcMar>
            <w:vAlign w:val="center"/>
          </w:tcPr>
          <w:p w14:paraId="4CB6B015">
            <w:pPr>
              <w:widowControl/>
              <w:jc w:val="center"/>
              <w:rPr>
                <w:color w:val="000000"/>
              </w:rPr>
            </w:pPr>
            <w:r>
              <w:rPr>
                <w:rFonts w:hint="eastAsia" w:ascii="宋体" w:hAnsi="宋体" w:cs="宋体"/>
                <w:color w:val="000000"/>
                <w:kern w:val="0"/>
                <w:sz w:val="20"/>
                <w:szCs w:val="20"/>
              </w:rPr>
              <w:t>其他结果</w:t>
            </w:r>
          </w:p>
        </w:tc>
        <w:tc>
          <w:tcPr>
            <w:tcW w:w="632" w:type="dxa"/>
            <w:tcBorders>
              <w:top w:val="single" w:color="auto" w:sz="8" w:space="0"/>
              <w:left w:val="nil"/>
              <w:bottom w:val="single" w:color="auto" w:sz="8" w:space="0"/>
              <w:right w:val="single" w:color="auto" w:sz="8" w:space="0"/>
            </w:tcBorders>
            <w:tcMar>
              <w:left w:w="108" w:type="dxa"/>
              <w:right w:w="108" w:type="dxa"/>
            </w:tcMar>
            <w:vAlign w:val="center"/>
          </w:tcPr>
          <w:p w14:paraId="507B0E8B">
            <w:pPr>
              <w:widowControl/>
              <w:jc w:val="center"/>
              <w:rPr>
                <w:color w:val="000000"/>
              </w:rPr>
            </w:pPr>
            <w:r>
              <w:rPr>
                <w:rFonts w:hint="eastAsia" w:ascii="宋体" w:hAnsi="宋体" w:cs="宋体"/>
                <w:color w:val="000000"/>
                <w:kern w:val="0"/>
                <w:sz w:val="20"/>
                <w:szCs w:val="20"/>
              </w:rPr>
              <w:t>尚未审结</w:t>
            </w:r>
          </w:p>
        </w:tc>
        <w:tc>
          <w:tcPr>
            <w:tcW w:w="633" w:type="dxa"/>
            <w:tcBorders>
              <w:top w:val="single" w:color="auto" w:sz="8" w:space="0"/>
              <w:left w:val="nil"/>
              <w:bottom w:val="single" w:color="auto" w:sz="8" w:space="0"/>
              <w:right w:val="single" w:color="auto" w:sz="8" w:space="0"/>
            </w:tcBorders>
            <w:tcMar>
              <w:left w:w="108" w:type="dxa"/>
              <w:right w:w="108" w:type="dxa"/>
            </w:tcMar>
            <w:vAlign w:val="center"/>
          </w:tcPr>
          <w:p w14:paraId="5A7717DB">
            <w:pPr>
              <w:widowControl/>
              <w:jc w:val="center"/>
              <w:rPr>
                <w:color w:val="000000"/>
              </w:rPr>
            </w:pPr>
            <w:r>
              <w:rPr>
                <w:rFonts w:hint="eastAsia" w:ascii="宋体" w:hAnsi="宋体" w:cs="宋体"/>
                <w:color w:val="000000"/>
                <w:kern w:val="0"/>
                <w:sz w:val="20"/>
                <w:szCs w:val="20"/>
              </w:rPr>
              <w:t>总计</w:t>
            </w:r>
          </w:p>
        </w:tc>
        <w:tc>
          <w:tcPr>
            <w:tcW w:w="632" w:type="dxa"/>
            <w:tcBorders>
              <w:top w:val="single" w:color="auto" w:sz="8" w:space="0"/>
              <w:left w:val="nil"/>
              <w:bottom w:val="single" w:color="auto" w:sz="8" w:space="0"/>
              <w:right w:val="single" w:color="auto" w:sz="8" w:space="0"/>
            </w:tcBorders>
            <w:tcMar>
              <w:left w:w="108" w:type="dxa"/>
              <w:right w:w="108" w:type="dxa"/>
            </w:tcMar>
            <w:vAlign w:val="center"/>
          </w:tcPr>
          <w:p w14:paraId="5F782662">
            <w:pPr>
              <w:widowControl/>
              <w:jc w:val="center"/>
              <w:rPr>
                <w:color w:val="000000"/>
              </w:rPr>
            </w:pPr>
            <w:r>
              <w:rPr>
                <w:rFonts w:hint="eastAsia" w:ascii="宋体" w:hAnsi="宋体" w:cs="宋体"/>
                <w:color w:val="000000"/>
                <w:kern w:val="0"/>
                <w:sz w:val="20"/>
                <w:szCs w:val="20"/>
              </w:rPr>
              <w:t>结果维持</w:t>
            </w:r>
          </w:p>
        </w:tc>
        <w:tc>
          <w:tcPr>
            <w:tcW w:w="632" w:type="dxa"/>
            <w:tcBorders>
              <w:top w:val="single" w:color="auto" w:sz="8" w:space="0"/>
              <w:left w:val="nil"/>
              <w:bottom w:val="single" w:color="auto" w:sz="8" w:space="0"/>
              <w:right w:val="single" w:color="auto" w:sz="8" w:space="0"/>
            </w:tcBorders>
            <w:tcMar>
              <w:left w:w="108" w:type="dxa"/>
              <w:right w:w="108" w:type="dxa"/>
            </w:tcMar>
            <w:vAlign w:val="center"/>
          </w:tcPr>
          <w:p w14:paraId="3497B207">
            <w:pPr>
              <w:widowControl/>
              <w:jc w:val="center"/>
              <w:rPr>
                <w:color w:val="000000"/>
              </w:rPr>
            </w:pPr>
            <w:r>
              <w:rPr>
                <w:rFonts w:hint="eastAsia" w:ascii="宋体" w:hAnsi="宋体" w:cs="宋体"/>
                <w:color w:val="000000"/>
                <w:kern w:val="0"/>
                <w:sz w:val="20"/>
                <w:szCs w:val="20"/>
              </w:rPr>
              <w:t>结果纠正</w:t>
            </w:r>
          </w:p>
        </w:tc>
        <w:tc>
          <w:tcPr>
            <w:tcW w:w="632" w:type="dxa"/>
            <w:tcBorders>
              <w:top w:val="single" w:color="auto" w:sz="8" w:space="0"/>
              <w:left w:val="nil"/>
              <w:bottom w:val="single" w:color="auto" w:sz="8" w:space="0"/>
              <w:right w:val="single" w:color="auto" w:sz="8" w:space="0"/>
            </w:tcBorders>
            <w:tcMar>
              <w:left w:w="108" w:type="dxa"/>
              <w:right w:w="108" w:type="dxa"/>
            </w:tcMar>
            <w:vAlign w:val="center"/>
          </w:tcPr>
          <w:p w14:paraId="66C2C9A8">
            <w:pPr>
              <w:widowControl/>
              <w:jc w:val="center"/>
              <w:rPr>
                <w:color w:val="000000"/>
              </w:rPr>
            </w:pPr>
            <w:r>
              <w:rPr>
                <w:rFonts w:hint="eastAsia" w:ascii="宋体" w:hAnsi="宋体" w:cs="宋体"/>
                <w:color w:val="000000"/>
                <w:kern w:val="0"/>
                <w:sz w:val="20"/>
                <w:szCs w:val="20"/>
              </w:rPr>
              <w:t>其他结果</w:t>
            </w:r>
          </w:p>
        </w:tc>
        <w:tc>
          <w:tcPr>
            <w:tcW w:w="633" w:type="dxa"/>
            <w:tcBorders>
              <w:top w:val="single" w:color="auto" w:sz="8" w:space="0"/>
              <w:left w:val="nil"/>
              <w:bottom w:val="single" w:color="auto" w:sz="8" w:space="0"/>
              <w:right w:val="single" w:color="auto" w:sz="8" w:space="0"/>
            </w:tcBorders>
            <w:tcMar>
              <w:left w:w="108" w:type="dxa"/>
              <w:right w:w="108" w:type="dxa"/>
            </w:tcMar>
            <w:vAlign w:val="center"/>
          </w:tcPr>
          <w:p w14:paraId="02409E0F">
            <w:pPr>
              <w:widowControl/>
              <w:jc w:val="center"/>
              <w:rPr>
                <w:color w:val="000000"/>
              </w:rPr>
            </w:pPr>
            <w:r>
              <w:rPr>
                <w:rFonts w:hint="eastAsia" w:ascii="宋体" w:hAnsi="宋体" w:cs="宋体"/>
                <w:color w:val="000000"/>
                <w:kern w:val="0"/>
                <w:sz w:val="20"/>
                <w:szCs w:val="20"/>
              </w:rPr>
              <w:t>尚未审结</w:t>
            </w:r>
          </w:p>
        </w:tc>
        <w:tc>
          <w:tcPr>
            <w:tcW w:w="635" w:type="dxa"/>
            <w:tcBorders>
              <w:top w:val="single" w:color="auto" w:sz="8" w:space="0"/>
              <w:left w:val="nil"/>
              <w:bottom w:val="single" w:color="auto" w:sz="8" w:space="0"/>
              <w:right w:val="single" w:color="auto" w:sz="8" w:space="0"/>
            </w:tcBorders>
            <w:tcMar>
              <w:left w:w="108" w:type="dxa"/>
              <w:right w:w="108" w:type="dxa"/>
            </w:tcMar>
            <w:vAlign w:val="center"/>
          </w:tcPr>
          <w:p w14:paraId="17A982DA">
            <w:pPr>
              <w:widowControl/>
              <w:jc w:val="center"/>
              <w:rPr>
                <w:color w:val="000000"/>
              </w:rPr>
            </w:pPr>
            <w:r>
              <w:rPr>
                <w:rFonts w:hint="eastAsia" w:ascii="宋体" w:hAnsi="宋体" w:cs="宋体"/>
                <w:color w:val="000000"/>
                <w:kern w:val="0"/>
                <w:sz w:val="20"/>
                <w:szCs w:val="20"/>
              </w:rPr>
              <w:t>总计</w:t>
            </w:r>
          </w:p>
        </w:tc>
      </w:tr>
      <w:tr w14:paraId="090A8C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97" w:hRule="atLeast"/>
          <w:jc w:val="center"/>
        </w:trPr>
        <w:tc>
          <w:tcPr>
            <w:tcW w:w="631" w:type="dxa"/>
            <w:tcBorders>
              <w:top w:val="nil"/>
              <w:left w:val="single" w:color="auto" w:sz="8" w:space="0"/>
              <w:bottom w:val="single" w:color="auto" w:sz="8" w:space="0"/>
              <w:right w:val="single" w:color="auto" w:sz="8" w:space="0"/>
            </w:tcBorders>
            <w:tcMar>
              <w:left w:w="108" w:type="dxa"/>
              <w:right w:w="108" w:type="dxa"/>
            </w:tcMar>
            <w:vAlign w:val="center"/>
          </w:tcPr>
          <w:p w14:paraId="00FB08BA">
            <w:pPr>
              <w:widowControl/>
              <w:jc w:val="center"/>
              <w:rPr>
                <w:color w:val="000000"/>
              </w:rPr>
            </w:pPr>
            <w:r>
              <w:rPr>
                <w:rFonts w:hint="eastAsia"/>
                <w:color w:val="000000"/>
              </w:rPr>
              <w:t>无</w:t>
            </w:r>
          </w:p>
        </w:tc>
        <w:tc>
          <w:tcPr>
            <w:tcW w:w="631" w:type="dxa"/>
            <w:tcBorders>
              <w:top w:val="nil"/>
              <w:left w:val="nil"/>
              <w:bottom w:val="single" w:color="auto" w:sz="8" w:space="0"/>
              <w:right w:val="single" w:color="auto" w:sz="8" w:space="0"/>
            </w:tcBorders>
            <w:tcMar>
              <w:left w:w="108" w:type="dxa"/>
              <w:right w:w="108" w:type="dxa"/>
            </w:tcMar>
            <w:vAlign w:val="center"/>
          </w:tcPr>
          <w:p w14:paraId="67C49E32">
            <w:pPr>
              <w:jc w:val="center"/>
              <w:rPr>
                <w:color w:val="000000"/>
              </w:rPr>
            </w:pPr>
            <w:r>
              <w:rPr>
                <w:rFonts w:hint="eastAsia"/>
                <w:color w:val="000000"/>
              </w:rPr>
              <w:t>无</w:t>
            </w:r>
          </w:p>
        </w:tc>
        <w:tc>
          <w:tcPr>
            <w:tcW w:w="631" w:type="dxa"/>
            <w:tcBorders>
              <w:top w:val="nil"/>
              <w:left w:val="nil"/>
              <w:bottom w:val="single" w:color="auto" w:sz="8" w:space="0"/>
              <w:right w:val="single" w:color="auto" w:sz="8" w:space="0"/>
            </w:tcBorders>
            <w:tcMar>
              <w:left w:w="108" w:type="dxa"/>
              <w:right w:w="108" w:type="dxa"/>
            </w:tcMar>
            <w:vAlign w:val="center"/>
          </w:tcPr>
          <w:p w14:paraId="5CABC73F">
            <w:pPr>
              <w:jc w:val="center"/>
              <w:rPr>
                <w:color w:val="000000"/>
              </w:rPr>
            </w:pPr>
            <w:r>
              <w:rPr>
                <w:rFonts w:hint="eastAsia"/>
                <w:color w:val="000000"/>
              </w:rPr>
              <w:t>无</w:t>
            </w:r>
          </w:p>
        </w:tc>
        <w:tc>
          <w:tcPr>
            <w:tcW w:w="631" w:type="dxa"/>
            <w:tcBorders>
              <w:top w:val="nil"/>
              <w:left w:val="nil"/>
              <w:bottom w:val="single" w:color="auto" w:sz="8" w:space="0"/>
              <w:right w:val="single" w:color="auto" w:sz="8" w:space="0"/>
            </w:tcBorders>
            <w:tcMar>
              <w:left w:w="108" w:type="dxa"/>
              <w:right w:w="108" w:type="dxa"/>
            </w:tcMar>
            <w:vAlign w:val="center"/>
          </w:tcPr>
          <w:p w14:paraId="42D72EDB">
            <w:pPr>
              <w:jc w:val="center"/>
              <w:rPr>
                <w:color w:val="000000"/>
              </w:rPr>
            </w:pPr>
            <w:r>
              <w:rPr>
                <w:rFonts w:hint="eastAsia"/>
                <w:color w:val="000000"/>
              </w:rPr>
              <w:t>无</w:t>
            </w:r>
          </w:p>
        </w:tc>
        <w:tc>
          <w:tcPr>
            <w:tcW w:w="688" w:type="dxa"/>
            <w:tcBorders>
              <w:top w:val="nil"/>
              <w:left w:val="nil"/>
              <w:bottom w:val="single" w:color="auto" w:sz="8" w:space="0"/>
              <w:right w:val="single" w:color="auto" w:sz="8" w:space="0"/>
            </w:tcBorders>
            <w:tcMar>
              <w:left w:w="108" w:type="dxa"/>
              <w:right w:w="108" w:type="dxa"/>
            </w:tcMar>
            <w:vAlign w:val="center"/>
          </w:tcPr>
          <w:p w14:paraId="2EC56C9B">
            <w:pPr>
              <w:jc w:val="center"/>
              <w:rPr>
                <w:color w:val="000000"/>
              </w:rPr>
            </w:pPr>
            <w:r>
              <w:rPr>
                <w:rFonts w:hint="eastAsia"/>
                <w:color w:val="000000"/>
              </w:rPr>
              <w:t>无</w:t>
            </w:r>
          </w:p>
        </w:tc>
        <w:tc>
          <w:tcPr>
            <w:tcW w:w="756" w:type="dxa"/>
            <w:tcBorders>
              <w:top w:val="nil"/>
              <w:left w:val="nil"/>
              <w:bottom w:val="single" w:color="auto" w:sz="8" w:space="0"/>
              <w:right w:val="single" w:color="auto" w:sz="8" w:space="0"/>
            </w:tcBorders>
            <w:tcMar>
              <w:left w:w="108" w:type="dxa"/>
              <w:right w:w="108" w:type="dxa"/>
            </w:tcMar>
            <w:vAlign w:val="center"/>
          </w:tcPr>
          <w:p w14:paraId="1A182B81">
            <w:pPr>
              <w:jc w:val="center"/>
              <w:rPr>
                <w:color w:val="000000"/>
              </w:rPr>
            </w:pPr>
            <w:r>
              <w:rPr>
                <w:rFonts w:hint="eastAsia"/>
                <w:color w:val="000000"/>
              </w:rPr>
              <w:t>无</w:t>
            </w:r>
          </w:p>
        </w:tc>
        <w:tc>
          <w:tcPr>
            <w:tcW w:w="632" w:type="dxa"/>
            <w:tcBorders>
              <w:top w:val="nil"/>
              <w:left w:val="nil"/>
              <w:bottom w:val="single" w:color="auto" w:sz="8" w:space="0"/>
              <w:right w:val="single" w:color="auto" w:sz="8" w:space="0"/>
            </w:tcBorders>
            <w:tcMar>
              <w:left w:w="108" w:type="dxa"/>
              <w:right w:w="108" w:type="dxa"/>
            </w:tcMar>
            <w:vAlign w:val="center"/>
          </w:tcPr>
          <w:p w14:paraId="7512C91D">
            <w:pPr>
              <w:jc w:val="center"/>
              <w:rPr>
                <w:color w:val="000000"/>
              </w:rPr>
            </w:pPr>
            <w:r>
              <w:rPr>
                <w:rFonts w:hint="eastAsia"/>
                <w:color w:val="000000"/>
              </w:rPr>
              <w:t>无</w:t>
            </w:r>
          </w:p>
        </w:tc>
        <w:tc>
          <w:tcPr>
            <w:tcW w:w="632" w:type="dxa"/>
            <w:tcBorders>
              <w:top w:val="nil"/>
              <w:left w:val="nil"/>
              <w:bottom w:val="single" w:color="auto" w:sz="8" w:space="0"/>
              <w:right w:val="single" w:color="auto" w:sz="8" w:space="0"/>
            </w:tcBorders>
            <w:tcMar>
              <w:left w:w="108" w:type="dxa"/>
              <w:right w:w="108" w:type="dxa"/>
            </w:tcMar>
            <w:vAlign w:val="center"/>
          </w:tcPr>
          <w:p w14:paraId="3DE791E7">
            <w:pPr>
              <w:jc w:val="center"/>
              <w:rPr>
                <w:color w:val="000000"/>
              </w:rPr>
            </w:pPr>
            <w:r>
              <w:rPr>
                <w:rFonts w:hint="eastAsia"/>
                <w:color w:val="000000"/>
              </w:rPr>
              <w:t>无</w:t>
            </w:r>
          </w:p>
        </w:tc>
        <w:tc>
          <w:tcPr>
            <w:tcW w:w="632" w:type="dxa"/>
            <w:tcBorders>
              <w:top w:val="nil"/>
              <w:left w:val="nil"/>
              <w:bottom w:val="single" w:color="auto" w:sz="8" w:space="0"/>
              <w:right w:val="single" w:color="auto" w:sz="8" w:space="0"/>
            </w:tcBorders>
            <w:tcMar>
              <w:left w:w="108" w:type="dxa"/>
              <w:right w:w="108" w:type="dxa"/>
            </w:tcMar>
            <w:vAlign w:val="center"/>
          </w:tcPr>
          <w:p w14:paraId="78636350">
            <w:pPr>
              <w:jc w:val="center"/>
              <w:rPr>
                <w:color w:val="000000"/>
              </w:rPr>
            </w:pPr>
            <w:r>
              <w:rPr>
                <w:rFonts w:hint="eastAsia"/>
                <w:color w:val="000000"/>
              </w:rPr>
              <w:t>无</w:t>
            </w:r>
          </w:p>
        </w:tc>
        <w:tc>
          <w:tcPr>
            <w:tcW w:w="633" w:type="dxa"/>
            <w:tcBorders>
              <w:top w:val="nil"/>
              <w:left w:val="nil"/>
              <w:bottom w:val="single" w:color="auto" w:sz="8" w:space="0"/>
              <w:right w:val="single" w:color="auto" w:sz="8" w:space="0"/>
            </w:tcBorders>
            <w:tcMar>
              <w:left w:w="108" w:type="dxa"/>
              <w:right w:w="108" w:type="dxa"/>
            </w:tcMar>
            <w:vAlign w:val="center"/>
          </w:tcPr>
          <w:p w14:paraId="690C166E">
            <w:pPr>
              <w:jc w:val="center"/>
              <w:rPr>
                <w:color w:val="000000"/>
              </w:rPr>
            </w:pPr>
            <w:r>
              <w:rPr>
                <w:rFonts w:hint="eastAsia"/>
                <w:color w:val="000000"/>
              </w:rPr>
              <w:t>无</w:t>
            </w:r>
          </w:p>
        </w:tc>
        <w:tc>
          <w:tcPr>
            <w:tcW w:w="632" w:type="dxa"/>
            <w:tcBorders>
              <w:top w:val="nil"/>
              <w:left w:val="nil"/>
              <w:bottom w:val="single" w:color="auto" w:sz="8" w:space="0"/>
              <w:right w:val="single" w:color="auto" w:sz="8" w:space="0"/>
            </w:tcBorders>
            <w:tcMar>
              <w:left w:w="108" w:type="dxa"/>
              <w:right w:w="108" w:type="dxa"/>
            </w:tcMar>
            <w:vAlign w:val="center"/>
          </w:tcPr>
          <w:p w14:paraId="78731501">
            <w:pPr>
              <w:jc w:val="center"/>
              <w:rPr>
                <w:color w:val="000000"/>
              </w:rPr>
            </w:pPr>
            <w:r>
              <w:rPr>
                <w:rFonts w:hint="eastAsia"/>
                <w:color w:val="000000"/>
              </w:rPr>
              <w:t>无</w:t>
            </w:r>
          </w:p>
        </w:tc>
        <w:tc>
          <w:tcPr>
            <w:tcW w:w="632" w:type="dxa"/>
            <w:tcBorders>
              <w:top w:val="nil"/>
              <w:left w:val="nil"/>
              <w:bottom w:val="single" w:color="auto" w:sz="8" w:space="0"/>
              <w:right w:val="single" w:color="auto" w:sz="8" w:space="0"/>
            </w:tcBorders>
            <w:tcMar>
              <w:left w:w="108" w:type="dxa"/>
              <w:right w:w="108" w:type="dxa"/>
            </w:tcMar>
            <w:vAlign w:val="center"/>
          </w:tcPr>
          <w:p w14:paraId="081AEEEB">
            <w:pPr>
              <w:jc w:val="center"/>
              <w:rPr>
                <w:color w:val="000000"/>
              </w:rPr>
            </w:pPr>
            <w:r>
              <w:rPr>
                <w:rFonts w:hint="eastAsia"/>
                <w:color w:val="000000"/>
              </w:rPr>
              <w:t>无</w:t>
            </w:r>
          </w:p>
        </w:tc>
        <w:tc>
          <w:tcPr>
            <w:tcW w:w="632" w:type="dxa"/>
            <w:tcBorders>
              <w:top w:val="nil"/>
              <w:left w:val="nil"/>
              <w:bottom w:val="single" w:color="auto" w:sz="8" w:space="0"/>
              <w:right w:val="single" w:color="auto" w:sz="8" w:space="0"/>
            </w:tcBorders>
            <w:tcMar>
              <w:left w:w="108" w:type="dxa"/>
              <w:right w:w="108" w:type="dxa"/>
            </w:tcMar>
            <w:vAlign w:val="center"/>
          </w:tcPr>
          <w:p w14:paraId="2CE58F82">
            <w:pPr>
              <w:jc w:val="center"/>
              <w:rPr>
                <w:color w:val="000000"/>
              </w:rPr>
            </w:pPr>
            <w:r>
              <w:rPr>
                <w:rFonts w:hint="eastAsia"/>
                <w:color w:val="000000"/>
              </w:rPr>
              <w:t>无</w:t>
            </w:r>
          </w:p>
        </w:tc>
        <w:tc>
          <w:tcPr>
            <w:tcW w:w="633" w:type="dxa"/>
            <w:tcBorders>
              <w:top w:val="nil"/>
              <w:left w:val="nil"/>
              <w:bottom w:val="single" w:color="auto" w:sz="8" w:space="0"/>
              <w:right w:val="single" w:color="auto" w:sz="8" w:space="0"/>
            </w:tcBorders>
            <w:tcMar>
              <w:left w:w="108" w:type="dxa"/>
              <w:right w:w="108" w:type="dxa"/>
            </w:tcMar>
            <w:vAlign w:val="center"/>
          </w:tcPr>
          <w:p w14:paraId="2BFB525B">
            <w:pPr>
              <w:jc w:val="center"/>
              <w:rPr>
                <w:color w:val="000000"/>
              </w:rPr>
            </w:pPr>
            <w:r>
              <w:rPr>
                <w:rFonts w:hint="eastAsia"/>
                <w:color w:val="000000"/>
              </w:rPr>
              <w:t>无</w:t>
            </w:r>
          </w:p>
        </w:tc>
        <w:tc>
          <w:tcPr>
            <w:tcW w:w="635" w:type="dxa"/>
            <w:tcBorders>
              <w:top w:val="nil"/>
              <w:left w:val="nil"/>
              <w:bottom w:val="single" w:color="auto" w:sz="8" w:space="0"/>
              <w:right w:val="single" w:color="auto" w:sz="8" w:space="0"/>
            </w:tcBorders>
            <w:tcMar>
              <w:left w:w="108" w:type="dxa"/>
              <w:right w:w="108" w:type="dxa"/>
            </w:tcMar>
            <w:vAlign w:val="center"/>
          </w:tcPr>
          <w:p w14:paraId="1CC3FB4A">
            <w:pPr>
              <w:jc w:val="center"/>
              <w:rPr>
                <w:color w:val="000000"/>
              </w:rPr>
            </w:pPr>
            <w:r>
              <w:rPr>
                <w:rFonts w:hint="eastAsia"/>
                <w:color w:val="000000"/>
              </w:rPr>
              <w:t>无</w:t>
            </w:r>
          </w:p>
        </w:tc>
      </w:tr>
    </w:tbl>
    <w:p w14:paraId="591930E3">
      <w:pPr>
        <w:pStyle w:val="2"/>
        <w:widowControl/>
        <w:shd w:val="clear" w:color="auto" w:fill="FFFFFF"/>
        <w:spacing w:beforeAutospacing="0" w:afterAutospacing="0"/>
        <w:ind w:firstLine="420"/>
        <w:jc w:val="both"/>
        <w:rPr>
          <w:rFonts w:ascii="宋体" w:cs="宋体"/>
          <w:color w:val="000000"/>
          <w:sz w:val="28"/>
          <w:szCs w:val="28"/>
        </w:rPr>
      </w:pPr>
      <w:r>
        <w:rPr>
          <w:rFonts w:hint="eastAsia" w:ascii="宋体" w:hAnsi="宋体" w:cs="宋体"/>
          <w:b/>
          <w:color w:val="000000"/>
          <w:sz w:val="28"/>
          <w:szCs w:val="28"/>
          <w:shd w:val="clear" w:color="auto" w:fill="FFFFFF"/>
        </w:rPr>
        <w:t>五、存在的主要问题及改进情况</w:t>
      </w:r>
    </w:p>
    <w:p w14:paraId="7D471693">
      <w:pPr>
        <w:ind w:firstLine="560" w:firstLineChars="200"/>
        <w:rPr>
          <w:color w:val="000000"/>
          <w:sz w:val="28"/>
          <w:szCs w:val="28"/>
        </w:rPr>
      </w:pPr>
      <w:r>
        <w:rPr>
          <w:rFonts w:hint="eastAsia"/>
          <w:color w:val="000000"/>
          <w:sz w:val="28"/>
          <w:szCs w:val="28"/>
        </w:rPr>
        <w:t>主要问题是公开的内容和形式还不够丰富，公开涉及民生的热点、难点问题及群众关心的“三公”等信息少。我办将进一步完善落实政府信息公开工作机制和制度规范，对信息公开工作进行全面梳理，严格审查程序，完善依申请公开工作规范，健全主动申请和依申请公开等工作细则，加大落实政府信息发布协调机制、年度报告制度、监督和考核机制等力度，围绕社会广泛关注、关系群众切身利益的事项，完善政府信息公开目录，扩大主动公开信息量。</w:t>
      </w:r>
    </w:p>
    <w:p w14:paraId="17CE3DD3">
      <w:pPr>
        <w:ind w:firstLine="562" w:firstLineChars="200"/>
        <w:rPr>
          <w:b/>
          <w:color w:val="000000"/>
          <w:sz w:val="28"/>
          <w:szCs w:val="28"/>
        </w:rPr>
      </w:pPr>
      <w:r>
        <w:rPr>
          <w:rFonts w:hint="eastAsia"/>
          <w:b/>
          <w:color w:val="000000"/>
          <w:sz w:val="28"/>
          <w:szCs w:val="28"/>
        </w:rPr>
        <w:t>六、下一步工作打算</w:t>
      </w:r>
    </w:p>
    <w:p w14:paraId="388D9DA9">
      <w:pPr>
        <w:ind w:firstLine="560" w:firstLineChars="200"/>
        <w:rPr>
          <w:color w:val="000000"/>
          <w:sz w:val="28"/>
          <w:szCs w:val="28"/>
        </w:rPr>
      </w:pPr>
      <w:r>
        <w:rPr>
          <w:rFonts w:hint="eastAsia"/>
          <w:color w:val="000000"/>
          <w:sz w:val="28"/>
          <w:szCs w:val="28"/>
        </w:rPr>
        <w:t>一是完善政务服务平台体系。整合政务服务资源，将县、乡（镇）、村（社区）政务服务体系建设纳入基本公共服务体系建设范畴，县级服务中心推行标准化建设，乡村两级推行规范化建设，提升政务服务的能力和水平，打造更为综合、更加高效的政务服务平台。健全政务服务中心运行管理机制，改进服务方式，提高服务水平。</w:t>
      </w:r>
    </w:p>
    <w:p w14:paraId="6A0A916D">
      <w:pPr>
        <w:ind w:firstLine="560" w:firstLineChars="200"/>
        <w:rPr>
          <w:color w:val="000000"/>
          <w:sz w:val="28"/>
          <w:szCs w:val="28"/>
        </w:rPr>
      </w:pPr>
      <w:r>
        <w:rPr>
          <w:rFonts w:hint="eastAsia"/>
          <w:color w:val="000000"/>
          <w:sz w:val="28"/>
          <w:szCs w:val="28"/>
        </w:rPr>
        <w:t>二是逐步推行网上审批。整合电子政务资源，加快行政权力运行平台建设，建成全市“中介超市网上系统”，逐步实行网上审批、缴费、咨询、办证、电子监察、法治监督以及联网核查，推动不同层级、不同部门之间网络互联互通、信息共享、业务协同。</w:t>
      </w:r>
    </w:p>
    <w:p w14:paraId="6B49ABDA">
      <w:pPr>
        <w:ind w:firstLine="560" w:firstLineChars="200"/>
        <w:rPr>
          <w:color w:val="000000"/>
          <w:sz w:val="28"/>
          <w:szCs w:val="28"/>
        </w:rPr>
      </w:pPr>
      <w:r>
        <w:rPr>
          <w:rFonts w:hint="eastAsia"/>
          <w:color w:val="000000"/>
          <w:sz w:val="28"/>
          <w:szCs w:val="28"/>
        </w:rPr>
        <w:t>三是全面深化信息公开。全面推进政府决策、执行、管理、服务、结果公开和企事业单位、基层办事公开。所有行政审批服务事项都要公开办理主体、办理依据、办理条件、申报材料、办理程序、办理时限、收费依据、收费标准、监督渠道等信息，实时公开办理过程和结</w:t>
      </w:r>
    </w:p>
    <w:p w14:paraId="3EBA8EEF">
      <w:pPr>
        <w:rPr>
          <w:color w:val="000000"/>
          <w:sz w:val="28"/>
          <w:szCs w:val="28"/>
        </w:rPr>
      </w:pPr>
      <w:r>
        <w:rPr>
          <w:rFonts w:hint="eastAsia"/>
          <w:color w:val="000000"/>
          <w:sz w:val="28"/>
          <w:szCs w:val="28"/>
        </w:rPr>
        <w:t>果。</w:t>
      </w:r>
    </w:p>
    <w:p w14:paraId="4AD231F8">
      <w:pPr>
        <w:rPr>
          <w:color w:val="000000"/>
          <w:sz w:val="28"/>
          <w:szCs w:val="28"/>
        </w:rPr>
      </w:pPr>
    </w:p>
    <w:p w14:paraId="0D27DA8B">
      <w:pPr>
        <w:rPr>
          <w:color w:val="000000"/>
          <w:sz w:val="28"/>
          <w:szCs w:val="28"/>
        </w:rPr>
      </w:pPr>
    </w:p>
    <w:p w14:paraId="06C8D778">
      <w:pPr>
        <w:rPr>
          <w:color w:val="000000"/>
          <w:sz w:val="28"/>
          <w:szCs w:val="28"/>
        </w:rPr>
      </w:pPr>
    </w:p>
    <w:p w14:paraId="30CF5DE8">
      <w:pPr>
        <w:rPr>
          <w:color w:val="000000"/>
          <w:sz w:val="28"/>
          <w:szCs w:val="28"/>
        </w:rPr>
      </w:pPr>
    </w:p>
    <w:p w14:paraId="021124A0">
      <w:pPr>
        <w:rPr>
          <w:color w:val="000000"/>
          <w:sz w:val="28"/>
          <w:szCs w:val="28"/>
        </w:rPr>
      </w:pPr>
      <w:r>
        <w:rPr>
          <w:color w:val="000000"/>
          <w:sz w:val="28"/>
          <w:szCs w:val="28"/>
        </w:rPr>
        <w:t xml:space="preserve">                             </w:t>
      </w:r>
      <w:r>
        <w:rPr>
          <w:rFonts w:hint="eastAsia"/>
          <w:color w:val="000000"/>
          <w:sz w:val="28"/>
          <w:szCs w:val="28"/>
        </w:rPr>
        <w:t>新余市行政服务管理委员会</w:t>
      </w:r>
    </w:p>
    <w:p w14:paraId="66D536F0">
      <w:pPr>
        <w:rPr>
          <w:color w:val="000000"/>
          <w:sz w:val="28"/>
          <w:szCs w:val="28"/>
        </w:rPr>
      </w:pPr>
      <w:r>
        <w:rPr>
          <w:color w:val="000000"/>
          <w:sz w:val="28"/>
          <w:szCs w:val="28"/>
        </w:rPr>
        <w:t xml:space="preserve">                                  2020</w:t>
      </w:r>
      <w:r>
        <w:rPr>
          <w:rFonts w:hint="eastAsia"/>
          <w:color w:val="000000"/>
          <w:sz w:val="28"/>
          <w:szCs w:val="28"/>
        </w:rPr>
        <w:t>年元月</w:t>
      </w:r>
      <w:r>
        <w:rPr>
          <w:color w:val="000000"/>
          <w:sz w:val="28"/>
          <w:szCs w:val="28"/>
        </w:rPr>
        <w:t>15</w:t>
      </w:r>
      <w:r>
        <w:rPr>
          <w:rFonts w:hint="eastAsia"/>
          <w:color w:val="00000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73C5E252-2AF5-437C-BD67-4583632A107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8A046D4"/>
    <w:rsid w:val="000D09FC"/>
    <w:rsid w:val="0022202A"/>
    <w:rsid w:val="00344670"/>
    <w:rsid w:val="00373520"/>
    <w:rsid w:val="00433A40"/>
    <w:rsid w:val="004D6F45"/>
    <w:rsid w:val="00523F0A"/>
    <w:rsid w:val="005643E6"/>
    <w:rsid w:val="005B12CE"/>
    <w:rsid w:val="0063150C"/>
    <w:rsid w:val="008E06FC"/>
    <w:rsid w:val="00984740"/>
    <w:rsid w:val="009F72CE"/>
    <w:rsid w:val="00A143F4"/>
    <w:rsid w:val="00A94424"/>
    <w:rsid w:val="00AB6FA7"/>
    <w:rsid w:val="00AF4CD4"/>
    <w:rsid w:val="00B63F78"/>
    <w:rsid w:val="00BC0EBB"/>
    <w:rsid w:val="00CE070B"/>
    <w:rsid w:val="00DD57C6"/>
    <w:rsid w:val="00E96C2C"/>
    <w:rsid w:val="00EB56F7"/>
    <w:rsid w:val="00F32CC7"/>
    <w:rsid w:val="00F60924"/>
    <w:rsid w:val="00F7013F"/>
    <w:rsid w:val="00FF39D5"/>
    <w:rsid w:val="28A046D4"/>
    <w:rsid w:val="2EBA24A6"/>
    <w:rsid w:val="36546371"/>
    <w:rsid w:val="4C691150"/>
    <w:rsid w:val="5F0D0620"/>
    <w:rsid w:val="75F041FF"/>
    <w:rsid w:val="7DF17678"/>
    <w:rsid w:val="CF592A2A"/>
    <w:rsid w:val="F7F7C0E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99"/>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10</Pages>
  <Words>3905</Words>
  <Characters>3995</Characters>
  <Lines>0</Lines>
  <Paragraphs>0</Paragraphs>
  <TotalTime>0</TotalTime>
  <ScaleCrop>false</ScaleCrop>
  <LinksUpToDate>false</LinksUpToDate>
  <CharactersWithSpaces>3995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2020-02-05T17:23:00Z</dcterms:created>
  <dc:creator>Administrator</dc:creator>
  <cp:lastModifiedBy>A静水流深</cp:lastModifiedBy>
  <dcterms:modified xsi:type="dcterms:W3CDTF">2025-07-25T03:29:39Z</dcterms:modified>
  <dc:title>市行管委2019年度政府信息公开工作</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eyJoZGlkIjoiZGZhNmVhYWEzMjdmZjAzNDlhMTVlOGVhMjVhOTE4MzMiLCJ1c2VySWQiOiI0MjMyMTcxMDgifQ==</vt:lpwstr>
  </property>
  <property fmtid="{D5CDD505-2E9C-101B-9397-08002B2CF9AE}" pid="4" name="ICV">
    <vt:lpwstr>3D91A65213BA42CAA803BB799622EBBB_12</vt:lpwstr>
  </property>
</Properties>
</file>