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hint="eastAsia" w:asciiTheme="minorEastAsia" w:hAnsiTheme="minorEastAsia" w:eastAsiaTheme="minorEastAsia" w:cstheme="minorEastAsia"/>
          <w:kern w:val="0"/>
          <w:sz w:val="24"/>
        </w:rPr>
      </w:pPr>
      <w:r>
        <w:rPr>
          <w:rFonts w:hint="eastAsia" w:asciiTheme="minorEastAsia" w:hAnsiTheme="minorEastAsia" w:eastAsiaTheme="minorEastAsia" w:cstheme="minorEastAsia"/>
          <w:bCs/>
          <w:sz w:val="44"/>
          <w:szCs w:val="44"/>
        </w:rPr>
        <w:t>新余市政务服务中心2022年政府信息公开工作年度报告</w:t>
      </w:r>
    </w:p>
    <w:p>
      <w:pPr>
        <w:keepNext w:val="0"/>
        <w:keepLines w:val="0"/>
        <w:widowControl/>
        <w:suppressLineNumbers w:val="0"/>
        <w:jc w:val="left"/>
        <w:rPr>
          <w:rFonts w:hint="eastAsia"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 xml:space="preserve">    依据《中华人民共和国政府信息公开条例》(以下简称《政府信息公开条例》)和《关于印发中华人民共和国政府信息公开工作年度报告格式的通知》(国办公开办函〔2021〕30号)要求，编制本报告。本报告所列数据统计期限为2022年1月1日至12月31日。如对本报告有任何疑问,请与新余市政务服务中心办公室联系(地址：新余市渝水区赣西大道1958号509室，联系电话：0790—6422700，邮编：338000，电子邮箱：jxxyxgw@126.com)</w:t>
      </w: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firstLine="420"/>
        <w:jc w:val="both"/>
        <w:textAlignment w:val="auto"/>
        <w:rPr>
          <w:rFonts w:hint="eastAsia" w:asciiTheme="minorEastAsia" w:hAnsiTheme="minorEastAsia" w:eastAsiaTheme="minorEastAsia" w:cstheme="minorEastAsia"/>
          <w:b/>
          <w:bCs w:val="0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/>
          <w:bCs w:val="0"/>
          <w:sz w:val="32"/>
          <w:szCs w:val="32"/>
        </w:rPr>
        <w:t>一、总体情况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firstLine="642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  <w:t>主动公开情况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240" w:lineRule="auto"/>
        <w:ind w:firstLine="64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kern w:val="0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kern w:val="0"/>
          <w:sz w:val="32"/>
          <w:szCs w:val="32"/>
          <w:lang w:val="en-US" w:eastAsia="zh-CN"/>
        </w:rPr>
        <w:t>2022年通过单位门户网站各子栏目共主动公开各类信息436条，通过市政府信息公开平台共主动公开各类信息17条，通过微信订阅号“新余行政服务”发布产业最新政策、动态和消息等873条;通过官方微博“新余市行管委”发布微博254</w:t>
      </w:r>
      <w:r>
        <w:rPr>
          <w:rFonts w:hint="eastAsia" w:asciiTheme="minorEastAsia" w:hAnsiTheme="minorEastAsia" w:eastAsiaTheme="minorEastAsia" w:cstheme="minorEastAsia"/>
          <w:kern w:val="0"/>
          <w:sz w:val="32"/>
          <w:szCs w:val="32"/>
        </w:rPr>
        <w:t>条。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firstLine="642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  <w:t>依申请公开情况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240" w:lineRule="auto"/>
        <w:ind w:firstLine="64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kern w:val="0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kern w:val="0"/>
          <w:sz w:val="32"/>
          <w:szCs w:val="32"/>
        </w:rPr>
        <w:t>2022年</w:t>
      </w:r>
      <w:r>
        <w:rPr>
          <w:rFonts w:hint="eastAsia" w:asciiTheme="minorEastAsia" w:hAnsiTheme="minorEastAsia" w:eastAsiaTheme="minorEastAsia" w:cstheme="minorEastAsia"/>
          <w:kern w:val="0"/>
          <w:sz w:val="32"/>
          <w:szCs w:val="32"/>
          <w:lang w:eastAsia="zh-CN"/>
        </w:rPr>
        <w:t>未</w:t>
      </w:r>
      <w:r>
        <w:rPr>
          <w:rFonts w:hint="eastAsia" w:asciiTheme="minorEastAsia" w:hAnsiTheme="minorEastAsia" w:eastAsiaTheme="minorEastAsia" w:cstheme="minorEastAsia"/>
          <w:kern w:val="0"/>
          <w:sz w:val="32"/>
          <w:szCs w:val="32"/>
        </w:rPr>
        <w:t>收到依申请公开事项。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firstLine="642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  <w:t>政府信息管理情况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 w:firstLine="64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kern w:val="0"/>
          <w:sz w:val="32"/>
          <w:szCs w:val="32"/>
          <w:lang w:val="en-US" w:eastAsia="zh-CN" w:bidi="ar-SA"/>
        </w:rPr>
        <w:t>我中心认真贯彻市政府关于政务公开的各项要求,严格落实政务信息公开三审三校和保密审查制度。成立了以党组书记、主任孙昕晖任组长，分管领导何拾芽任副组长，机关各科室和下属各单位负责人为成员的政务公开工作领导小组,领导小组在中心办公室下设办公室，配备了专职负责人,各科室也明确了政务公开负责人和相应的工作人员,同时负责中心网站和微信公众号的建设和维护工作。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firstLine="642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  <w:t>政府信息公开平台建设情况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240" w:lineRule="auto"/>
        <w:ind w:firstLine="64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kern w:val="0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kern w:val="0"/>
          <w:sz w:val="32"/>
          <w:szCs w:val="32"/>
        </w:rPr>
        <w:t>投入专项资金完善网站、创建微信公众号</w:t>
      </w:r>
      <w:r>
        <w:rPr>
          <w:rFonts w:hint="eastAsia" w:asciiTheme="minorEastAsia" w:hAnsiTheme="minorEastAsia" w:eastAsiaTheme="minorEastAsia" w:cstheme="minorEastAsia"/>
          <w:kern w:val="0"/>
          <w:sz w:val="32"/>
          <w:szCs w:val="32"/>
          <w:lang w:eastAsia="zh-CN"/>
        </w:rPr>
        <w:t>，</w:t>
      </w:r>
      <w:r>
        <w:rPr>
          <w:rFonts w:hint="eastAsia" w:asciiTheme="minorEastAsia" w:hAnsiTheme="minorEastAsia" w:eastAsiaTheme="minorEastAsia" w:cstheme="minorEastAsia"/>
          <w:kern w:val="0"/>
          <w:sz w:val="32"/>
          <w:szCs w:val="32"/>
        </w:rPr>
        <w:t>把网站和微信公众号视为推行政务公开和优化政务环境的重要平台。不断强化网站对内、对外的应用，拓展网站功能。</w:t>
      </w:r>
      <w:bookmarkStart w:id="0" w:name="_GoBack"/>
      <w:bookmarkEnd w:id="0"/>
    </w:p>
    <w:p>
      <w:pPr>
        <w:pStyle w:val="3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firstLine="642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  <w:t>监督保障情况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240" w:lineRule="auto"/>
        <w:ind w:firstLine="64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kern w:val="0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kern w:val="0"/>
          <w:sz w:val="32"/>
          <w:szCs w:val="32"/>
        </w:rPr>
        <w:t>市</w:t>
      </w:r>
      <w:r>
        <w:rPr>
          <w:rFonts w:hint="eastAsia" w:asciiTheme="minorEastAsia" w:hAnsiTheme="minorEastAsia" w:eastAsiaTheme="minorEastAsia" w:cstheme="minorEastAsia"/>
          <w:kern w:val="0"/>
          <w:sz w:val="32"/>
          <w:szCs w:val="32"/>
          <w:lang w:eastAsia="zh-CN"/>
        </w:rPr>
        <w:t>政务服务中心</w:t>
      </w:r>
      <w:r>
        <w:rPr>
          <w:rFonts w:hint="eastAsia" w:asciiTheme="minorEastAsia" w:hAnsiTheme="minorEastAsia" w:eastAsiaTheme="minorEastAsia" w:cstheme="minorEastAsia"/>
          <w:kern w:val="0"/>
          <w:sz w:val="32"/>
          <w:szCs w:val="32"/>
        </w:rPr>
        <w:t>已将政府信息公开工作列入年度绩效考核目标任务，及时督促各科室（</w:t>
      </w:r>
      <w:r>
        <w:rPr>
          <w:rFonts w:hint="eastAsia" w:asciiTheme="minorEastAsia" w:hAnsiTheme="minorEastAsia" w:eastAsiaTheme="minorEastAsia" w:cstheme="minorEastAsia"/>
          <w:kern w:val="0"/>
          <w:sz w:val="32"/>
          <w:szCs w:val="32"/>
          <w:lang w:eastAsia="zh-CN"/>
        </w:rPr>
        <w:t>中心</w:t>
      </w:r>
      <w:r>
        <w:rPr>
          <w:rFonts w:hint="eastAsia" w:asciiTheme="minorEastAsia" w:hAnsiTheme="minorEastAsia" w:eastAsiaTheme="minorEastAsia" w:cstheme="minorEastAsia"/>
          <w:kern w:val="0"/>
          <w:sz w:val="32"/>
          <w:szCs w:val="32"/>
        </w:rPr>
        <w:t>），依法公开相关政务信息。</w:t>
      </w: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firstLine="642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b/>
          <w:bCs w:val="0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/>
          <w:bCs w:val="0"/>
          <w:sz w:val="32"/>
          <w:szCs w:val="32"/>
        </w:rPr>
        <w:t>二、主动公开政府信息情况</w:t>
      </w:r>
    </w:p>
    <w:tbl>
      <w:tblPr>
        <w:tblStyle w:val="4"/>
        <w:tblW w:w="974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第二十条第（一）项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本年制发件数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现行有效件数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第二十条第（五）项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第二十条第（六）项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第二十条第（八）项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本年收费金额（单位：万元）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</w:tbl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firstLine="642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b/>
          <w:bCs w:val="0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/>
          <w:bCs w:val="0"/>
          <w:sz w:val="32"/>
          <w:szCs w:val="32"/>
        </w:rPr>
        <w:t>三、收到和处理政府信息公开申请情况</w:t>
      </w:r>
    </w:p>
    <w:tbl>
      <w:tblPr>
        <w:tblStyle w:val="4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754"/>
        <w:gridCol w:w="921"/>
        <w:gridCol w:w="3257"/>
        <w:gridCol w:w="688"/>
        <w:gridCol w:w="688"/>
        <w:gridCol w:w="688"/>
        <w:gridCol w:w="688"/>
        <w:gridCol w:w="688"/>
        <w:gridCol w:w="688"/>
        <w:gridCol w:w="688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5150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outset" w:color="auto" w:sz="6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left"/>
              <w:textAlignment w:val="auto"/>
            </w:pPr>
            <w:r>
              <w:rPr>
                <w:rFonts w:hint="eastAsia" w:ascii="黑体" w:hAnsi="黑体" w:eastAsia="黑体" w:cs="黑体"/>
                <w:bCs/>
                <w:kern w:val="0"/>
                <w:sz w:val="20"/>
                <w:szCs w:val="20"/>
              </w:rPr>
              <w:t>（本列数据的勾稽关系为：第一项加第二项之和，等于第三项加第四项之和）</w:t>
            </w:r>
          </w:p>
        </w:tc>
        <w:tc>
          <w:tcPr>
            <w:tcW w:w="4998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申请人情况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5150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6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textAlignment w:val="auto"/>
              <w:rPr>
                <w:rFonts w:ascii="宋体"/>
                <w:sz w:val="24"/>
              </w:rPr>
            </w:pPr>
          </w:p>
        </w:tc>
        <w:tc>
          <w:tcPr>
            <w:tcW w:w="71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357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714" w:type="dxa"/>
            <w:vMerge w:val="restart"/>
            <w:tcBorders>
              <w:top w:val="single" w:color="auto" w:sz="8" w:space="0"/>
              <w:left w:val="nil"/>
              <w:bottom w:val="outset" w:color="auto" w:sz="6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5150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6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textAlignment w:val="auto"/>
              <w:rPr>
                <w:rFonts w:ascii="宋体"/>
                <w:sz w:val="24"/>
              </w:rPr>
            </w:pPr>
          </w:p>
        </w:tc>
        <w:tc>
          <w:tcPr>
            <w:tcW w:w="71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textAlignment w:val="auto"/>
              <w:rPr>
                <w:rFonts w:ascii="宋体"/>
                <w:sz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商业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企业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科研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机构</w:t>
            </w:r>
          </w:p>
        </w:tc>
        <w:tc>
          <w:tcPr>
            <w:tcW w:w="7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7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7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其他</w:t>
            </w:r>
          </w:p>
        </w:tc>
        <w:tc>
          <w:tcPr>
            <w:tcW w:w="714" w:type="dxa"/>
            <w:vMerge w:val="continue"/>
            <w:tcBorders>
              <w:top w:val="single" w:color="auto" w:sz="8" w:space="0"/>
              <w:left w:val="nil"/>
              <w:bottom w:val="outset" w:color="auto" w:sz="6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textAlignment w:val="auto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5150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5150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85" w:type="dxa"/>
            <w:vMerge w:val="restart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三、本年度办理结果</w:t>
            </w:r>
          </w:p>
        </w:tc>
        <w:tc>
          <w:tcPr>
            <w:tcW w:w="436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textAlignment w:val="auto"/>
              <w:rPr>
                <w:rFonts w:ascii="宋体"/>
                <w:sz w:val="24"/>
              </w:rPr>
            </w:pPr>
          </w:p>
        </w:tc>
        <w:tc>
          <w:tcPr>
            <w:tcW w:w="436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（二）部分公开</w:t>
            </w: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（区分处理的，只计这一情形，不计其他情形）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textAlignment w:val="auto"/>
              <w:rPr>
                <w:rFonts w:ascii="宋体"/>
                <w:sz w:val="24"/>
              </w:rPr>
            </w:pPr>
          </w:p>
        </w:tc>
        <w:tc>
          <w:tcPr>
            <w:tcW w:w="959" w:type="dxa"/>
            <w:vMerge w:val="restart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1.属于国家秘密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textAlignment w:val="auto"/>
              <w:rPr>
                <w:rFonts w:ascii="宋体"/>
                <w:sz w:val="24"/>
              </w:rPr>
            </w:pPr>
          </w:p>
        </w:tc>
        <w:tc>
          <w:tcPr>
            <w:tcW w:w="959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textAlignment w:val="auto"/>
              <w:rPr>
                <w:rFonts w:ascii="宋体"/>
                <w:sz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2.其他法律行政法规禁止公开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textAlignment w:val="auto"/>
              <w:rPr>
                <w:rFonts w:ascii="宋体"/>
                <w:sz w:val="24"/>
              </w:rPr>
            </w:pPr>
          </w:p>
        </w:tc>
        <w:tc>
          <w:tcPr>
            <w:tcW w:w="959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textAlignment w:val="auto"/>
              <w:rPr>
                <w:rFonts w:ascii="宋体"/>
                <w:sz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3.危及“三安全一稳定”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textAlignment w:val="auto"/>
              <w:rPr>
                <w:rFonts w:ascii="宋体"/>
                <w:sz w:val="24"/>
              </w:rPr>
            </w:pPr>
          </w:p>
        </w:tc>
        <w:tc>
          <w:tcPr>
            <w:tcW w:w="959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textAlignment w:val="auto"/>
              <w:rPr>
                <w:rFonts w:ascii="宋体"/>
                <w:sz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4.保护第三方合法权益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textAlignment w:val="auto"/>
              <w:rPr>
                <w:rFonts w:ascii="宋体"/>
                <w:sz w:val="24"/>
              </w:rPr>
            </w:pPr>
          </w:p>
        </w:tc>
        <w:tc>
          <w:tcPr>
            <w:tcW w:w="959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textAlignment w:val="auto"/>
              <w:rPr>
                <w:rFonts w:ascii="宋体"/>
                <w:sz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5.属于三类内部事务信息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textAlignment w:val="auto"/>
              <w:rPr>
                <w:rFonts w:ascii="宋体"/>
                <w:sz w:val="24"/>
              </w:rPr>
            </w:pPr>
          </w:p>
        </w:tc>
        <w:tc>
          <w:tcPr>
            <w:tcW w:w="959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textAlignment w:val="auto"/>
              <w:rPr>
                <w:rFonts w:ascii="宋体"/>
                <w:sz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6.属于四类过程性信息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textAlignment w:val="auto"/>
              <w:rPr>
                <w:rFonts w:ascii="宋体"/>
                <w:sz w:val="24"/>
              </w:rPr>
            </w:pPr>
          </w:p>
        </w:tc>
        <w:tc>
          <w:tcPr>
            <w:tcW w:w="959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textAlignment w:val="auto"/>
              <w:rPr>
                <w:rFonts w:ascii="宋体"/>
                <w:sz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7.属于行政执法案卷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textAlignment w:val="auto"/>
              <w:rPr>
                <w:rFonts w:ascii="宋体"/>
                <w:sz w:val="24"/>
              </w:rPr>
            </w:pPr>
          </w:p>
        </w:tc>
        <w:tc>
          <w:tcPr>
            <w:tcW w:w="959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textAlignment w:val="auto"/>
              <w:rPr>
                <w:rFonts w:ascii="宋体"/>
                <w:sz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8.属于行政查询事项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textAlignment w:val="auto"/>
              <w:rPr>
                <w:rFonts w:ascii="宋体"/>
                <w:sz w:val="24"/>
              </w:rPr>
            </w:pPr>
          </w:p>
        </w:tc>
        <w:tc>
          <w:tcPr>
            <w:tcW w:w="959" w:type="dxa"/>
            <w:vMerge w:val="restart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1.本机关不掌握相关政府信息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textAlignment w:val="auto"/>
              <w:rPr>
                <w:rFonts w:ascii="宋体"/>
                <w:sz w:val="24"/>
              </w:rPr>
            </w:pPr>
          </w:p>
        </w:tc>
        <w:tc>
          <w:tcPr>
            <w:tcW w:w="959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textAlignment w:val="auto"/>
              <w:rPr>
                <w:rFonts w:ascii="宋体"/>
                <w:sz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2.没有现成信息需要另行制作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textAlignment w:val="auto"/>
              <w:rPr>
                <w:rFonts w:ascii="宋体"/>
                <w:sz w:val="24"/>
              </w:rPr>
            </w:pPr>
          </w:p>
        </w:tc>
        <w:tc>
          <w:tcPr>
            <w:tcW w:w="959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textAlignment w:val="auto"/>
              <w:rPr>
                <w:rFonts w:ascii="宋体"/>
                <w:sz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3.补正后申请内容仍不明确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textAlignment w:val="auto"/>
              <w:rPr>
                <w:rFonts w:ascii="宋体"/>
                <w:sz w:val="24"/>
              </w:rPr>
            </w:pPr>
          </w:p>
        </w:tc>
        <w:tc>
          <w:tcPr>
            <w:tcW w:w="959" w:type="dxa"/>
            <w:vMerge w:val="restart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（五）不予处理</w:t>
            </w: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1.信访举报投诉类申请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textAlignment w:val="auto"/>
              <w:rPr>
                <w:rFonts w:ascii="宋体"/>
                <w:sz w:val="24"/>
              </w:rPr>
            </w:pPr>
          </w:p>
        </w:tc>
        <w:tc>
          <w:tcPr>
            <w:tcW w:w="959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textAlignment w:val="auto"/>
              <w:rPr>
                <w:rFonts w:ascii="宋体"/>
                <w:sz w:val="24"/>
              </w:rPr>
            </w:pPr>
          </w:p>
        </w:tc>
        <w:tc>
          <w:tcPr>
            <w:tcW w:w="34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2.重复申请</w:t>
            </w:r>
          </w:p>
        </w:tc>
        <w:tc>
          <w:tcPr>
            <w:tcW w:w="7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textAlignment w:val="auto"/>
              <w:rPr>
                <w:rFonts w:ascii="宋体"/>
                <w:sz w:val="24"/>
              </w:rPr>
            </w:pPr>
          </w:p>
        </w:tc>
        <w:tc>
          <w:tcPr>
            <w:tcW w:w="959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textAlignment w:val="auto"/>
              <w:rPr>
                <w:rFonts w:ascii="宋体"/>
                <w:sz w:val="24"/>
              </w:rPr>
            </w:pPr>
          </w:p>
        </w:tc>
        <w:tc>
          <w:tcPr>
            <w:tcW w:w="34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3.要求提供公开出版物</w:t>
            </w:r>
          </w:p>
        </w:tc>
        <w:tc>
          <w:tcPr>
            <w:tcW w:w="7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textAlignment w:val="auto"/>
              <w:rPr>
                <w:rFonts w:ascii="宋体"/>
                <w:sz w:val="24"/>
              </w:rPr>
            </w:pPr>
          </w:p>
        </w:tc>
        <w:tc>
          <w:tcPr>
            <w:tcW w:w="959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textAlignment w:val="auto"/>
              <w:rPr>
                <w:rFonts w:ascii="宋体"/>
                <w:sz w:val="24"/>
              </w:rPr>
            </w:pPr>
          </w:p>
        </w:tc>
        <w:tc>
          <w:tcPr>
            <w:tcW w:w="34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4.无正当理由大量反复申请</w:t>
            </w:r>
          </w:p>
        </w:tc>
        <w:tc>
          <w:tcPr>
            <w:tcW w:w="7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79" w:hRule="atLeast"/>
          <w:jc w:val="center"/>
        </w:trPr>
        <w:tc>
          <w:tcPr>
            <w:tcW w:w="785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textAlignment w:val="auto"/>
              <w:rPr>
                <w:rFonts w:ascii="宋体"/>
                <w:sz w:val="24"/>
              </w:rPr>
            </w:pPr>
          </w:p>
        </w:tc>
        <w:tc>
          <w:tcPr>
            <w:tcW w:w="959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textAlignment w:val="auto"/>
              <w:rPr>
                <w:rFonts w:ascii="宋体"/>
                <w:sz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5.要求行政机关确认或重新出具已获取信息</w:t>
            </w:r>
          </w:p>
        </w:tc>
        <w:tc>
          <w:tcPr>
            <w:tcW w:w="714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textAlignment w:val="auto"/>
              <w:rPr>
                <w:rFonts w:ascii="宋体"/>
                <w:sz w:val="24"/>
              </w:rPr>
            </w:pPr>
          </w:p>
        </w:tc>
        <w:tc>
          <w:tcPr>
            <w:tcW w:w="959" w:type="dxa"/>
            <w:vMerge w:val="restart"/>
            <w:tcBorders>
              <w:top w:val="outset" w:color="auto" w:sz="6" w:space="0"/>
              <w:left w:val="nil"/>
              <w:bottom w:val="outset" w:color="auto" w:sz="6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1.申请人无正当理由逾期不补正、行政机关不再处理其政府信息公开申请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textAlignment w:val="auto"/>
              <w:rPr>
                <w:rFonts w:ascii="宋体"/>
                <w:sz w:val="24"/>
              </w:rPr>
            </w:pPr>
          </w:p>
        </w:tc>
        <w:tc>
          <w:tcPr>
            <w:tcW w:w="959" w:type="dxa"/>
            <w:vMerge w:val="continue"/>
            <w:tcBorders>
              <w:top w:val="outset" w:color="auto" w:sz="6" w:space="0"/>
              <w:left w:val="nil"/>
              <w:bottom w:val="outset" w:color="auto" w:sz="6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textAlignment w:val="auto"/>
              <w:rPr>
                <w:rFonts w:ascii="宋体"/>
                <w:sz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2.申请人逾期未按收费通知要求缴纳费用、行政机关不再处理其政府信息公开申请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textAlignment w:val="auto"/>
              <w:rPr>
                <w:rFonts w:ascii="宋体"/>
                <w:sz w:val="24"/>
              </w:rPr>
            </w:pPr>
          </w:p>
        </w:tc>
        <w:tc>
          <w:tcPr>
            <w:tcW w:w="959" w:type="dxa"/>
            <w:vMerge w:val="continue"/>
            <w:tcBorders>
              <w:top w:val="outset" w:color="auto" w:sz="6" w:space="0"/>
              <w:left w:val="nil"/>
              <w:bottom w:val="outset" w:color="auto" w:sz="6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textAlignment w:val="auto"/>
              <w:rPr>
                <w:rFonts w:ascii="宋体"/>
                <w:sz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3.其他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textAlignment w:val="auto"/>
              <w:rPr>
                <w:rFonts w:ascii="宋体"/>
                <w:sz w:val="24"/>
              </w:rPr>
            </w:pPr>
          </w:p>
        </w:tc>
        <w:tc>
          <w:tcPr>
            <w:tcW w:w="436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5150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</w:t>
            </w:r>
          </w:p>
        </w:tc>
      </w:tr>
    </w:tbl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firstLine="642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b/>
          <w:bCs w:val="0"/>
        </w:rPr>
      </w:pPr>
      <w:r>
        <w:rPr>
          <w:rFonts w:hint="eastAsia" w:asciiTheme="minorEastAsia" w:hAnsiTheme="minorEastAsia" w:eastAsiaTheme="minorEastAsia" w:cstheme="minorEastAsia"/>
          <w:b/>
          <w:bCs w:val="0"/>
          <w:sz w:val="32"/>
          <w:szCs w:val="32"/>
        </w:rPr>
        <w:t>四、政府信息公开行政复议、行政诉讼情况</w:t>
      </w:r>
    </w:p>
    <w:tbl>
      <w:tblPr>
        <w:tblStyle w:val="4"/>
        <w:tblW w:w="974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0"/>
        <w:gridCol w:w="650"/>
        <w:gridCol w:w="650"/>
        <w:gridCol w:w="650"/>
        <w:gridCol w:w="650"/>
        <w:gridCol w:w="649"/>
        <w:gridCol w:w="649"/>
        <w:gridCol w:w="650"/>
        <w:gridCol w:w="650"/>
        <w:gridCol w:w="650"/>
        <w:gridCol w:w="650"/>
        <w:gridCol w:w="650"/>
        <w:gridCol w:w="650"/>
        <w:gridCol w:w="650"/>
        <w:gridCol w:w="6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5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649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行政诉讼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5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5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纠正</w:t>
            </w:r>
          </w:p>
        </w:tc>
        <w:tc>
          <w:tcPr>
            <w:tcW w:w="6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其他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</w:t>
            </w:r>
          </w:p>
        </w:tc>
        <w:tc>
          <w:tcPr>
            <w:tcW w:w="6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审结</w:t>
            </w:r>
          </w:p>
        </w:tc>
        <w:tc>
          <w:tcPr>
            <w:tcW w:w="6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总计</w:t>
            </w:r>
          </w:p>
        </w:tc>
        <w:tc>
          <w:tcPr>
            <w:tcW w:w="324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25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复议后起诉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5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textAlignment w:val="auto"/>
              <w:rPr>
                <w:rFonts w:ascii="宋体"/>
                <w:sz w:val="24"/>
              </w:rPr>
            </w:pPr>
          </w:p>
        </w:tc>
        <w:tc>
          <w:tcPr>
            <w:tcW w:w="65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textAlignment w:val="auto"/>
              <w:rPr>
                <w:rFonts w:ascii="宋体"/>
                <w:sz w:val="24"/>
              </w:rPr>
            </w:pPr>
          </w:p>
        </w:tc>
        <w:tc>
          <w:tcPr>
            <w:tcW w:w="6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textAlignment w:val="auto"/>
              <w:rPr>
                <w:rFonts w:ascii="宋体"/>
                <w:sz w:val="24"/>
              </w:rPr>
            </w:pPr>
          </w:p>
        </w:tc>
        <w:tc>
          <w:tcPr>
            <w:tcW w:w="6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textAlignment w:val="auto"/>
              <w:rPr>
                <w:rFonts w:ascii="宋体"/>
                <w:sz w:val="24"/>
              </w:rPr>
            </w:pPr>
          </w:p>
        </w:tc>
        <w:tc>
          <w:tcPr>
            <w:tcW w:w="6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textAlignment w:val="auto"/>
              <w:rPr>
                <w:rFonts w:ascii="宋体"/>
                <w:sz w:val="24"/>
              </w:rPr>
            </w:pPr>
          </w:p>
        </w:tc>
        <w:tc>
          <w:tcPr>
            <w:tcW w:w="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维持</w:t>
            </w:r>
          </w:p>
        </w:tc>
        <w:tc>
          <w:tcPr>
            <w:tcW w:w="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纠正</w:t>
            </w: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其他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</w:t>
            </w: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审结</w:t>
            </w: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总计</w:t>
            </w: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维持</w:t>
            </w: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纠正</w:t>
            </w: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其他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结果</w:t>
            </w: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审结</w:t>
            </w: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0</w:t>
            </w: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0 </w:t>
            </w: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0 </w:t>
            </w: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0 </w:t>
            </w: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0</w:t>
            </w:r>
          </w:p>
        </w:tc>
        <w:tc>
          <w:tcPr>
            <w:tcW w:w="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0</w:t>
            </w:r>
          </w:p>
        </w:tc>
        <w:tc>
          <w:tcPr>
            <w:tcW w:w="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0 </w:t>
            </w: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0</w:t>
            </w: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0</w:t>
            </w: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0</w:t>
            </w: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0 </w:t>
            </w: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0</w:t>
            </w: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0</w:t>
            </w: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0 </w:t>
            </w: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</w:t>
            </w:r>
          </w:p>
        </w:tc>
      </w:tr>
    </w:tbl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firstLine="642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b/>
          <w:bCs w:val="0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/>
          <w:bCs w:val="0"/>
          <w:sz w:val="32"/>
          <w:szCs w:val="32"/>
        </w:rPr>
        <w:t>五、存在的主要问题及改进情况</w:t>
      </w: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firstLine="642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  <w:t>（一）存在的问题</w:t>
      </w:r>
    </w:p>
    <w:p>
      <w:pPr>
        <w:keepNext w:val="0"/>
        <w:keepLines w:val="0"/>
        <w:widowControl/>
        <w:suppressLineNumbers w:val="0"/>
        <w:ind w:firstLine="800" w:firstLineChars="250"/>
        <w:jc w:val="left"/>
        <w:rPr>
          <w:rFonts w:hint="eastAsia" w:asciiTheme="minorEastAsia" w:hAnsiTheme="minorEastAsia" w:eastAsiaTheme="minorEastAsia" w:cstheme="minorEastAsia"/>
          <w:kern w:val="0"/>
          <w:sz w:val="32"/>
          <w:szCs w:val="32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kern w:val="0"/>
          <w:sz w:val="32"/>
          <w:szCs w:val="32"/>
          <w:lang w:val="en-US" w:eastAsia="zh-CN" w:bidi="ar-SA"/>
        </w:rPr>
        <w:t>一是政府信息公开的深度和广度不够，信息公开形式多样性不够；二</w:t>
      </w:r>
      <w:r>
        <w:rPr>
          <w:rFonts w:hint="eastAsia" w:asciiTheme="minorEastAsia" w:hAnsiTheme="minorEastAsia" w:eastAsiaTheme="minorEastAsia" w:cstheme="minorEastAsia"/>
          <w:kern w:val="0"/>
          <w:sz w:val="32"/>
          <w:szCs w:val="32"/>
          <w:lang w:val="en-US" w:eastAsia="zh-CN" w:bidi="ar-SA"/>
        </w:rPr>
        <w:t>是政策解读数量较少和解读方式较为单一；三是部分栏目更新不及时，存在滞后的情况；四是对文字敏感度把握还不够准确，发布的文章中还会出现敏感词现象。</w:t>
      </w: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firstLine="642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  <w:t>（二）问题改进情况</w:t>
      </w: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firstLine="64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b w:val="0"/>
          <w:bCs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32"/>
          <w:szCs w:val="32"/>
          <w:lang w:val="en-US" w:eastAsia="zh-CN"/>
        </w:rPr>
        <w:t>下一步我们将坚持问题导向，加强组织领导，健全完善体制，明确责任，强化对政府信息公开的监督检查，严格落实“三审”制度，丰富政府信息公开内容，提高信息质量。进一步加大主动公开力度，创新政策解读方式，突出工作重点，严格依法依规，努力提高政府信息公开工作能力，提高为民服务的工作水平。严格按照《中华人民共和国政府信息公开条例》以及省、市信息公开工作要求，进一步规范信息格式，保障信息要素齐全，不断优化栏目建设。</w:t>
      </w: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firstLine="64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b w:val="0"/>
          <w:bCs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32"/>
          <w:szCs w:val="32"/>
        </w:rPr>
        <w:t>六、其他需要报告的事项</w:t>
      </w: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firstLine="642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b/>
          <w:bCs/>
          <w:color w:val="000000"/>
          <w:sz w:val="32"/>
          <w:szCs w:val="32"/>
          <w:shd w:val="clear" w:color="auto" w:fill="FFFFFF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/>
          <w:sz w:val="32"/>
          <w:szCs w:val="32"/>
          <w:shd w:val="clear" w:color="auto" w:fill="FFFFFF"/>
        </w:rPr>
        <w:t>（一）政府信息公开信息处理费收取情况</w:t>
      </w: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firstLine="64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color w:val="000000"/>
          <w:sz w:val="32"/>
          <w:szCs w:val="32"/>
          <w:shd w:val="clear" w:color="auto" w:fill="FFFFFF"/>
        </w:rPr>
      </w:pPr>
      <w:r>
        <w:rPr>
          <w:rFonts w:hint="eastAsia" w:asciiTheme="minorEastAsia" w:hAnsiTheme="minorEastAsia" w:eastAsiaTheme="minorEastAsia" w:cstheme="minorEastAsia"/>
          <w:kern w:val="0"/>
          <w:sz w:val="32"/>
          <w:szCs w:val="32"/>
          <w:lang w:val="en-US" w:eastAsia="zh-CN" w:bidi="ar-SA"/>
        </w:rPr>
        <w:t>2022年度本机关未收取信息处理费。发出收费通知的件数和总金额，以及实际收取的总金额均为0。</w:t>
      </w: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firstLine="642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b/>
          <w:bCs/>
          <w:color w:val="000000"/>
          <w:sz w:val="32"/>
          <w:szCs w:val="32"/>
          <w:shd w:val="clear" w:color="auto" w:fill="FFFFFF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/>
          <w:sz w:val="32"/>
          <w:szCs w:val="32"/>
          <w:shd w:val="clear" w:color="auto" w:fill="FFFFFF"/>
        </w:rPr>
        <w:t>（二）政务公开工作要点完成情况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 w:firstLine="64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kern w:val="0"/>
          <w:sz w:val="32"/>
          <w:szCs w:val="32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kern w:val="0"/>
          <w:sz w:val="32"/>
          <w:szCs w:val="32"/>
          <w:lang w:val="en-US" w:eastAsia="zh-CN" w:bidi="ar-SA"/>
        </w:rPr>
        <w:t>2022年度，市政务服务中心共承担贯彻落实国家、省、市政务公开工作要点任务共有1类3项具体工作，已全部完成。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 w:firstLine="64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kern w:val="0"/>
          <w:sz w:val="32"/>
          <w:szCs w:val="32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kern w:val="0"/>
          <w:sz w:val="32"/>
          <w:szCs w:val="32"/>
          <w:lang w:val="en-US" w:eastAsia="zh-CN" w:bidi="ar-SA"/>
        </w:rPr>
        <w:t>1.加强优化营商环境的信息公开。为贯彻落实“一号改革工程”，构建清亲型政商关系，推动惠企政策落地见效，助力企业纾困解忧。依托江西政务服务网和赣服通“惠企通”专区，梳理77个政策文件、250个惠企事项上线“惠企通”平台，其中，免申即享事项89个，即申即享事项40个，承诺兑现事项121个。2022年举办1次政务服务开放日和1场惠企政策宣讲活动，精准兑现目标，让企业享受政策红利，切实助力企业壮大发展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 w:firstLine="64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kern w:val="0"/>
          <w:sz w:val="32"/>
          <w:szCs w:val="32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kern w:val="0"/>
          <w:sz w:val="32"/>
          <w:szCs w:val="32"/>
          <w:lang w:val="en-US" w:eastAsia="zh-CN" w:bidi="ar-SA"/>
        </w:rPr>
        <w:t>2.加强政策精准解读推送。通过市政务服务中心官网和“新余行政服务”微信公众号按时转发省政府重要信息，主动回应社会公众和市场主体关切。通过新闻发布会解读政策3场，通过政府网站发布政策解读材料1篇，通过政务新媒体发布政策解读材料3篇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 w:firstLine="64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kern w:val="0"/>
          <w:sz w:val="32"/>
          <w:szCs w:val="32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kern w:val="0"/>
          <w:sz w:val="32"/>
          <w:szCs w:val="32"/>
          <w:lang w:val="en-US" w:eastAsia="zh-CN" w:bidi="ar-SA"/>
        </w:rPr>
        <w:t>3.提高政府网站与政务新媒体运营水平。市政务服务中心通过门户网站各子栏目共主动公开各类信息436条，通过政务新媒体发布各类信息1274条。在政务新媒体运营尤其是“新余行政服务”微信公众号运营方面，为积极回应社会公众和市场主体关切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 w:firstLine="64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kern w:val="0"/>
          <w:sz w:val="32"/>
          <w:szCs w:val="32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kern w:val="0"/>
          <w:sz w:val="32"/>
          <w:szCs w:val="32"/>
          <w:lang w:val="en-US" w:eastAsia="zh-CN" w:bidi="ar-SA"/>
        </w:rPr>
        <w:t>4.优化线下公开渠道建设。坚持以“为民、便民、利民”为出发点和落脚点，不断拓宽信息公开渠道,实现政务公开线上线下一体化、多途径、广覆盖。我中心规划160余平方米区域建设“新余市政务公开专区”。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 w:firstLine="642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b/>
          <w:bCs/>
          <w:color w:val="000000"/>
          <w:sz w:val="32"/>
          <w:szCs w:val="32"/>
          <w:shd w:val="clear" w:color="auto" w:fill="FFFFFF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/>
          <w:sz w:val="32"/>
          <w:szCs w:val="32"/>
          <w:shd w:val="clear" w:color="auto" w:fill="FFFFFF"/>
        </w:rPr>
        <w:t>（三）重点领域信息公开情况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 w:firstLine="64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kern w:val="0"/>
          <w:sz w:val="32"/>
          <w:szCs w:val="32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kern w:val="0"/>
          <w:sz w:val="32"/>
          <w:szCs w:val="32"/>
          <w:lang w:val="en-US" w:eastAsia="zh-CN" w:bidi="ar-SA"/>
        </w:rPr>
        <w:t>市政务服务中心通过江西省公共资源交易网</w:t>
      </w:r>
      <w:r>
        <w:rPr>
          <w:rFonts w:hint="eastAsia" w:asciiTheme="minorEastAsia" w:hAnsiTheme="minorEastAsia" w:cstheme="minorEastAsia"/>
          <w:kern w:val="0"/>
          <w:sz w:val="32"/>
          <w:szCs w:val="32"/>
          <w:lang w:val="en-US" w:eastAsia="zh-CN" w:bidi="ar-SA"/>
        </w:rPr>
        <w:t>发布公共资源交易相关信息1266条（其中建设工程招标公告、中标公示420条，政府采购信息634条，产权交易信息212条），并链接至</w:t>
      </w:r>
      <w:r>
        <w:rPr>
          <w:rFonts w:hint="eastAsia" w:asciiTheme="minorEastAsia" w:hAnsiTheme="minorEastAsia" w:eastAsiaTheme="minorEastAsia" w:cstheme="minorEastAsia"/>
          <w:kern w:val="0"/>
          <w:sz w:val="32"/>
          <w:szCs w:val="32"/>
          <w:lang w:val="en-US" w:eastAsia="zh-CN" w:bidi="ar-SA"/>
        </w:rPr>
        <w:t>新余市人民政府网站“政务公开”栏目“重点领域信息公开</w:t>
      </w:r>
      <w:r>
        <w:rPr>
          <w:rFonts w:hint="eastAsia" w:asciiTheme="minorEastAsia" w:hAnsiTheme="minorEastAsia" w:cstheme="minorEastAsia"/>
          <w:kern w:val="0"/>
          <w:sz w:val="32"/>
          <w:szCs w:val="32"/>
          <w:lang w:val="en-US" w:eastAsia="zh-CN" w:bidi="ar-SA"/>
        </w:rPr>
        <w:t>-公共资源配置领域</w:t>
      </w:r>
      <w:r>
        <w:rPr>
          <w:rFonts w:hint="eastAsia" w:asciiTheme="minorEastAsia" w:hAnsiTheme="minorEastAsia" w:eastAsiaTheme="minorEastAsia" w:cstheme="minorEastAsia"/>
          <w:kern w:val="0"/>
          <w:sz w:val="32"/>
          <w:szCs w:val="32"/>
          <w:lang w:val="en-US" w:eastAsia="zh-CN" w:bidi="ar-SA"/>
        </w:rPr>
        <w:t>”专栏。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sz w:val="32"/>
          <w:szCs w:val="32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 w:firstLine="640" w:firstLineChars="200"/>
        <w:jc w:val="both"/>
        <w:textAlignment w:val="auto"/>
        <w:rPr>
          <w:rFonts w:ascii="Calibri" w:hAnsi="Calibri" w:cs="Calibri"/>
          <w:color w:val="333333"/>
          <w:sz w:val="32"/>
          <w:szCs w:val="32"/>
        </w:rPr>
      </w:pPr>
      <w:r>
        <w:rPr>
          <w:rFonts w:hint="eastAsia" w:ascii="宋体" w:hAnsi="宋体" w:eastAsia="宋体" w:cs="宋体"/>
          <w:color w:val="FF0000"/>
          <w:kern w:val="0"/>
          <w:sz w:val="32"/>
          <w:szCs w:val="32"/>
          <w:shd w:val="clear" w:color="auto" w:fill="FFFFFF"/>
        </w:rPr>
        <w:t> </w:t>
      </w: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textAlignment w:val="auto"/>
        <w:rPr>
          <w:rFonts w:ascii="宋体" w:hAnsi="宋体" w:eastAsia="宋体" w:cs="宋体"/>
          <w:color w:val="FF0000"/>
          <w:sz w:val="32"/>
          <w:szCs w:val="32"/>
        </w:rPr>
      </w:pP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textAlignment w:val="auto"/>
        <w:rPr>
          <w:rFonts w:ascii="宋体" w:hAnsi="宋体" w:eastAsia="宋体" w:cs="宋体"/>
          <w:color w:val="FF0000"/>
          <w:sz w:val="32"/>
          <w:szCs w:val="32"/>
        </w:rPr>
      </w:pP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textAlignment w:val="auto"/>
        <w:rPr>
          <w:rFonts w:ascii="宋体" w:hAnsi="宋体" w:eastAsia="宋体" w:cs="宋体"/>
          <w:color w:val="FF000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ascii="宋体" w:hAnsi="宋体" w:eastAsia="宋体" w:cs="宋体"/>
          <w:color w:val="FF0000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ascii="宋体" w:hAnsi="宋体" w:eastAsia="宋体" w:cs="宋体"/>
          <w:color w:val="FF0000"/>
          <w:kern w:val="0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803070505020304"/>
    <w:charset w:val="86"/>
    <w:family w:val="roman"/>
    <w:pitch w:val="default"/>
    <w:sig w:usb0="00000000" w:usb1="00000000" w:usb2="00000008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Noto Sans Ethiopic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Noto Sans Ethiopic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DejaVu Math TeX Gyre">
    <w:panose1 w:val="02000503000000000000"/>
    <w:charset w:val="00"/>
    <w:family w:val="auto"/>
    <w:pitch w:val="default"/>
    <w:sig w:usb0="A10000EF" w:usb1="4201F9EE" w:usb2="02000000" w:usb3="00000000" w:csb0="60000193" w:csb1="0DD40000"/>
  </w:font>
  <w:font w:name="Noto Sans Ethiopic">
    <w:panose1 w:val="020B0502040504020204"/>
    <w:charset w:val="00"/>
    <w:family w:val="auto"/>
    <w:pitch w:val="default"/>
    <w:sig w:usb0="00000000" w:usb1="00000000" w:usb2="00000800" w:usb3="00000000" w:csb0="0000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93ABCBB"/>
    <w:multiLevelType w:val="singleLevel"/>
    <w:tmpl w:val="793ABCBB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I2YzZjMDk1MTRjN2NhZDJhYzllZjU3MjcxYmQwZDQifQ=="/>
  </w:docVars>
  <w:rsids>
    <w:rsidRoot w:val="F35F620B"/>
    <w:rsid w:val="000E4BA4"/>
    <w:rsid w:val="001409C9"/>
    <w:rsid w:val="004E7FC8"/>
    <w:rsid w:val="005A4061"/>
    <w:rsid w:val="00F34D00"/>
    <w:rsid w:val="00F72F48"/>
    <w:rsid w:val="11EF1D9C"/>
    <w:rsid w:val="2EFC27AD"/>
    <w:rsid w:val="308D747D"/>
    <w:rsid w:val="3A92164B"/>
    <w:rsid w:val="3BCA6162"/>
    <w:rsid w:val="3BF7449A"/>
    <w:rsid w:val="3C7D92AF"/>
    <w:rsid w:val="480E3C82"/>
    <w:rsid w:val="5B3F2539"/>
    <w:rsid w:val="5E3D2FD5"/>
    <w:rsid w:val="6B77F051"/>
    <w:rsid w:val="6F2638D0"/>
    <w:rsid w:val="75DC28C5"/>
    <w:rsid w:val="76B94A5A"/>
    <w:rsid w:val="777715A4"/>
    <w:rsid w:val="7AFF9F7D"/>
    <w:rsid w:val="7B7F1710"/>
    <w:rsid w:val="7E37681D"/>
    <w:rsid w:val="7E377A5F"/>
    <w:rsid w:val="7FF77A1E"/>
    <w:rsid w:val="8ABFD2C5"/>
    <w:rsid w:val="9A85253A"/>
    <w:rsid w:val="B75EE555"/>
    <w:rsid w:val="B8E9DD90"/>
    <w:rsid w:val="C9EFECA7"/>
    <w:rsid w:val="D7FEF378"/>
    <w:rsid w:val="D8EF673B"/>
    <w:rsid w:val="DF5FAFA6"/>
    <w:rsid w:val="E1EF12F4"/>
    <w:rsid w:val="EFDD0747"/>
    <w:rsid w:val="F35F620B"/>
    <w:rsid w:val="F57DC63D"/>
    <w:rsid w:val="F94DD5DB"/>
    <w:rsid w:val="FFF715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3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439</Words>
  <Characters>2508</Characters>
  <Lines>20</Lines>
  <Paragraphs>5</Paragraphs>
  <TotalTime>4</TotalTime>
  <ScaleCrop>false</ScaleCrop>
  <LinksUpToDate>false</LinksUpToDate>
  <CharactersWithSpaces>2942</CharactersWithSpaces>
  <Application>WPS Office_11.8.2.1122_F1E327BC-269C-435d-A152-05C5408002CA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2022-03-22T17:57:00Z</dcterms:created>
  <dc:creator>Yolanda</dc:creator>
  <cp:lastModifiedBy>user</cp:lastModifiedBy>
  <dcterms:modified xsi:type="dcterms:W3CDTF">2023-11-21T09:47:31Z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2052-11.8.2.1122</vt:lpwstr>
  </property>
  <property fmtid="{D5CDD505-2E9C-101B-9397-08002B2CF9AE}" pid="3" name="ICV">
    <vt:lpwstr>74354A977BFB9FDAAA81B663B127C1C8</vt:lpwstr>
  </property>
</Properties>
</file>